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32A7329">
      <w:pPr>
        <w:pStyle w:val="12"/>
        <w:keepNext w:val="0"/>
        <w:keepLines w:val="0"/>
        <w:widowControl/>
        <w:suppressLineNumbers w:val="0"/>
        <w:ind w:left="0" w:right="0"/>
        <w:rPr>
          <w:rFonts w:hint="default" w:ascii="Times New Roman" w:hAnsi="Times New Roman" w:cs="Times New Roman"/>
        </w:rPr>
      </w:pPr>
      <w:r>
        <w:rPr>
          <w:rFonts w:hint="default" w:ascii="Times New Roman" w:hAnsi="Times New Roman" w:cs="Times New Roman"/>
        </w:rPr>
        <w:t xml:space="preserve">         Comenzando con las observaciones del gráfico de la población económicamente activa y económicamente inactiva: </w:t>
      </w:r>
    </w:p>
    <w:p w14:paraId="6050A263">
      <w:pPr>
        <w:pStyle w:val="12"/>
        <w:keepNext w:val="0"/>
        <w:keepLines w:val="0"/>
        <w:widowControl/>
        <w:suppressLineNumbers w:val="0"/>
        <w:ind w:left="0" w:right="0"/>
        <w:rPr>
          <w:rFonts w:hint="default" w:ascii="Times New Roman" w:hAnsi="Times New Roman" w:cs="Times New Roman"/>
        </w:rPr>
      </w:pPr>
      <w:r>
        <w:rPr>
          <w:rFonts w:hint="default" w:ascii="Times New Roman" w:hAnsi="Times New Roman" w:cs="Times New Roman"/>
        </w:rPr>
        <w:t xml:space="preserve">Las mujeres muestran una mayor actividad en la búsqueda de empleo en relación con los hombres. Sin embargo, el empleo efectivo entre varones y mujeres </w:t>
      </w:r>
      <w:r>
        <w:rPr>
          <w:rFonts w:hint="default" w:cs="Times New Roman"/>
        </w:rPr>
        <w:t>tiene</w:t>
      </w:r>
      <w:r>
        <w:rPr>
          <w:rFonts w:hint="default" w:ascii="Times New Roman" w:hAnsi="Times New Roman" w:cs="Times New Roman"/>
        </w:rPr>
        <w:t xml:space="preserve"> porcentajes similares. Todas estas situaciones podrían reflejar: 1) una necesidad económica más acentuada en ciertos grupos; 2) un cambio de roles tradicionales, con mayor protagonismo femenino; 3)posibles barreras de acceso al empleo. Igualment</w:t>
      </w:r>
      <w:r>
        <w:rPr>
          <w:rFonts w:hint="default" w:cs="Times New Roman"/>
        </w:rPr>
        <w:t>e</w:t>
      </w:r>
      <w:r>
        <w:rPr>
          <w:rFonts w:hint="default" w:ascii="Times New Roman" w:hAnsi="Times New Roman" w:cs="Times New Roman"/>
        </w:rPr>
        <w:t>,</w:t>
      </w:r>
      <w:r>
        <w:rPr>
          <w:rFonts w:hint="default" w:cs="Times New Roman"/>
        </w:rPr>
        <w:t>se</w:t>
      </w:r>
      <w:r>
        <w:rPr>
          <w:rFonts w:hint="default" w:ascii="Times New Roman" w:hAnsi="Times New Roman" w:cs="Times New Roman"/>
        </w:rPr>
        <w:t xml:space="preserve"> sugiere una relativa equidad en el acceso al trabajo formal y que una vez que logran acceder al mercado de trabajo, las condiciones de contratación son comparables entre géneros. </w:t>
      </w:r>
    </w:p>
    <w:p w14:paraId="767709F7">
      <w:pPr>
        <w:pStyle w:val="12"/>
        <w:keepNext w:val="0"/>
        <w:keepLines w:val="0"/>
        <w:widowControl/>
        <w:suppressLineNumbers w:val="0"/>
        <w:ind w:left="0" w:right="0"/>
        <w:rPr>
          <w:rFonts w:hint="default" w:ascii="Times New Roman" w:hAnsi="Times New Roman" w:cs="Times New Roman"/>
        </w:rPr>
      </w:pPr>
      <w:r>
        <w:rPr>
          <w:rFonts w:hint="default" w:ascii="Times New Roman" w:hAnsi="Times New Roman" w:cs="Times New Roman"/>
        </w:rPr>
        <w:t xml:space="preserve">        Continuando con el gráfico de estudiantes y educación, se muestra que la participación educativa alcanza su punto máximo entre los 15 y 18 años, para luego disminuir drásticamente a partir de los 19. Esta caída no responde solo a decisiones individuales, sino a una trama social y económica que condiciona las trayectorias educativas. La necesidad de insertarse </w:t>
      </w:r>
      <w:r>
        <w:rPr>
          <w:rFonts w:hint="default" w:cs="Times New Roman"/>
        </w:rPr>
        <w:t>laboralmente sugiere</w:t>
      </w:r>
      <w:r>
        <w:rPr>
          <w:rFonts w:hint="default" w:ascii="Times New Roman" w:hAnsi="Times New Roman" w:cs="Times New Roman"/>
        </w:rPr>
        <w:t xml:space="preserve"> que la falta de acompañamiento institucional y las responsabilidades familiares se entrelazan, dificultando la continuidad en los estudios superiores. Sin embargo, entre los 20 y 29 años existe una presencia significativa de jóvenes que continúan estudiando, desafiando el modelo tradicional y apostando por trayectorias flexibles, intermitentes y profundamente ligadas al contexto local. Esta persistencia educativa revela un capital simbólico importante para la ciudad: una juventud resiliente que estudia en movimiento, entre trabajos informales, proyectos personales y vínculos comunitarios.</w:t>
      </w:r>
    </w:p>
    <w:p w14:paraId="6FB6C9EB">
      <w:pPr>
        <w:pStyle w:val="12"/>
        <w:keepNext w:val="0"/>
        <w:keepLines w:val="0"/>
        <w:widowControl/>
        <w:suppressLineNumbers w:val="0"/>
        <w:ind w:left="0" w:right="0"/>
        <w:rPr>
          <w:rFonts w:hint="default" w:ascii="Times New Roman" w:hAnsi="Times New Roman" w:cs="Times New Roman"/>
        </w:rPr>
      </w:pPr>
      <w:r>
        <w:rPr>
          <w:rFonts w:hint="default" w:ascii="Times New Roman" w:hAnsi="Times New Roman" w:cs="Times New Roman"/>
        </w:rPr>
        <w:t xml:space="preserve">        Por último, el gráfico de la Población Económicamente Activa, según la edad, revela que la mayor participación económica masculina se concentra en los grupos de edad de 25 a 34 año</w:t>
      </w:r>
      <w:r>
        <w:rPr>
          <w:rStyle w:val="13"/>
          <w:rFonts w:hint="default" w:ascii="Times New Roman" w:hAnsi="Times New Roman" w:cs="Times New Roman"/>
          <w:b/>
        </w:rPr>
        <w:t>s</w:t>
      </w:r>
      <w:r>
        <w:rPr>
          <w:rFonts w:hint="default" w:ascii="Times New Roman" w:hAnsi="Times New Roman" w:cs="Times New Roman"/>
        </w:rPr>
        <w:t xml:space="preserve">, lo que marca un momento clave de inserción y consolidación laboral. Esto podría estar asociado con procesos de independencia económica, conformación de hogares o mayor estabilidad en el mercado formal. Por otro lado, la presencia femenina muestra una participación sostenida a lo largo de varios </w:t>
      </w:r>
      <w:r>
        <w:rPr>
          <w:rFonts w:hint="default" w:cs="Times New Roman"/>
        </w:rPr>
        <w:t>tramos</w:t>
      </w:r>
      <w:r>
        <w:rPr>
          <w:rFonts w:hint="default" w:ascii="Times New Roman" w:hAnsi="Times New Roman" w:cs="Times New Roman"/>
        </w:rPr>
        <w:t xml:space="preserve"> etarios. Esta continuidad sugiere trayectorias laborales más diversas y posiblemente más afectadas por dinámicas como el trabajo informal, el cuidado familiar o la alternancia entre estudio y empleo. Además, se destaca la inclusión de jóvenes entre 14 y 18 años en la Población Económicamente Activa (PEA), lo que abre preguntas sobre</w:t>
      </w:r>
      <w:r>
        <w:rPr>
          <w:rFonts w:hint="default" w:cs="Times New Roman"/>
        </w:rPr>
        <w:t xml:space="preserve"> el </w:t>
      </w:r>
      <w:r>
        <w:rPr>
          <w:rFonts w:hint="default" w:ascii="Times New Roman" w:hAnsi="Times New Roman" w:cs="Times New Roman"/>
        </w:rPr>
        <w:t xml:space="preserve"> acceso temprano al empleo, abandono educativo o necesidades económicas familiares. </w:t>
      </w:r>
    </w:p>
    <w:p w14:paraId="27B9F11C">
      <w:pPr>
        <w:pStyle w:val="12"/>
        <w:keepNext w:val="0"/>
        <w:keepLines w:val="0"/>
        <w:widowControl/>
        <w:suppressLineNumbers w:val="0"/>
        <w:ind w:left="0" w:right="0"/>
        <w:rPr>
          <w:rFonts w:hint="default" w:ascii="Times New Roman" w:hAnsi="Times New Roman" w:cs="Times New Roman"/>
        </w:rPr>
      </w:pPr>
      <w:r>
        <w:rPr>
          <w:rFonts w:hint="default" w:ascii="Times New Roman" w:hAnsi="Times New Roman" w:cs="Times New Roman"/>
        </w:rPr>
        <w:t xml:space="preserve">        Finalizando, desde la perspectiva de estos gráficos, podría decirse que la población de Curuzú Cuatiá se mantiene estable y crece tranquilamente debido a que existe</w:t>
      </w:r>
      <w:r>
        <w:rPr>
          <w:rFonts w:hint="default" w:cs="Times New Roman"/>
        </w:rPr>
        <w:t>n</w:t>
      </w:r>
      <w:r>
        <w:rPr>
          <w:rFonts w:hint="default" w:ascii="Times New Roman" w:hAnsi="Times New Roman" w:cs="Times New Roman"/>
        </w:rPr>
        <w:t xml:space="preserve"> complicaciones y falta de oportunidades en la oferta laboral, no solo situaciones de natalidad o cultura. El ingreso temprano a actividades económicas, muchas veces informales, no sólo condiciona la continuidad educativa, si</w:t>
      </w:r>
      <w:r>
        <w:rPr>
          <w:rFonts w:hint="default" w:cs="Times New Roman"/>
        </w:rPr>
        <w:t xml:space="preserve"> </w:t>
      </w:r>
      <w:r>
        <w:rPr>
          <w:rFonts w:hint="default" w:ascii="Times New Roman" w:hAnsi="Times New Roman" w:cs="Times New Roman"/>
        </w:rPr>
        <w:t xml:space="preserve">no también in visibiliza el potencial de desarrollo de la juventud. Esta dinámica puede responder a urgencias familiares y falta de alternativas institucionales. La participación femenina en la Población </w:t>
      </w:r>
      <w:r>
        <w:rPr>
          <w:rFonts w:hint="default" w:cs="Times New Roman"/>
        </w:rPr>
        <w:t>Económicamente</w:t>
      </w:r>
      <w:r>
        <w:rPr>
          <w:rFonts w:hint="default" w:ascii="Times New Roman" w:hAnsi="Times New Roman" w:cs="Times New Roman"/>
        </w:rPr>
        <w:t xml:space="preserve"> Activa es alta en términos de búsqueda, pero baja en términos de empleo efectivo, lo cual revela</w:t>
      </w:r>
      <w:r>
        <w:rPr>
          <w:rStyle w:val="13"/>
          <w:rFonts w:hint="default" w:ascii="Times New Roman" w:hAnsi="Times New Roman" w:cs="Times New Roman"/>
          <w:b/>
        </w:rPr>
        <w:t xml:space="preserve"> </w:t>
      </w:r>
      <w:r>
        <w:rPr>
          <w:rFonts w:hint="default" w:ascii="Times New Roman" w:hAnsi="Times New Roman" w:cs="Times New Roman"/>
        </w:rPr>
        <w:t xml:space="preserve">brechas de acceso, discriminación estructural o falta de oferta compatible con la realidad de las mujeres curuzucuateñas, especialmente aquellas que también ejercen roles de cuidado. La oferta educativa de Curuzú Cuatiá podría estar desconectada de las demandas reales del mercado laboral local. Si las carreras disponibles no responden a los perfiles productivos de la región —como turismo, producción artesanal, agro-industria, servicios sociales o tecnología aplicada— se genera un desfase entre formación y empleabilidad. Esta brecha contribuye </w:t>
      </w:r>
      <w:r>
        <w:rPr>
          <w:rFonts w:hint="default" w:cs="Times New Roman"/>
        </w:rPr>
        <w:t>no motivarlos</w:t>
      </w:r>
      <w:r>
        <w:rPr>
          <w:rFonts w:hint="default" w:ascii="Times New Roman" w:hAnsi="Times New Roman" w:cs="Times New Roman"/>
        </w:rPr>
        <w:t xml:space="preserve"> </w:t>
      </w:r>
      <w:r>
        <w:rPr>
          <w:rFonts w:hint="default" w:cs="Times New Roman"/>
        </w:rPr>
        <w:t>y generar</w:t>
      </w:r>
      <w:r>
        <w:rPr>
          <w:rFonts w:hint="default" w:ascii="Times New Roman" w:hAnsi="Times New Roman" w:cs="Times New Roman"/>
        </w:rPr>
        <w:t xml:space="preserve"> abandono</w:t>
      </w:r>
      <w:r>
        <w:rPr>
          <w:rFonts w:hint="default" w:cs="Times New Roman"/>
        </w:rPr>
        <w:t xml:space="preserve"> escolar</w:t>
      </w:r>
      <w:r>
        <w:rPr>
          <w:rFonts w:hint="default" w:ascii="Times New Roman" w:hAnsi="Times New Roman" w:cs="Times New Roman"/>
        </w:rPr>
        <w:t xml:space="preserve">, migración estudiantil, informalidad laboral.  Además, si se observa una presencia significativa de jóvenes entre 20 y 29 años que estudian mientras trabajan, como señalaba el gráfico anterior, podría indicar que están intentando construir trayectorias flexibles frente a las oportunidades educacionales de la ciudad. </w:t>
      </w:r>
    </w:p>
    <w:p w14:paraId="39302522">
      <w:pPr>
        <w:keepNext w:val="0"/>
        <w:keepLines w:val="0"/>
        <w:widowControl/>
        <w:suppressLineNumbers w:val="0"/>
        <w:rPr>
          <w:rFonts w:hint="default" w:ascii="Calibri" w:hAnsi="Calibri" w:eastAsia="SimSun" w:cs="Times New Roman"/>
        </w:rPr>
      </w:pPr>
      <w:r>
        <w:rPr>
          <w:rFonts w:hint="default" w:ascii="Calibri" w:hAnsi="Calibri" w:eastAsia="SimSun" w:cs="Times New Roman"/>
        </w:rPr>
        <w:t xml:space="preserve"> </w:t>
      </w:r>
    </w:p>
    <w:sectPr>
      <w:pgSz w:w="11906"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黑体">
    <w:altName w:val="SimSun"/>
    <w:panose1 w:val="00000000000000000000"/>
    <w:charset w:val="00"/>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bordersDoNotSurroundHeader w:val="1"/>
  <w:bordersDoNotSurroundFooter w:val="1"/>
  <w:documentProtection w:enforcement="0"/>
  <w:defaultTabStop w:val="700"/>
  <w:drawingGridVerticalSpacing w:val="106"/>
  <w:displayHorizontalDrawingGridEvery w:val="0"/>
  <w:displayVerticalDrawingGridEvery w:val="2"/>
  <w:noPunctuationKerning w:val="1"/>
  <w:characterSpacingControl w:val="doNotCompress"/>
  <w:footnotePr>
    <w:footnote w:id="0"/>
    <w:footnote w:id="1"/>
  </w:footnotePr>
  <w:compat>
    <w:spaceForUL/>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EC7CA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pPr>
      <w:spacing w:before="0" w:beforeAutospacing="0" w:after="0" w:afterAutospacing="0"/>
      <w:ind w:left="0" w:right="0"/>
      <w:jc w:val="left"/>
    </w:pPr>
    <w:rPr>
      <w:rFonts w:hint="default" w:ascii="Calibri" w:hAnsi="Calibri" w:eastAsia="SimSun" w:cs="Times New Roman"/>
      <w:kern w:val="0"/>
      <w:sz w:val="24"/>
      <w:szCs w:val="24"/>
      <w:lang w:val="en-US" w:eastAsia="zh-CN" w:bidi="ar-SA"/>
    </w:rPr>
  </w:style>
  <w:style w:type="paragraph" w:styleId="2">
    <w:name w:val="heading 1"/>
    <w:next w:val="1"/>
    <w:uiPriority w:val="0"/>
    <w:pPr>
      <w:spacing w:before="100" w:beforeAutospacing="1" w:after="100" w:afterAutospacing="1"/>
      <w:jc w:val="left"/>
    </w:pPr>
    <w:rPr>
      <w:rFonts w:hint="eastAsia" w:ascii="SimSun" w:hAnsi="SimSun" w:eastAsia="SimSun" w:cs="SimSun"/>
      <w:b/>
      <w:kern w:val="32"/>
      <w:sz w:val="48"/>
      <w:szCs w:val="48"/>
      <w:lang w:val="en-US" w:eastAsia="zh-CN" w:bidi="ar-SA"/>
    </w:rPr>
  </w:style>
  <w:style w:type="paragraph" w:styleId="3">
    <w:name w:val="heading 2"/>
    <w:next w:val="1"/>
    <w:uiPriority w:val="0"/>
    <w:pPr>
      <w:spacing w:before="100" w:beforeAutospacing="1" w:after="100" w:afterAutospacing="1"/>
      <w:jc w:val="left"/>
    </w:pPr>
    <w:rPr>
      <w:rFonts w:hint="eastAsia" w:ascii="SimSun" w:hAnsi="SimSun" w:eastAsia="SimSun" w:cs="SimSun"/>
      <w:b/>
      <w:i/>
      <w:iCs/>
      <w:kern w:val="0"/>
      <w:sz w:val="36"/>
      <w:szCs w:val="36"/>
      <w:lang w:val="en-US" w:eastAsia="zh-CN" w:bidi="ar-SA"/>
    </w:rPr>
  </w:style>
  <w:style w:type="paragraph" w:styleId="4">
    <w:name w:val="heading 3"/>
    <w:next w:val="1"/>
    <w:uiPriority w:val="0"/>
    <w:pPr>
      <w:spacing w:before="100" w:beforeAutospacing="1" w:after="100" w:afterAutospacing="1"/>
      <w:jc w:val="left"/>
    </w:pPr>
    <w:rPr>
      <w:rFonts w:hint="eastAsia" w:ascii="SimSun" w:hAnsi="SimSun" w:eastAsia="SimSun" w:cs="SimSun"/>
      <w:b/>
      <w:kern w:val="0"/>
      <w:sz w:val="26"/>
      <w:szCs w:val="26"/>
      <w:lang w:val="en-US" w:eastAsia="zh-CN" w:bidi="ar-SA"/>
    </w:rPr>
  </w:style>
  <w:style w:type="paragraph" w:styleId="5">
    <w:name w:val="heading 4"/>
    <w:next w:val="1"/>
    <w:uiPriority w:val="0"/>
    <w:pPr>
      <w:spacing w:before="100" w:beforeAutospacing="1" w:after="100" w:afterAutospacing="1"/>
      <w:jc w:val="left"/>
    </w:pPr>
    <w:rPr>
      <w:rFonts w:hint="eastAsia" w:ascii="SimSun" w:hAnsi="SimSun" w:eastAsia="SimSun" w:cs="SimSun"/>
      <w:b/>
      <w:kern w:val="0"/>
      <w:sz w:val="24"/>
      <w:szCs w:val="24"/>
      <w:lang w:val="en-US" w:eastAsia="zh-CN" w:bidi="ar-SA"/>
    </w:rPr>
  </w:style>
  <w:style w:type="paragraph" w:styleId="6">
    <w:name w:val="heading 5"/>
    <w:next w:val="1"/>
    <w:uiPriority w:val="0"/>
    <w:pPr>
      <w:spacing w:before="100" w:beforeAutospacing="1" w:after="100" w:afterAutospacing="1"/>
      <w:jc w:val="left"/>
    </w:pPr>
    <w:rPr>
      <w:rFonts w:hint="eastAsia" w:ascii="SimSun" w:hAnsi="SimSun" w:eastAsia="SimSun" w:cs="SimSun"/>
      <w:b/>
      <w:i/>
      <w:iCs/>
      <w:kern w:val="0"/>
      <w:sz w:val="20"/>
      <w:szCs w:val="20"/>
      <w:lang w:val="en-US" w:eastAsia="zh-CN" w:bidi="ar-SA"/>
    </w:rPr>
  </w:style>
  <w:style w:type="paragraph" w:styleId="7">
    <w:name w:val="heading 6"/>
    <w:next w:val="1"/>
    <w:uiPriority w:val="0"/>
    <w:pPr>
      <w:spacing w:before="100" w:beforeAutospacing="1" w:after="100" w:afterAutospacing="1"/>
      <w:jc w:val="left"/>
    </w:pPr>
    <w:rPr>
      <w:rFonts w:hint="eastAsia" w:ascii="SimSun" w:hAnsi="SimSun" w:eastAsia="SimSun" w:cs="SimSun"/>
      <w:b/>
      <w:kern w:val="0"/>
      <w:sz w:val="14"/>
      <w:szCs w:val="14"/>
      <w:lang w:val="en-US" w:eastAsia="zh-CN" w:bidi="ar-SA"/>
    </w:rPr>
  </w:style>
  <w:style w:type="character" w:default="1" w:styleId="8">
    <w:name w:val="Default Paragraph Font"/>
    <w:uiPriority w:val="0"/>
  </w:style>
  <w:style w:type="table" w:default="1" w:styleId="9">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rPr>
    <w:tblPr/>
  </w:style>
  <w:style w:type="paragraph" w:styleId="10">
    <w:name w:val="Normal (Web)"/>
    <w:uiPriority w:val="0"/>
    <w:pPr>
      <w:spacing w:before="100" w:beforeAutospacing="1" w:after="100" w:afterAutospacing="1"/>
      <w:ind w:left="0" w:right="0"/>
      <w:jc w:val="left"/>
    </w:pPr>
    <w:rPr>
      <w:rFonts w:hint="default" w:ascii="Times New Roman" w:hAnsi="Times New Roman" w:eastAsia="SimSun" w:cs="Times New Roman"/>
      <w:kern w:val="0"/>
      <w:lang w:val="en-US" w:eastAsia="zh-CN" w:bidi="ar-SA"/>
    </w:rPr>
  </w:style>
  <w:style w:type="paragraph" w:customStyle="1" w:styleId="11">
    <w:name w:val="HTML Preformatted"/>
    <w:uiPriority w:val="0"/>
    <w:pPr>
      <w:jc w:val="left"/>
    </w:pPr>
    <w:rPr>
      <w:rFonts w:hint="eastAsia" w:ascii="SimSun" w:hAnsi="SimSun" w:eastAsia="SimSun" w:cs="SimSun"/>
      <w:kern w:val="0"/>
      <w:sz w:val="24"/>
      <w:szCs w:val="24"/>
      <w:lang w:val="en-US" w:eastAsia="zh-CN" w:bidi="ar-SA"/>
    </w:rPr>
  </w:style>
  <w:style w:type="paragraph" w:customStyle="1" w:styleId="12">
    <w:name w:val="Normal (Web) Char"/>
    <w:uiPriority w:val="0"/>
    <w:pPr>
      <w:spacing w:before="100" w:beforeAutospacing="1" w:after="100" w:afterAutospacing="1"/>
      <w:jc w:val="left"/>
    </w:pPr>
    <w:rPr>
      <w:rFonts w:hint="default" w:ascii="Times New Roman" w:hAnsi="Times New Roman" w:eastAsia="SimSun" w:cs="Times New Roman"/>
      <w:kern w:val="0"/>
      <w:lang w:val="en-US" w:eastAsia="zh-CN" w:bidi="ar-SA"/>
    </w:rPr>
  </w:style>
  <w:style w:type="character" w:customStyle="1" w:styleId="13">
    <w:name w:val="15"/>
    <w:uiPriority w:val="0"/>
    <w:rPr>
      <w:rFonts w:hint="default" w:ascii="Times New Roman" w:hAnsi="Times New Roman" w:cs="Times New Roman"/>
      <w:b/>
    </w:rPr>
  </w:style>
  <w:style w:type="character" w:customStyle="1" w:styleId="14">
    <w:name w:val="10"/>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TotalTime>2</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2025-07-18T00:32:07Z</dcterms:created>
  <dc:creator>Eunice</dc:creator>
  <cp:lastModifiedBy>Eunice Cardozo</cp:lastModifiedBy>
  <dcterms:modified xsi:type="dcterms:W3CDTF">2025-07-18T01:25:26Z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3082-12.2.0.21931</vt:lpwstr>
  </property>
  <property fmtid="{D5CDD505-2E9C-101B-9397-08002B2CF9AE}" pid="3" name="ICV">
    <vt:lpwstr>CDCF72045050498D8FC3A432A2917264_13</vt:lpwstr>
  </property>
</Properties>
</file>