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model</w:t>
      </w:r>
      <w:r>
        <w:t xml:space="preserve"> </w:t>
      </w:r>
      <w:r>
        <w:t xml:space="preserve">InVEST</w:t>
      </w:r>
      <w: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t xml:space="preserve"> </w:t>
      </w:r>
      <w:r>
        <w:t xml:space="preserve">model</w:t>
      </w:r>
      <w:r>
        <w:t xml:space="preserve"> </w:t>
      </w:r>
      <w:r>
        <w:t xml:space="preserve">EFForTS-ABM:</w:t>
      </w:r>
      <w:r>
        <w:t xml:space="preserve"> </w:t>
      </w:r>
      <w:r>
        <w:t xml:space="preserve">new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dynamic</w:t>
      </w:r>
      <w:r>
        <w:t xml:space="preserve"> </w:t>
      </w:r>
      <w:r>
        <w:t xml:space="preserve">simulation</w:t>
      </w:r>
      <w:r>
        <w:t xml:space="preserve"> </w:t>
      </w:r>
      <w:r>
        <w:t xml:space="preserve">of</w:t>
      </w:r>
      <w:r>
        <w:t xml:space="preserve"> </w:t>
      </w:r>
      <w:r>
        <w:t xml:space="preserve">socio-economic</w:t>
      </w:r>
      <w:r>
        <w:t xml:space="preserve"> </w:t>
      </w: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ecological</w:t>
      </w:r>
      <w:r>
        <w:t xml:space="preserve"> </w:t>
      </w:r>
      <w:r>
        <w:t xml:space="preserve">functions</w:t>
      </w:r>
      <w:r>
        <w:t xml:space="preserve"> </w:t>
      </w:r>
      <w:r>
        <w:t xml:space="preserve">(biodiversity)</w:t>
      </w:r>
      <w:r>
        <w:t xml:space="preserve"> </w:t>
      </w:r>
      <w:r>
        <w:t xml:space="preserve">simultaneously</w:t>
      </w:r>
    </w:p>
    <w:p>
      <w:pPr>
        <w:pStyle w:val="Author"/>
      </w:pPr>
      <w:r>
        <w:t xml:space="preserve">Julia</w:t>
      </w:r>
      <w:r>
        <w:t xml:space="preserve"> </w:t>
      </w:r>
      <w:r>
        <w:t xml:space="preserve">Henzler</w:t>
      </w:r>
      <w:r>
        <w:rPr>
          <w:vertAlign w:val="superscript"/>
        </w:rPr>
        <w:t xml:space="preserve">1</w:t>
      </w:r>
      <w:r>
        <w:t xml:space="preserve">*,</w:t>
      </w:r>
      <w:r>
        <w:t xml:space="preserve"> </w:t>
      </w:r>
      <w:r>
        <w:t xml:space="preserve">Nils</w:t>
      </w:r>
      <w:r>
        <w:t xml:space="preserve"> </w:t>
      </w:r>
      <w:r>
        <w:t xml:space="preserve">Beyer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Sebastian</w:t>
      </w:r>
      <w:r>
        <w:t xml:space="preserve"> </w:t>
      </w:r>
      <w:r>
        <w:t xml:space="preserve">Hanss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Craig</w:t>
      </w:r>
      <w:r>
        <w:t xml:space="preserve"> </w:t>
      </w:r>
      <w:r>
        <w:t xml:space="preserve">Eric</w:t>
      </w:r>
      <w:r>
        <w:t xml:space="preserve"> </w:t>
      </w:r>
      <w:r>
        <w:t xml:space="preserve">Simpkins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Jan</w:t>
      </w:r>
      <w:r>
        <w:t xml:space="preserve"> </w:t>
      </w:r>
      <w:r>
        <w:t xml:space="preserve">Salecker^</w:t>
      </w:r>
      <w:r>
        <w:t xml:space="preserve"> </w:t>
      </w:r>
      <w:r>
        <w:t xml:space="preserve">3^,</w:t>
      </w:r>
      <w:r>
        <w:t xml:space="preserve"> </w:t>
      </w:r>
      <w:r>
        <w:t xml:space="preserve">Kerstin</w:t>
      </w:r>
      <w:r>
        <w:t xml:space="preserve"> </w:t>
      </w:r>
      <w:r>
        <w:t xml:space="preserve">Wiegand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4/19/2021</w:t>
      </w:r>
    </w:p>
    <w:p>
      <w:pPr>
        <w:pStyle w:val="FirstParagraph"/>
      </w:pPr>
      <w:r>
        <w:t xml:space="preserve">order have to be discussed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Ecosystem Modeling, Faculty of Forest Sciences and Forest Ecology University of Goettingen, Goettingen, Germany,</w:t>
      </w:r>
      <w:r>
        <w:t xml:space="preserve"> </w:t>
      </w:r>
      <w:r>
        <w:rPr>
          <w:vertAlign w:val="superscript"/>
        </w:rPr>
        <w:t xml:space="preserve">2</w:t>
      </w:r>
      <w:r>
        <w:t xml:space="preserve"> </w:t>
      </w:r>
      <w:r>
        <w:t xml:space="preserve">Craig: please fill in,</w:t>
      </w:r>
      <w:r>
        <w:t xml:space="preserve"> </w:t>
      </w:r>
      <w:r>
        <w:rPr>
          <w:vertAlign w:val="superscript"/>
        </w:rPr>
        <w:t xml:space="preserve">3</w:t>
      </w:r>
      <w:r>
        <w:t xml:space="preserve"> </w:t>
      </w:r>
      <w:r>
        <w:t xml:space="preserve">Jan: please fill in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Julia.henzler@uni-goettingen.de</w:t>
        </w:r>
      </w:hyperlink>
    </w:p>
    <w:p>
      <w:pPr>
        <w:pStyle w:val="FirstParagraph"/>
      </w:pPr>
      <w:r>
        <w:rPr>
          <w:bCs/>
          <w:b/>
        </w:rPr>
        <w:t xml:space="preserve">Target Journals:</w:t>
      </w:r>
      <w:r>
        <w:t xml:space="preserve">Methods in Ecology and Evolution, PLOS Computational Biology, Ecological Modeling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ecological functions, biodiversity, socio-economic functions, EFForTS-ABM, InVEST, trade-offs, software connection</w:t>
      </w:r>
    </w:p>
    <w:p>
      <w:pPr>
        <w:pStyle w:val="BodyText"/>
      </w:pPr>
      <w:r>
        <w:rPr>
          <w:bCs/>
          <w:b/>
        </w:rPr>
        <w:t xml:space="preserve">Key message:</w:t>
      </w:r>
      <w:r>
        <w:t xml:space="preserve"> </w:t>
      </w:r>
      <w:r>
        <w:t xml:space="preserve">Demonstration of the integration of the static terrestrial biodiversity model InVEST into the dynamic land-use change model EFForTS-ABM. As a result, synergies and trade-offs between biodiversity and socio-economic functions can be assessed simultaneously and dynamically at multiple temporal and spatial scales.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numPr>
          <w:ilvl w:val="0"/>
          <w:numId w:val="1002"/>
        </w:numPr>
        <w:pStyle w:val="Compact"/>
      </w:pPr>
      <w:r>
        <w:t xml:space="preserve">Relationship between ecological and socio-economic functions for conservation issues</w:t>
      </w:r>
    </w:p>
    <w:p>
      <w:pPr>
        <w:numPr>
          <w:ilvl w:val="1"/>
          <w:numId w:val="1003"/>
        </w:numPr>
        <w:pStyle w:val="Compact"/>
      </w:pPr>
      <w:r>
        <w:t xml:space="preserve">Ecological and socio-economic sphere (biodiversity as key index)</w:t>
      </w:r>
    </w:p>
    <w:p>
      <w:pPr>
        <w:numPr>
          <w:ilvl w:val="1"/>
          <w:numId w:val="1003"/>
        </w:numPr>
        <w:pStyle w:val="Compact"/>
      </w:pPr>
      <w:r>
        <w:t xml:space="preserve">Trade-offs and Synergies and possible problems when unbalanced</w:t>
      </w:r>
    </w:p>
    <w:p>
      <w:pPr>
        <w:numPr>
          <w:ilvl w:val="1"/>
          <w:numId w:val="1003"/>
        </w:numPr>
        <w:pStyle w:val="Compact"/>
      </w:pPr>
      <w:r>
        <w:t xml:space="preserve">Open question: Unclear relationship over time and space and the consequence for conservation</w:t>
      </w:r>
      <w:r>
        <w:t xml:space="preserve"> </w:t>
      </w:r>
      <w:r>
        <w:rPr>
          <w:iCs/>
          <w:i/>
        </w:rPr>
        <w:t xml:space="preserve">Rethink the audience and address first paragraph of introduction accordingly.</w:t>
      </w:r>
    </w:p>
    <w:p>
      <w:pPr>
        <w:numPr>
          <w:ilvl w:val="0"/>
          <w:numId w:val="1002"/>
        </w:numPr>
        <w:pStyle w:val="Compact"/>
      </w:pPr>
      <w:r>
        <w:t xml:space="preserve">Representation of both models separately and their issues</w:t>
      </w:r>
    </w:p>
    <w:p>
      <w:pPr>
        <w:numPr>
          <w:ilvl w:val="1"/>
          <w:numId w:val="1004"/>
        </w:numPr>
        <w:pStyle w:val="Compact"/>
      </w:pPr>
      <w:r>
        <w:t xml:space="preserve">Models are capable of examining relationships over multiple temporal and spatial scales….</w:t>
      </w:r>
    </w:p>
    <w:p>
      <w:pPr>
        <w:numPr>
          <w:ilvl w:val="1"/>
          <w:numId w:val="1004"/>
        </w:numPr>
        <w:pStyle w:val="Compact"/>
      </w:pPr>
      <w:r>
        <w:t xml:space="preserve">InVEST was developed for changes of ecosystems at different spatial and temporal scales but is a static model (as only 3 different landscapes can be used as input for simulation). Rapid assessment of biodiversity patterns and status : ecological functions + biodiversity via ecological production functions, static model, proven model: examples of applications</w:t>
      </w:r>
    </w:p>
    <w:p>
      <w:pPr>
        <w:numPr>
          <w:ilvl w:val="1"/>
          <w:numId w:val="1004"/>
        </w:numPr>
        <w:pStyle w:val="Compact"/>
      </w:pPr>
      <w:r>
        <w:t xml:space="preserve">EFForTS-ABM is a land-use change model where landscape is managed: socio-economic function, dynamic model</w:t>
      </w:r>
    </w:p>
    <w:p>
      <w:pPr>
        <w:numPr>
          <w:ilvl w:val="0"/>
          <w:numId w:val="1002"/>
        </w:numPr>
        <w:pStyle w:val="Compact"/>
      </w:pPr>
      <w:r>
        <w:t xml:space="preserve">Benefits of connection of EFForTS-ABM and InVEST:</w:t>
      </w:r>
    </w:p>
    <w:p>
      <w:pPr>
        <w:numPr>
          <w:ilvl w:val="1"/>
          <w:numId w:val="1005"/>
        </w:numPr>
        <w:pStyle w:val="Compact"/>
      </w:pPr>
      <w:r>
        <w:t xml:space="preserve">EFForTS-ABM can be used as dynamic input for InVEST</w:t>
      </w:r>
    </w:p>
    <w:p>
      <w:pPr>
        <w:numPr>
          <w:ilvl w:val="1"/>
          <w:numId w:val="1005"/>
        </w:numPr>
        <w:pStyle w:val="Compact"/>
      </w:pPr>
      <w:r>
        <w:t xml:space="preserve">EFForTS-ABM fits requirements to generate input for InVEST</w:t>
      </w:r>
    </w:p>
    <w:p>
      <w:pPr>
        <w:numPr>
          <w:ilvl w:val="1"/>
          <w:numId w:val="1005"/>
        </w:numPr>
        <w:pStyle w:val="Compact"/>
      </w:pPr>
      <w:r>
        <w:t xml:space="preserve">Output of InVEST can be processed dynamically within EFForTS-ABM</w:t>
      </w:r>
    </w:p>
    <w:p>
      <w:pPr>
        <w:numPr>
          <w:ilvl w:val="0"/>
          <w:numId w:val="1002"/>
        </w:numPr>
        <w:pStyle w:val="Compact"/>
      </w:pPr>
      <w:r>
        <w:t xml:space="preserve">Aim and Hypotheses</w:t>
      </w:r>
    </w:p>
    <w:p>
      <w:pPr>
        <w:numPr>
          <w:ilvl w:val="1"/>
          <w:numId w:val="1006"/>
        </w:numPr>
        <w:pStyle w:val="Compact"/>
      </w:pPr>
      <w:r>
        <w:t xml:space="preserve">Aim: Tool for simultaneously model socio-economic functions and biodiversity over time and space</w:t>
      </w:r>
    </w:p>
    <w:p>
      <w:pPr>
        <w:numPr>
          <w:ilvl w:val="1"/>
          <w:numId w:val="1006"/>
        </w:numPr>
        <w:pStyle w:val="Compact"/>
      </w:pPr>
      <w:r>
        <w:t xml:space="preserve">Connection is possible through narrow integrationlayer it can be easily implemented, maintained and comprehended (maybe to Abstract).</w:t>
      </w:r>
    </w:p>
    <w:bookmarkEnd w:id="21"/>
    <w:bookmarkStart w:id="25" w:name="methods"/>
    <w:p>
      <w:pPr>
        <w:pStyle w:val="Heading1"/>
      </w:pPr>
      <w:r>
        <w:t xml:space="preserve">2. Methods</w:t>
      </w:r>
    </w:p>
    <w:p>
      <w:pPr>
        <w:numPr>
          <w:ilvl w:val="0"/>
          <w:numId w:val="1007"/>
        </w:numPr>
        <w:pStyle w:val="Compact"/>
      </w:pPr>
      <w:r>
        <w:t xml:space="preserve">Models and procedures</w:t>
      </w:r>
    </w:p>
    <w:p>
      <w:pPr>
        <w:numPr>
          <w:ilvl w:val="1"/>
          <w:numId w:val="1008"/>
        </w:numPr>
        <w:pStyle w:val="Compact"/>
      </w:pPr>
      <w:r>
        <w:t xml:space="preserve">EFForTS-ABM: Economic submodel (mention LGraf as input-maps for ABM):</w:t>
      </w:r>
    </w:p>
    <w:p>
      <w:pPr>
        <w:pStyle w:val="CaptionedFigure"/>
      </w:pPr>
      <w:r>
        <w:drawing>
          <wp:inline>
            <wp:extent cx="3894193" cy="939977"/>
            <wp:effectExtent b="0" l="0" r="0" t="0"/>
            <wp:docPr descr="Figure x: Processes EFForTS-ABM:Economic Submodel" title="" id="1" name="Picture"/>
            <a:graphic>
              <a:graphicData uri="http://schemas.openxmlformats.org/drawingml/2006/picture">
                <pic:pic>
                  <pic:nvPicPr>
                    <pic:cNvPr descr="figures/png/Economic_si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93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Processes EFForTS-ABM:Economic Submodel</w:t>
      </w:r>
    </w:p>
    <w:p>
      <w:pPr>
        <w:numPr>
          <w:ilvl w:val="0"/>
          <w:numId w:val="1009"/>
        </w:numPr>
      </w:pPr>
      <w:r>
        <w:t xml:space="preserve">InVEST: habitat analysis: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72162" cy="1534657"/>
            <wp:effectExtent b="0" l="0" r="0" t="0"/>
            <wp:docPr descr="Figure x: Processes of InVEST:Terrestrial biodiversity" title="" id="1" name="Picture"/>
            <a:graphic>
              <a:graphicData uri="http://schemas.openxmlformats.org/drawingml/2006/picture">
                <pic:pic>
                  <pic:nvPicPr>
                    <pic:cNvPr descr="figures/png/InV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62" cy="153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Figure x: Processes of InVEST:Terrestrial biodiversity</w:t>
      </w:r>
    </w:p>
    <w:p>
      <w:pPr>
        <w:numPr>
          <w:ilvl w:val="0"/>
          <w:numId w:val="1009"/>
        </w:numPr>
      </w:pPr>
      <w:r>
        <w:t xml:space="preserve">Connection points and Input-Output-Transfer</w:t>
      </w:r>
    </w:p>
    <w:p>
      <w:pPr>
        <w:numPr>
          <w:ilvl w:val="0"/>
          <w:numId w:val="1009"/>
        </w:numPr>
      </w:pPr>
      <w:r>
        <w:t xml:space="preserve">EFForTS-ABM: generates input for InVEST (LULC-map, Impact-map, Sensitivity-table, impact-table, conversion (asc-&gt;tif)</w:t>
      </w:r>
    </w:p>
    <w:p>
      <w:pPr>
        <w:numPr>
          <w:ilvl w:val="0"/>
          <w:numId w:val="1009"/>
        </w:numPr>
      </w:pPr>
      <w:r>
        <w:t xml:space="preserve">InVEST Habitat Quality: generates input for EFForTS-ABM (habitat quality map) (tif-&gt;asc)</w:t>
      </w:r>
    </w:p>
    <w:p>
      <w:pPr>
        <w:numPr>
          <w:ilvl w:val="0"/>
          <w:numId w:val="1009"/>
        </w:numPr>
      </w:pPr>
      <w:r>
        <w:t xml:space="preserve">Mapping of output EFForTS-ABM to input InVEST</w:t>
      </w:r>
    </w:p>
    <w:p>
      <w:pPr>
        <w:numPr>
          <w:ilvl w:val="0"/>
          <w:numId w:val="1009"/>
        </w:numPr>
      </w:pPr>
      <w:r>
        <w:t xml:space="preserve">Mapping of output InVEST to input EFForTS-ABM</w:t>
      </w:r>
    </w:p>
    <w:p>
      <w:pPr>
        <w:pStyle w:val="CaptionedFigure"/>
      </w:pPr>
      <w:r>
        <w:drawing>
          <wp:inline>
            <wp:extent cx="5334000" cy="2387895"/>
            <wp:effectExtent b="0" l="0" r="0" t="0"/>
            <wp:docPr descr="Figure x: Input-Output-Transfer" title="" id="1" name="Picture"/>
            <a:graphic>
              <a:graphicData uri="http://schemas.openxmlformats.org/drawingml/2006/picture">
                <pic:pic>
                  <pic:nvPicPr>
                    <pic:cNvPr descr="figures/png/Input-Output-Trans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Input-Output-Transfer</w:t>
      </w:r>
    </w:p>
    <w:p>
      <w:pPr>
        <w:numPr>
          <w:ilvl w:val="0"/>
          <w:numId w:val="1010"/>
        </w:numPr>
        <w:pStyle w:val="Compact"/>
      </w:pPr>
      <w:r>
        <w:t xml:space="preserve">Functional and non-functional requirements</w:t>
      </w:r>
    </w:p>
    <w:p>
      <w:pPr>
        <w:numPr>
          <w:ilvl w:val="1"/>
          <w:numId w:val="1011"/>
        </w:numPr>
        <w:pStyle w:val="Compact"/>
      </w:pPr>
      <w:r>
        <w:t xml:space="preserve">Functional requirements: calculation of parcel-level habitat quality by invoking model InVEST</w:t>
      </w:r>
    </w:p>
    <w:p>
      <w:pPr>
        <w:numPr>
          <w:ilvl w:val="1"/>
          <w:numId w:val="1011"/>
        </w:numPr>
        <w:pStyle w:val="Compact"/>
      </w:pPr>
      <w:r>
        <w:t xml:space="preserve">Test functional requirements with Test Pyramid, built of unit-testing, integration-testing, acceptance-testing (theoretical application example: Parameter setting for InVEST, Parameter setting for EFForTS-ABM)</w:t>
      </w:r>
    </w:p>
    <w:p>
      <w:pPr>
        <w:numPr>
          <w:ilvl w:val="0"/>
          <w:numId w:val="1010"/>
        </w:numPr>
        <w:pStyle w:val="Compact"/>
      </w:pPr>
      <w:r>
        <w:t xml:space="preserve">Non-functional requirements: reproducibility</w:t>
      </w:r>
    </w:p>
    <w:bookmarkEnd w:id="25"/>
    <w:bookmarkStart w:id="27" w:name="results"/>
    <w:p>
      <w:pPr>
        <w:pStyle w:val="Heading1"/>
      </w:pPr>
      <w:r>
        <w:t xml:space="preserve">3. Results</w:t>
      </w:r>
    </w:p>
    <w:p>
      <w:pPr>
        <w:numPr>
          <w:ilvl w:val="0"/>
          <w:numId w:val="1012"/>
        </w:numPr>
        <w:pStyle w:val="Compact"/>
      </w:pPr>
      <w:r>
        <w:t xml:space="preserve">Connected Models:</w:t>
      </w:r>
    </w:p>
    <w:p>
      <w:pPr>
        <w:pStyle w:val="CaptionedFigure"/>
      </w:pPr>
      <w:r>
        <w:drawing>
          <wp:inline>
            <wp:extent cx="5334000" cy="7619999"/>
            <wp:effectExtent b="0" l="0" r="0" t="0"/>
            <wp:docPr descr="Figure x: Software-Architecture" title="" id="1" name="Picture"/>
            <a:graphic>
              <a:graphicData uri="http://schemas.openxmlformats.org/drawingml/2006/picture">
                <pic:pic>
                  <pic:nvPicPr>
                    <pic:cNvPr descr="figures/png/Software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x: Software-Architecture</w:t>
      </w:r>
    </w:p>
    <w:p>
      <w:pPr>
        <w:numPr>
          <w:ilvl w:val="0"/>
          <w:numId w:val="1013"/>
        </w:numPr>
        <w:pStyle w:val="Compact"/>
      </w:pPr>
      <w:r>
        <w:t xml:space="preserve">Implementation of biodiversity submodel as connection point and realization of Input-Output-Transfer:</w:t>
      </w:r>
    </w:p>
    <w:p>
      <w:pPr>
        <w:numPr>
          <w:ilvl w:val="1"/>
          <w:numId w:val="1014"/>
        </w:numPr>
        <w:pStyle w:val="Compact"/>
      </w:pPr>
      <w:r>
        <w:t xml:space="preserve">set-up-invest, write-tables, write-maps, convert-maps, run-invest, convert-habitat-quality-to-asc, save-habitat-quality-to-patch, aggregate-habitat-quality</w:t>
      </w:r>
    </w:p>
    <w:p>
      <w:pPr>
        <w:numPr>
          <w:ilvl w:val="0"/>
          <w:numId w:val="1013"/>
        </w:numPr>
        <w:pStyle w:val="Compact"/>
      </w:pPr>
      <w:r>
        <w:t xml:space="preserve">Functional requirements: results from test pyramid</w:t>
      </w:r>
    </w:p>
    <w:p>
      <w:pPr>
        <w:numPr>
          <w:ilvl w:val="0"/>
          <w:numId w:val="1013"/>
        </w:numPr>
        <w:pStyle w:val="Compact"/>
      </w:pPr>
      <w:r>
        <w:t xml:space="preserve">Non-functional requirements: dockerfile and singularity-container</w:t>
      </w:r>
    </w:p>
    <w:bookmarkEnd w:id="27"/>
    <w:bookmarkStart w:id="28" w:name="discussion"/>
    <w:p>
      <w:pPr>
        <w:pStyle w:val="Heading1"/>
      </w:pPr>
      <w:r>
        <w:t xml:space="preserve">4. Discussion</w:t>
      </w:r>
    </w:p>
    <w:p>
      <w:pPr>
        <w:numPr>
          <w:ilvl w:val="0"/>
          <w:numId w:val="1015"/>
        </w:numPr>
        <w:pStyle w:val="Compact"/>
      </w:pPr>
      <w:r>
        <w:t xml:space="preserve">Possible points to discuss</w:t>
      </w:r>
    </w:p>
    <w:p>
      <w:pPr>
        <w:numPr>
          <w:ilvl w:val="1"/>
          <w:numId w:val="1016"/>
        </w:numPr>
        <w:pStyle w:val="Compact"/>
      </w:pPr>
      <w:r>
        <w:t xml:space="preserve">Benefit of connection instead of usage separately (dynamic simulations, feedback between economic functions and biodiversity,….)</w:t>
      </w:r>
    </w:p>
    <w:p>
      <w:pPr>
        <w:numPr>
          <w:ilvl w:val="1"/>
          <w:numId w:val="1016"/>
        </w:numPr>
        <w:pStyle w:val="Compact"/>
      </w:pPr>
      <w:r>
        <w:t xml:space="preserve">Reference to Acceptance Test</w:t>
      </w:r>
    </w:p>
    <w:p>
      <w:pPr>
        <w:numPr>
          <w:ilvl w:val="0"/>
          <w:numId w:val="1015"/>
        </w:numPr>
        <w:pStyle w:val="Compact"/>
      </w:pPr>
      <w:r>
        <w:t xml:space="preserve">Conclusions</w:t>
      </w:r>
    </w:p>
    <w:p>
      <w:pPr>
        <w:numPr>
          <w:ilvl w:val="1"/>
          <w:numId w:val="1017"/>
        </w:numPr>
        <w:pStyle w:val="Compact"/>
      </w:pPr>
      <w:r>
        <w:t xml:space="preserve">Easy implementation, easy adjusting to different models</w:t>
      </w:r>
    </w:p>
    <w:p>
      <w:pPr>
        <w:numPr>
          <w:ilvl w:val="1"/>
          <w:numId w:val="1017"/>
        </w:numPr>
        <w:pStyle w:val="Compact"/>
      </w:pPr>
      <w:r>
        <w:t xml:space="preserve">New tool for assessing socio-economic functions simultaneously with ecological functions and biodiversity over time and space</w:t>
      </w:r>
    </w:p>
    <w:bookmarkEnd w:id="28"/>
    <w:bookmarkStart w:id="29" w:name="acknowledgements"/>
    <w:p>
      <w:pPr>
        <w:pStyle w:val="Heading1"/>
      </w:pPr>
      <w:r>
        <w:t xml:space="preserve">5. Acknowledgements</w:t>
      </w:r>
    </w:p>
    <w:p>
      <w:pPr>
        <w:pStyle w:val="FirstParagraph"/>
      </w:pPr>
      <w:r>
        <w:t xml:space="preserve">Funded by the Deutsche Forschungsgemeinschaft (DFG, German Research Foundation) – project number 192626868 – SFB 990 in the framework of the collaborative German-Indonesian research project CRC 990. Thank reviewers.</w:t>
      </w:r>
    </w:p>
    <w:bookmarkEnd w:id="29"/>
    <w:bookmarkStart w:id="30" w:name="supplementary-material"/>
    <w:p>
      <w:pPr>
        <w:pStyle w:val="Heading1"/>
      </w:pPr>
      <w:r>
        <w:t xml:space="preserve">6. Supplementary material</w:t>
      </w:r>
    </w:p>
    <w:p>
      <w:pPr>
        <w:numPr>
          <w:ilvl w:val="0"/>
          <w:numId w:val="1018"/>
        </w:numPr>
        <w:pStyle w:val="Compact"/>
      </w:pPr>
      <w:r>
        <w:t xml:space="preserve">Include more detailed Software-Architecture with every in- and output of both models (especially for economic submodel of EFForTS-ABM)</w:t>
      </w:r>
    </w:p>
    <w:bookmarkEnd w:id="30"/>
    <w:bookmarkStart w:id="31" w:name="open-questions"/>
    <w:p>
      <w:pPr>
        <w:pStyle w:val="Heading1"/>
      </w:pPr>
      <w:r>
        <w:t xml:space="preserve">Open questions:</w:t>
      </w:r>
    </w:p>
    <w:p>
      <w:pPr>
        <w:numPr>
          <w:ilvl w:val="0"/>
          <w:numId w:val="1019"/>
        </w:numPr>
        <w:pStyle w:val="Compact"/>
      </w:pPr>
      <w:r>
        <w:t xml:space="preserve">Include ODD-protocol for models? I would say no, because the focus is not on the models itself, but more on the connection, its realisation and the benefit.</w:t>
      </w:r>
    </w:p>
    <w:bookmarkEnd w:id="31"/>
    <w:bookmarkStart w:id="39" w:name="references"/>
    <w:p>
      <w:pPr>
        <w:pStyle w:val="Heading1"/>
      </w:pPr>
      <w:r>
        <w:t xml:space="preserve">References:</w:t>
      </w:r>
    </w:p>
    <w:p>
      <w:pPr>
        <w:pStyle w:val="FirstParagraph"/>
      </w:pPr>
      <w:hyperlink r:id="rId32">
        <w:r>
          <w:rPr>
            <w:rStyle w:val="Hyperlink"/>
          </w:rPr>
          <w:t xml:space="preserve">https://graberj.wordpress.com/2013/03/10/die-testpyramide/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https://martinfowler.com/articles/practical-test-pyramid.html#TheTestPyramid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https://files.ifi.uzh.ch/rerg/amadeus/teaching/courses/requirements_engineering_I_ws0607/Kapitel_01_Grundl.pdf</w:t>
        </w:r>
      </w:hyperlink>
    </w:p>
    <w:p>
      <w:pPr>
        <w:pStyle w:val="BodyText"/>
      </w:pPr>
      <w:r>
        <w:t xml:space="preserve">Virtual Environment: Reference?</w:t>
      </w:r>
    </w:p>
    <w:p>
      <w:pPr>
        <w:pStyle w:val="BodyText"/>
      </w:pPr>
      <w:r>
        <w:t xml:space="preserve">Unit Testing: Reference?</w:t>
      </w:r>
    </w:p>
    <w:bookmarkStart w:id="36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6"/>
    <w:bookmarkStart w:id="3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line_Integr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35" Target="http://rmarkdown.rstudio.com" TargetMode="External" /><Relationship Type="http://schemas.openxmlformats.org/officeDocument/2006/relationships/hyperlink" Id="rId34" Target="https://files.ifi.uzh.ch/rerg/amadeus/teaching/courses/requirements_engineering_I_ws0607/Kapitel_01_Grundl.pdf" TargetMode="External" /><Relationship Type="http://schemas.openxmlformats.org/officeDocument/2006/relationships/hyperlink" Id="rId32" Target="https://graberj.wordpress.com/2013/03/10/die-testpyramide/" TargetMode="External" /><Relationship Type="http://schemas.openxmlformats.org/officeDocument/2006/relationships/hyperlink" Id="rId33" Target="https://martinfowler.com/articles/practical-test-pyramid.html#TheTestPyramid" TargetMode="External" /><Relationship Type="http://schemas.openxmlformats.org/officeDocument/2006/relationships/hyperlink" Id="rId20" Target="mailto:Julia.henzler@uni-goettingen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rmarkdown.rstudio.com" TargetMode="External" /><Relationship Type="http://schemas.openxmlformats.org/officeDocument/2006/relationships/hyperlink" Id="rId34" Target="https://files.ifi.uzh.ch/rerg/amadeus/teaching/courses/requirements_engineering_I_ws0607/Kapitel_01_Grundl.pdf" TargetMode="External" /><Relationship Type="http://schemas.openxmlformats.org/officeDocument/2006/relationships/hyperlink" Id="rId32" Target="https://graberj.wordpress.com/2013/03/10/die-testpyramide/" TargetMode="External" /><Relationship Type="http://schemas.openxmlformats.org/officeDocument/2006/relationships/hyperlink" Id="rId33" Target="https://martinfowler.com/articles/practical-test-pyramid.html#TheTestPyramid" TargetMode="External" /><Relationship Type="http://schemas.openxmlformats.org/officeDocument/2006/relationships/hyperlink" Id="rId20" Target="mailto:Julia.henzler@uni-goettinge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of the model InVEST into the model EFForTS-ABM: new tool for dynamic simulation of socio-economic functions and ecological functions (biodiversity) simultaneously</dc:title>
  <dc:creator>Julia Henzler1*, Nils Beyer1, Sebastian Hanss1, Craig Eric Simpkins2, Jan Salecker^ 3^, Kerstin Wiegand1</dc:creator>
  <cp:keywords/>
  <dcterms:created xsi:type="dcterms:W3CDTF">2021-05-02T09:41:54Z</dcterms:created>
  <dcterms:modified xsi:type="dcterms:W3CDTF">2021-05-02T09:41:54Z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4/19/2021</vt:lpwstr>
  </property>
  <property fmtid="{D5CDD505-2E9C-101B-9397-08002B2CF9AE}" pid="3" name="output">
    <vt:lpwstr>word_document</vt:lpwstr>
  </property>
</Properties>
</file>