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575537AF" w:rsidR="00F13810" w:rsidRPr="00F13810" w:rsidRDefault="00BF0E62" w:rsidP="00F13810">
      <w:r>
        <w:t xml:space="preserve">The diffusivity of hydrogen in olivine is a fundamental physical quantity critical for understanding a wide range of earth and planetary processes, most notably for understanding the deep water cycle, which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 xml:space="preserve">FTIR measurements were performed at AMNH using the Thermo Nicolet Nexus 670 infrared </w:t>
      </w:r>
      <w:r w:rsidR="0013726D">
        <w:lastRenderedPageBreak/>
        <w:t>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B7698C">
        <w:t xml:space="preserve">Figure </w:t>
      </w:r>
      <w:r w:rsidR="00B7698C">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77777777" w:rsidR="000326FE" w:rsidRDefault="000326FE" w:rsidP="000326FE">
      <w:pPr>
        <w:keepNext/>
        <w:ind w:firstLine="0"/>
      </w:pPr>
      <w:r>
        <w:rPr>
          <w:noProof/>
        </w:rPr>
        <w:lastRenderedPageBreak/>
        <w:drawing>
          <wp:inline distT="0" distB="0" distL="0" distR="0" wp14:anchorId="4ED8DCDA" wp14:editId="709D84AA">
            <wp:extent cx="3200400" cy="2286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_experiments.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286098"/>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fldSimple w:instr=" SEQ Figure \* ARABIC ">
        <w:r w:rsidR="005A41FB">
          <w:rPr>
            <w:noProof/>
          </w:rPr>
          <w:t>1</w:t>
        </w:r>
      </w:fldSimple>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w:t>
      </w:r>
      <w:r w:rsidR="004535E9">
        <w:t xml:space="preserve">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77777777"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p>
    <w:p w14:paraId="431D6844" w14:textId="5EDBD660" w:rsidR="000423AF" w:rsidRPr="0013410E" w:rsidRDefault="0052578C" w:rsidP="00A40F70">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w:t>
      </w:r>
      <w:r w:rsidR="009A166D">
        <w:lastRenderedPageBreak/>
        <w:t xml:space="preserve">the quadratic baseline. </w:t>
      </w:r>
      <w:r w:rsidR="006135C8">
        <w:t>All FTIR spectra</w:t>
      </w:r>
      <w:r w:rsidR="002F2ACF">
        <w:t>, baselines,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14:paraId="5A35D670" w14:textId="77777777" w:rsidR="003E3B57" w:rsidRDefault="003E3B57" w:rsidP="003E3B57">
      <w:pPr>
        <w:pStyle w:val="Heading1"/>
      </w:pPr>
      <w:r>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219F768B"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B7698C">
        <w:t xml:space="preserve">Figure </w:t>
      </w:r>
      <w:r w:rsidR="00B7698C">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B7698C">
        <w:t xml:space="preserve">Table </w:t>
      </w:r>
      <w:r w:rsidR="00B7698C">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514CCE">
        <w:rPr>
          <w:b/>
        </w:rPr>
        <w:t xml:space="preserve">. </w:t>
      </w:r>
      <w:r w:rsidR="00514CCE">
        <w:t>The</w:t>
      </w:r>
      <w:r w:rsidR="00514CCE">
        <w:t xml:space="preserve"> hydrogen concentration</w:t>
      </w:r>
      <w:r w:rsidR="00514CCE">
        <w:t xml:space="preserve"> in </w:t>
      </w:r>
      <w:r w:rsidR="00514CCE">
        <w:t xml:space="preserve">the </w:t>
      </w:r>
      <w:r w:rsidR="00514CCE">
        <w:t>Kilauea Iki sample</w:t>
      </w:r>
      <w:r w:rsidR="00514CCE">
        <w:t>, for which the rims had been polished off to prepare the sample as a rectangular parallelepiped, was</w:t>
      </w:r>
      <w:r w:rsidR="00514CCE">
        <w:t xml:space="preserve"> homogeneous by both SIMS and FTIR. </w:t>
      </w:r>
    </w:p>
    <w:p w14:paraId="5DC83ADB" w14:textId="740022AB" w:rsidR="00615D54" w:rsidRDefault="00615D54" w:rsidP="00080FDE"/>
    <w:p w14:paraId="6586DE5D" w14:textId="77777777" w:rsidR="003E3B57" w:rsidRPr="003E3B57" w:rsidRDefault="003E3B57" w:rsidP="003E3B57"/>
    <w:p w14:paraId="020D8AD4" w14:textId="54C63798" w:rsidR="003B3D0B" w:rsidRDefault="003C2730" w:rsidP="003B3D0B">
      <w:pPr>
        <w:pStyle w:val="Heading2"/>
      </w:pPr>
      <w:r>
        <w:rPr>
          <w:noProof/>
        </w:rPr>
        <w:drawing>
          <wp:inline distT="0" distB="0" distL="0" distR="0" wp14:anchorId="534F9AC8" wp14:editId="351D6049">
            <wp:extent cx="5486400" cy="335059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polarized_FTIR.jpg"/>
                    <pic:cNvPicPr/>
                  </pic:nvPicPr>
                  <pic:blipFill rotWithShape="1">
                    <a:blip r:embed="rId9">
                      <a:extLst>
                        <a:ext uri="{28A0092B-C50C-407E-A947-70E740481C1C}">
                          <a14:useLocalDpi xmlns:a14="http://schemas.microsoft.com/office/drawing/2010/main" val="0"/>
                        </a:ext>
                      </a:extLst>
                    </a:blip>
                    <a:srcRect l="2051" t="12083" r="9360"/>
                    <a:stretch/>
                  </pic:blipFill>
                  <pic:spPr bwMode="auto">
                    <a:xfrm>
                      <a:off x="0" y="0"/>
                      <a:ext cx="5486400" cy="3350595"/>
                    </a:xfrm>
                    <a:prstGeom prst="rect">
                      <a:avLst/>
                    </a:prstGeom>
                    <a:ln>
                      <a:noFill/>
                    </a:ln>
                    <a:extLst>
                      <a:ext uri="{53640926-AAD7-44D8-BBD7-CCE9431645EC}">
                        <a14:shadowObscured xmlns:a14="http://schemas.microsoft.com/office/drawing/2010/main"/>
                      </a:ext>
                    </a:extLst>
                  </pic:spPr>
                </pic:pic>
              </a:graphicData>
            </a:graphic>
          </wp:inline>
        </w:drawing>
      </w:r>
    </w:p>
    <w:p w14:paraId="5C938FDA" w14:textId="040A6F3D" w:rsidR="003D731E" w:rsidRDefault="003B3D0B" w:rsidP="003B3D0B">
      <w:pPr>
        <w:pStyle w:val="Caption"/>
      </w:pPr>
      <w:bookmarkStart w:id="1" w:name="_Ref477259778"/>
      <w:r>
        <w:t xml:space="preserve">Figure </w:t>
      </w:r>
      <w:fldSimple w:instr=" SEQ Figure \* ARABIC ">
        <w:r w:rsidR="005A41FB">
          <w:rPr>
            <w:noProof/>
          </w:rPr>
          <w:t>2</w:t>
        </w:r>
      </w:fldSimple>
      <w:bookmarkEnd w:id="1"/>
      <w:r>
        <w:t xml:space="preserve">. Polarized FTIR spectra (blue) </w:t>
      </w:r>
      <w:r w:rsidR="00080FDE">
        <w:t xml:space="preserve">with electric vector E parallel to three orthogonal directions </w:t>
      </w:r>
      <w:r>
        <w:t xml:space="preserve">and baselines (black) used to estimate the initial water concentrations of Kilauea Iki olivine (Kiki) and San Carlos olivine (SC1-1 and SC1-2) reported in </w:t>
      </w:r>
      <w:r>
        <w:fldChar w:fldCharType="begin"/>
      </w:r>
      <w:r>
        <w:instrText xml:space="preserve"> REF _Ref477258465 \h </w:instrText>
      </w:r>
      <w:r>
        <w:fldChar w:fldCharType="separate"/>
      </w:r>
      <w:r w:rsidR="00B7698C">
        <w:t xml:space="preserve">Table </w:t>
      </w:r>
      <w:r w:rsidR="00B7698C">
        <w:rPr>
          <w:noProof/>
        </w:rPr>
        <w:t>1</w:t>
      </w:r>
      <w:r>
        <w:fldChar w:fldCharType="end"/>
      </w:r>
      <w:r>
        <w:t xml:space="preserve">. </w:t>
      </w:r>
      <w:r w:rsidR="00F52455">
        <w:t xml:space="preserve">The areas for all three baselines were averaged and used to produce the reported error on each area.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fldSimple w:instr=" SEQ Table \* ARABIC ">
        <w:r w:rsidR="00B7698C">
          <w:rPr>
            <w:noProof/>
          </w:rPr>
          <w:t>1</w:t>
        </w:r>
      </w:fldSimple>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B7698C">
        <w:t xml:space="preserve">Figure </w:t>
      </w:r>
      <w:r w:rsidR="00B7698C">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B7698C">
        <w:t xml:space="preserve">Figure </w:t>
      </w:r>
      <w:r w:rsidR="00B7698C">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Default="003C2730" w:rsidP="003C2730">
            <w:pPr>
              <w:ind w:firstLine="0"/>
            </w:pPr>
            <w:r>
              <w:t xml:space="preserve">32+/-23 </w:t>
            </w:r>
          </w:p>
          <w:p w14:paraId="7059AB56" w14:textId="16482362" w:rsidR="003C2730" w:rsidRDefault="003C2730" w:rsidP="003C2730">
            <w:pPr>
              <w:ind w:firstLine="0"/>
            </w:pPr>
            <w: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77777777" w:rsidR="00B81C76" w:rsidRDefault="00912D26" w:rsidP="00224CA4">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B7698C">
        <w:t xml:space="preserve">Figure </w:t>
      </w:r>
      <w:r w:rsidR="00B7698C">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B7698C">
        <w:t xml:space="preserve">Figure </w:t>
      </w:r>
      <w:r w:rsidR="00B7698C">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B7698C">
        <w:t xml:space="preserve">Figure </w:t>
      </w:r>
      <w:r w:rsidR="00B7698C">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B7698C">
        <w:t xml:space="preserve">Table </w:t>
      </w:r>
      <w:r w:rsidR="00B7698C">
        <w:rPr>
          <w:noProof/>
        </w:rPr>
        <w:t>1</w:t>
      </w:r>
      <w:r>
        <w:fldChar w:fldCharType="end"/>
      </w:r>
      <w:r>
        <w:t>.</w:t>
      </w:r>
      <w:r w:rsidR="00224CA4">
        <w:t xml:space="preserve"> </w:t>
      </w:r>
    </w:p>
    <w:p w14:paraId="4E538209" w14:textId="77777777" w:rsidR="00EE5B16" w:rsidRDefault="00C13F36" w:rsidP="00EE5B16">
      <w:pPr>
        <w:rPr>
          <w:rFonts w:cstheme="minorHAnsi"/>
        </w:rPr>
      </w:pPr>
      <w:r>
        <w:rPr>
          <w:rFonts w:cstheme="minorHAnsi"/>
        </w:rPr>
        <w:t>The hydrogen zonation in SC1-7 is primaril</w:t>
      </w:r>
      <w:r w:rsidR="00703148">
        <w:rPr>
          <w:rFonts w:cstheme="minorHAnsi"/>
        </w:rPr>
        <w:t>y observed || [001],</w:t>
      </w:r>
      <w:r>
        <w:rPr>
          <w:rFonts w:cstheme="minorHAnsi"/>
        </w:rPr>
        <w:t xml:space="preserve"> consistent with previously reported </w:t>
      </w:r>
      <w:r w:rsidR="007279B5">
        <w:rPr>
          <w:rFonts w:cstheme="minorHAnsi"/>
        </w:rPr>
        <w:t>work</w:t>
      </w:r>
      <w:r>
        <w:rPr>
          <w:rFonts w:cstheme="minorHAnsi"/>
        </w:rPr>
        <w:t xml:space="preserve"> </w:t>
      </w:r>
      <w:r>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002918DE" w:rsidRPr="002918DE">
        <w:rPr>
          <w:rFonts w:ascii="Calibri" w:hAnsi="Calibri"/>
        </w:rPr>
        <w:t>(Kohlstedt and Mackwell 1998; Demouchy and Mackwell 2006)</w:t>
      </w:r>
      <w:r>
        <w:rPr>
          <w:rFonts w:cstheme="minorHAnsi"/>
        </w:rPr>
        <w:fldChar w:fldCharType="end"/>
      </w:r>
      <w:r w:rsidR="00C574D3">
        <w:rPr>
          <w:rFonts w:cstheme="minorHAnsi"/>
        </w:rPr>
        <w:t>.</w:t>
      </w:r>
      <w:r w:rsidR="00170DC9">
        <w:rPr>
          <w:rFonts w:cstheme="minorHAnsi"/>
        </w:rPr>
        <w:t xml:space="preserve"> </w:t>
      </w:r>
      <w:r w:rsidR="0088552D">
        <w:rPr>
          <w:rFonts w:cstheme="minorHAnsi"/>
        </w:rPr>
        <w:t>The exact diffusivi</w:t>
      </w:r>
      <w:r w:rsidR="00A51905">
        <w:rPr>
          <w:rFonts w:cstheme="minorHAnsi"/>
        </w:rPr>
        <w:t>ties</w:t>
      </w:r>
      <w:r w:rsidR="0088552D">
        <w:rPr>
          <w:rFonts w:cstheme="minorHAnsi"/>
        </w:rPr>
        <w:t xml:space="preserve"> depe</w:t>
      </w:r>
      <w:r w:rsidR="00A51905">
        <w:rPr>
          <w:rFonts w:cstheme="minorHAnsi"/>
        </w:rPr>
        <w:t>nd</w:t>
      </w:r>
      <w:r w:rsidR="00001943">
        <w:rPr>
          <w:rFonts w:cstheme="minorHAnsi"/>
        </w:rPr>
        <w:t xml:space="preserve"> strongly on</w:t>
      </w:r>
      <w:r w:rsidR="00B624C2">
        <w:rPr>
          <w:rFonts w:cstheme="minorHAnsi"/>
        </w:rPr>
        <w:t xml:space="preserve"> both the choice of baselines used to determine the area under the curve and the </w:t>
      </w:r>
      <w:r w:rsidR="00A13CFD">
        <w:rPr>
          <w:rFonts w:cstheme="minorHAnsi"/>
        </w:rPr>
        <w:t xml:space="preserve">interpreted </w:t>
      </w:r>
      <w:r w:rsidR="00B624C2">
        <w:rPr>
          <w:rFonts w:cstheme="minorHAnsi"/>
        </w:rPr>
        <w:t>‘metastable equilibrium’ concentration</w:t>
      </w:r>
      <w:r w:rsidR="001B17F8">
        <w:rPr>
          <w:rFonts w:cstheme="minorHAnsi"/>
        </w:rPr>
        <w:t>, but are roughly the same order of magnitude as previously reported</w:t>
      </w:r>
      <w:r w:rsidR="00B81C76">
        <w:rPr>
          <w:rFonts w:cstheme="minorHAnsi"/>
        </w:rPr>
        <w:t>, with a fast direction || [001] of around 10</w:t>
      </w:r>
      <w:r w:rsidR="00B81C76" w:rsidRPr="00B81C76">
        <w:rPr>
          <w:rFonts w:cstheme="minorHAnsi"/>
          <w:vertAlign w:val="superscript"/>
        </w:rPr>
        <w:t>-12</w:t>
      </w:r>
      <w:r w:rsidR="00B81C76">
        <w:rPr>
          <w:rFonts w:cstheme="minorHAnsi"/>
        </w:rPr>
        <w:t xml:space="preserve"> m</w:t>
      </w:r>
      <w:r w:rsidR="00B81C76" w:rsidRPr="00B81C76">
        <w:rPr>
          <w:rFonts w:cstheme="minorHAnsi"/>
          <w:vertAlign w:val="superscript"/>
        </w:rPr>
        <w:t>2</w:t>
      </w:r>
      <w:r w:rsidR="00B81C76">
        <w:rPr>
          <w:rFonts w:cstheme="minorHAnsi"/>
        </w:rPr>
        <w:t>/s at 1000°C</w:t>
      </w:r>
      <w:r w:rsidR="00B624C2">
        <w:rPr>
          <w:rFonts w:cstheme="minorHAnsi"/>
        </w:rPr>
        <w:t>.</w:t>
      </w:r>
      <w:r w:rsidR="006C2330">
        <w:rPr>
          <w:rFonts w:cstheme="minorHAnsi"/>
        </w:rPr>
        <w:t xml:space="preserve"> </w:t>
      </w:r>
      <w:r w:rsidR="005F5BDF">
        <w:rPr>
          <w:rFonts w:cstheme="minorHAnsi"/>
        </w:rPr>
        <w:t>[Compare with expected solubilities from Yang and Mosenfelder.]</w:t>
      </w:r>
      <w:r w:rsidR="00EE5B16">
        <w:rPr>
          <w:rFonts w:cstheme="minorHAnsi"/>
        </w:rPr>
        <w:t xml:space="preserve"> </w:t>
      </w:r>
    </w:p>
    <w:p w14:paraId="51B47FC6" w14:textId="1F566521" w:rsidR="00C13F36" w:rsidRPr="00EE5B16" w:rsidRDefault="006C2330" w:rsidP="00EE5B16">
      <w:pPr>
        <w:rPr>
          <w:rFonts w:cstheme="minorHAnsi"/>
        </w:rPr>
      </w:pPr>
      <w:r>
        <w:rPr>
          <w:rFonts w:cstheme="minorHAnsi"/>
        </w:rPr>
        <w:t xml:space="preserve">Here we are concerned primarily with </w:t>
      </w:r>
      <w:r w:rsidR="00122FE2">
        <w:rPr>
          <w:rFonts w:cstheme="minorHAnsi"/>
        </w:rPr>
        <w:t xml:space="preserve">confirming </w:t>
      </w:r>
      <w:r>
        <w:rPr>
          <w:rFonts w:cstheme="minorHAnsi"/>
        </w:rPr>
        <w:t xml:space="preserve">the homogeneity of the partially hydrated sample SC1-2, which served as the starting material for subsequent dehydration experiments to explore dehydration within the relatively fast proton-polaron mechanism regime and at the very low hydrogen concentrations typical in volcanic phenocrysts. </w:t>
      </w:r>
      <w:r w:rsidR="00EE5B16">
        <w:rPr>
          <w:rFonts w:cstheme="minorHAnsi"/>
        </w:rPr>
        <w:t>Peaks were identified in both hydrated samples at</w:t>
      </w:r>
      <w:r w:rsidR="00E42FD9">
        <w:rPr>
          <w:rFonts w:cstheme="minorHAnsi"/>
        </w:rPr>
        <w:t xml:space="preserve"> wavenumbers</w:t>
      </w:r>
      <w:r w:rsidR="00EE5B16">
        <w:rPr>
          <w:rFonts w:cstheme="minorHAnsi"/>
        </w:rPr>
        <w:t xml:space="preserve"> </w:t>
      </w:r>
      <w:r w:rsidR="00EE5B16" w:rsidRPr="00EE5B16">
        <w:rPr>
          <w:rFonts w:cstheme="minorHAnsi"/>
        </w:rPr>
        <w:t>3600, 357</w:t>
      </w:r>
      <w:r w:rsidR="00EE5B16">
        <w:rPr>
          <w:rFonts w:cstheme="minorHAnsi"/>
        </w:rPr>
        <w:t>3, 3525, 3484, 3396, 3356, and 3236 cm</w:t>
      </w:r>
      <w:r w:rsidR="00EE5B16" w:rsidRPr="00E42FD9">
        <w:rPr>
          <w:rFonts w:cstheme="minorHAnsi"/>
          <w:vertAlign w:val="superscript"/>
        </w:rPr>
        <w:t>-1</w:t>
      </w:r>
      <w:r w:rsidR="00EE5B16">
        <w:rPr>
          <w:rFonts w:cstheme="minorHAnsi"/>
        </w:rPr>
        <w:t>. Profiles of the heights of these peaks show the same pattern as the bulk hydrogen: a relatively fast increase |</w:t>
      </w:r>
      <w:r w:rsidR="00277EE6">
        <w:rPr>
          <w:rFonts w:cstheme="minorHAnsi"/>
        </w:rPr>
        <w:t>| [100] in SC1-7 and homogeneity</w:t>
      </w:r>
      <w:r w:rsidR="00EE5B16">
        <w:rPr>
          <w:rFonts w:cstheme="minorHAnsi"/>
        </w:rPr>
        <w:t xml:space="preserve"> in SC1-2. </w:t>
      </w:r>
      <w:r w:rsidR="00277EE6">
        <w:rPr>
          <w:rFonts w:cstheme="minorHAnsi"/>
        </w:rPr>
        <w:t>These experiments suggest that (1) any site-specific differences in diffusion are minimal during hydration, and (2) SC1-2 is sufficiently homogeneous to serve as a reasonable starting material for dehydration experiments.</w:t>
      </w:r>
    </w:p>
    <w:p w14:paraId="14969F2E" w14:textId="0A1DC316" w:rsidR="00B75BC8" w:rsidRDefault="00145EA0" w:rsidP="00E123C0">
      <w:pPr>
        <w:keepNext/>
        <w:ind w:firstLine="0"/>
      </w:pPr>
      <w:r>
        <w:rPr>
          <w:noProof/>
        </w:rPr>
        <w:lastRenderedPageBreak/>
        <w:drawing>
          <wp:inline distT="0" distB="0" distL="0" distR="0" wp14:anchorId="30E5E67C" wp14:editId="7750EEE5">
            <wp:extent cx="5943600" cy="3406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rotWithShape="1">
                    <a:blip r:embed="rId10">
                      <a:extLst>
                        <a:ext uri="{28A0092B-C50C-407E-A947-70E740481C1C}">
                          <a14:useLocalDpi xmlns:a14="http://schemas.microsoft.com/office/drawing/2010/main" val="0"/>
                        </a:ext>
                      </a:extLst>
                    </a:blip>
                    <a:srcRect t="6875"/>
                    <a:stretch/>
                  </pic:blipFill>
                  <pic:spPr bwMode="auto">
                    <a:xfrm>
                      <a:off x="0" y="0"/>
                      <a:ext cx="5943600" cy="3406140"/>
                    </a:xfrm>
                    <a:prstGeom prst="rect">
                      <a:avLst/>
                    </a:prstGeom>
                    <a:ln>
                      <a:noFill/>
                    </a:ln>
                    <a:extLst>
                      <a:ext uri="{53640926-AAD7-44D8-BBD7-CCE9431645EC}">
                        <a14:shadowObscured xmlns:a14="http://schemas.microsoft.com/office/drawing/2010/main"/>
                      </a:ext>
                    </a:extLst>
                  </pic:spPr>
                </pic:pic>
              </a:graphicData>
            </a:graphic>
          </wp:inline>
        </w:drawing>
      </w:r>
    </w:p>
    <w:p w14:paraId="71656FCA" w14:textId="555BC470" w:rsidR="00A6289D" w:rsidRDefault="00E123C0" w:rsidP="00E123C0">
      <w:pPr>
        <w:pStyle w:val="Caption"/>
      </w:pPr>
      <w:bookmarkStart w:id="3" w:name="_Ref477446399"/>
      <w:r>
        <w:t xml:space="preserve">Figure </w:t>
      </w:r>
      <w:fldSimple w:instr=" SEQ Figure \* ARABIC ">
        <w:r w:rsidR="005A41FB">
          <w:rPr>
            <w:noProof/>
          </w:rPr>
          <w:t>3</w:t>
        </w:r>
      </w:fldSimple>
      <w:bookmarkEnd w:id="3"/>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 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74741C70" w:rsidR="0091550E" w:rsidRDefault="00667986" w:rsidP="0091550E">
      <w:pPr>
        <w:keepNext/>
        <w:ind w:firstLine="0"/>
      </w:pPr>
      <w:r>
        <w:rPr>
          <w:noProof/>
        </w:rPr>
        <w:drawing>
          <wp:inline distT="0" distB="0" distL="0" distR="0" wp14:anchorId="2573F125" wp14:editId="76E9AC0B">
            <wp:extent cx="572414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724144" cy="2377440"/>
                    </a:xfrm>
                    <a:prstGeom prst="rect">
                      <a:avLst/>
                    </a:prstGeom>
                  </pic:spPr>
                </pic:pic>
              </a:graphicData>
            </a:graphic>
          </wp:inline>
        </w:drawing>
      </w:r>
    </w:p>
    <w:p w14:paraId="2FF28B2C" w14:textId="51E714B2" w:rsidR="00AB4159" w:rsidRPr="00C704FC" w:rsidRDefault="0091550E" w:rsidP="00AB4159">
      <w:pPr>
        <w:pStyle w:val="Caption"/>
      </w:pPr>
      <w:r>
        <w:t xml:space="preserve">Figure </w:t>
      </w:r>
      <w:r w:rsidR="007A24C4">
        <w:fldChar w:fldCharType="begin"/>
      </w:r>
      <w:r w:rsidR="007A24C4">
        <w:instrText xml:space="preserve"> SEQ Figure \* ARABIC </w:instrText>
      </w:r>
      <w:r w:rsidR="007A24C4">
        <w:fldChar w:fldCharType="separate"/>
      </w:r>
      <w:r w:rsidR="005A41FB">
        <w:rPr>
          <w:noProof/>
        </w:rPr>
        <w:t>4</w:t>
      </w:r>
      <w:r w:rsidR="007A24C4">
        <w:rPr>
          <w:noProof/>
        </w:rPr>
        <w:fldChar w:fldCharType="end"/>
      </w:r>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rsidR="00A13CFD">
        <w:t xml:space="preserve"> and </w:t>
      </w:r>
      <w:r w:rsidR="004D4AAF">
        <w:t>using</w:t>
      </w:r>
      <w:r w:rsidR="00A13CFD">
        <w:t xml:space="preserve"> quadratic baselines like those shown in </w:t>
      </w:r>
      <w:r w:rsidR="00A13CFD">
        <w:fldChar w:fldCharType="begin"/>
      </w:r>
      <w:r w:rsidR="00A13CFD">
        <w:instrText xml:space="preserve"> REF _Ref477446399 \h </w:instrText>
      </w:r>
      <w:r w:rsidR="00A13CFD">
        <w:fldChar w:fldCharType="separate"/>
      </w:r>
      <w:r w:rsidR="00B7698C">
        <w:t xml:space="preserve">Figure </w:t>
      </w:r>
      <w:r w:rsidR="00B7698C">
        <w:rPr>
          <w:noProof/>
        </w:rPr>
        <w:t>3</w:t>
      </w:r>
      <w:r w:rsidR="00A13CFD">
        <w:fldChar w:fldCharType="end"/>
      </w:r>
      <w:r>
        <w:t>.</w:t>
      </w:r>
      <w:r w:rsidR="00AA6A33">
        <w:t xml:space="preserve"> 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B7698C">
        <w:t xml:space="preserve">Figure </w:t>
      </w:r>
      <w:r w:rsidR="00B7698C">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B7698C">
        <w:t xml:space="preserve">Table </w:t>
      </w:r>
      <w:r w:rsidR="00B7698C">
        <w:rPr>
          <w:noProof/>
        </w:rPr>
        <w:t>1</w:t>
      </w:r>
      <w:r w:rsidR="00AB4159">
        <w:fldChar w:fldCharType="end"/>
      </w:r>
      <w:r w:rsidR="00AB4159">
        <w:t xml:space="preserve">. </w:t>
      </w:r>
      <w:r w:rsidR="00B624C2">
        <w:t xml:space="preserve"> </w:t>
      </w:r>
    </w:p>
    <w:p w14:paraId="06D1D541" w14:textId="77777777" w:rsidR="003117B9" w:rsidRDefault="003117B9" w:rsidP="003117B9">
      <w:pPr>
        <w:pStyle w:val="Bibliography"/>
      </w:pPr>
    </w:p>
    <w:p w14:paraId="4FDA4CAA" w14:textId="77777777" w:rsidR="00EE5B16" w:rsidRDefault="00EE5B16" w:rsidP="00EE5B16">
      <w:pPr>
        <w:keepNext/>
        <w:ind w:firstLine="0"/>
      </w:pPr>
      <w:r>
        <w:rPr>
          <w:noProof/>
        </w:rPr>
        <w:lastRenderedPageBreak/>
        <w:drawing>
          <wp:inline distT="0" distB="0" distL="0" distR="0" wp14:anchorId="72E778E7" wp14:editId="6882EC5C">
            <wp:extent cx="5943600" cy="731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_peakspecif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15200"/>
                    </a:xfrm>
                    <a:prstGeom prst="rect">
                      <a:avLst/>
                    </a:prstGeom>
                  </pic:spPr>
                </pic:pic>
              </a:graphicData>
            </a:graphic>
          </wp:inline>
        </w:drawing>
      </w:r>
    </w:p>
    <w:p w14:paraId="6E50E297" w14:textId="3B6DE1CF" w:rsidR="00EE5B16" w:rsidRPr="00EE5B16" w:rsidRDefault="00EE5B16" w:rsidP="00EE5B16">
      <w:pPr>
        <w:pStyle w:val="Caption"/>
      </w:pPr>
      <w:r>
        <w:t xml:space="preserve">Figure </w:t>
      </w:r>
      <w:r w:rsidR="007A24C4">
        <w:fldChar w:fldCharType="begin"/>
      </w:r>
      <w:r w:rsidR="007A24C4">
        <w:instrText xml:space="preserve"> SEQ Figure \* ARABIC </w:instrText>
      </w:r>
      <w:r w:rsidR="007A24C4">
        <w:fldChar w:fldCharType="separate"/>
      </w:r>
      <w:r w:rsidR="005A41FB">
        <w:rPr>
          <w:noProof/>
        </w:rPr>
        <w:t>5</w:t>
      </w:r>
      <w:r w:rsidR="007A24C4">
        <w:rPr>
          <w:noProof/>
        </w:rPr>
        <w:fldChar w:fldCharType="end"/>
      </w:r>
      <w:r>
        <w:t xml:space="preserve">. Profiles of individual peak heights across San Carlos olivine samples SC1-2 and SC1-7 relative to the baselines shown in </w:t>
      </w:r>
      <w:r>
        <w:fldChar w:fldCharType="begin"/>
      </w:r>
      <w:r>
        <w:instrText xml:space="preserve"> REF _Ref477446399 \h </w:instrText>
      </w:r>
      <w:r>
        <w:fldChar w:fldCharType="separate"/>
      </w:r>
      <w:r w:rsidR="00B7698C">
        <w:t xml:space="preserve">Figure </w:t>
      </w:r>
      <w:r w:rsidR="00B7698C">
        <w:rPr>
          <w:noProof/>
        </w:rPr>
        <w:t>3</w:t>
      </w:r>
      <w:r>
        <w:fldChar w:fldCharType="end"/>
      </w:r>
      <w:r>
        <w:t>. Peak locations are labeled on the r</w:t>
      </w:r>
      <w:r w:rsidR="001219FD">
        <w:t>ight. Different</w:t>
      </w:r>
      <w:r>
        <w:t xml:space="preserve"> y-axis scales</w:t>
      </w:r>
      <w:r w:rsidR="001219FD">
        <w:t xml:space="preserve"> are used to emphasize the overall similarity in profile shapes among different peaks</w:t>
      </w:r>
      <w:r>
        <w:t>.</w:t>
      </w: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r>
        <w:br w:type="column"/>
      </w:r>
      <w:r w:rsidR="00AC3C8D">
        <w:lastRenderedPageBreak/>
        <w:t>Dehydration</w:t>
      </w:r>
    </w:p>
    <w:p w14:paraId="73877CD8" w14:textId="782AEFD1"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5A41FB">
        <w:t xml:space="preserve"> and distributions of hydrogen </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17BDBFC2">
            <wp:extent cx="477012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3">
                      <a:extLst>
                        <a:ext uri="{28A0092B-C50C-407E-A947-70E740481C1C}">
                          <a14:useLocalDpi xmlns:a14="http://schemas.microsoft.com/office/drawing/2010/main" val="0"/>
                        </a:ext>
                      </a:extLst>
                    </a:blip>
                    <a:srcRect l="13462" t="7912" r="6282"/>
                    <a:stretch/>
                  </pic:blipFill>
                  <pic:spPr bwMode="auto">
                    <a:xfrm>
                      <a:off x="0" y="0"/>
                      <a:ext cx="4770120" cy="3192780"/>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14:paraId="10948596" w14:textId="6B222D41" w:rsidR="0083348F" w:rsidRPr="006C1D09" w:rsidRDefault="005A41FB" w:rsidP="005A41FB">
      <w:pPr>
        <w:pStyle w:val="Caption"/>
      </w:pPr>
      <w:r>
        <w:t xml:space="preserve">Figure </w:t>
      </w:r>
      <w:fldSimple w:instr=" SEQ Figure \* ARABIC ">
        <w:r>
          <w:rPr>
            <w:noProof/>
          </w:rPr>
          <w:t>6</w:t>
        </w:r>
      </w:fldSimple>
      <w:r>
        <w:t>. Polarized FTIR spectra with electric vector E || [100] of untreated Kilauea Iki olivine Kiki and partially hydrated San Carlos olivine SC1-2. Both samples contain around 15 ppm H</w:t>
      </w:r>
      <w:r w:rsidRPr="005A41FB">
        <w:rPr>
          <w:vertAlign w:val="subscript"/>
        </w:rPr>
        <w:t>2</w:t>
      </w:r>
      <w:r>
        <w:t>O Hydrogen (</w:t>
      </w:r>
      <w:r>
        <w:fldChar w:fldCharType="begin"/>
      </w:r>
      <w:r>
        <w:instrText xml:space="preserve"> REF _Ref477258465 \h </w:instrText>
      </w:r>
      <w:r>
        <w:fldChar w:fldCharType="separate"/>
      </w:r>
      <w:r>
        <w:t xml:space="preserve">Table </w:t>
      </w:r>
      <w:r>
        <w:rPr>
          <w:noProof/>
        </w:rPr>
        <w:t>1</w:t>
      </w:r>
      <w:r>
        <w:fldChar w:fldCharType="end"/>
      </w:r>
      <w:r>
        <w:t xml:space="preserve">), but that Hydrogen is incorporated into the structures in different ways, resulting in different peak locations and heights. </w:t>
      </w:r>
    </w:p>
    <w:p w14:paraId="1F974E60" w14:textId="1EB15A1A" w:rsidR="00AC3C8D" w:rsidRDefault="00B7698C" w:rsidP="004535E9">
      <w:pPr>
        <w:pStyle w:val="Heading3"/>
      </w:pPr>
      <w:r>
        <w:t>Partially hydrated San Carlos olivine</w:t>
      </w:r>
    </w:p>
    <w:p w14:paraId="14DA6287" w14:textId="77777777" w:rsidR="00B7698C" w:rsidRPr="00B7698C" w:rsidRDefault="00B7698C" w:rsidP="00B7698C"/>
    <w:p w14:paraId="7211D291" w14:textId="4067B0A9" w:rsidR="00B7698C" w:rsidRPr="00B7698C" w:rsidRDefault="00B7698C" w:rsidP="00B7698C">
      <w:pPr>
        <w:pStyle w:val="Heading3"/>
      </w:pPr>
      <w:r>
        <w:t>Kilauea Iki olivine</w:t>
      </w:r>
    </w:p>
    <w:p w14:paraId="20A17D1B" w14:textId="77777777" w:rsidR="003117B9" w:rsidRDefault="003117B9" w:rsidP="003117B9">
      <w:pPr>
        <w:pStyle w:val="Heading1"/>
      </w:pPr>
      <w:r>
        <w:br w:type="column"/>
      </w:r>
      <w:r>
        <w:lastRenderedPageBreak/>
        <w:t>Bibliography</w:t>
      </w:r>
    </w:p>
    <w:p w14:paraId="601F5E1F" w14:textId="77777777" w:rsidR="002918DE" w:rsidRPr="002918DE" w:rsidRDefault="003117B9" w:rsidP="002918DE">
      <w:pPr>
        <w:pStyle w:val="Bibliography"/>
        <w:rPr>
          <w:rFonts w:ascii="Calibri" w:hAnsi="Calibri"/>
        </w:rPr>
      </w:pPr>
      <w:r>
        <w:fldChar w:fldCharType="begin"/>
      </w:r>
      <w:r w:rsidR="002918DE">
        <w:instrText xml:space="preserve"> ADDIN ZOTERO_BIBL {"custom":[]} CSL_BIBLIOGRAPHY </w:instrText>
      </w:r>
      <w:r>
        <w:fldChar w:fldCharType="separate"/>
      </w:r>
      <w:r w:rsidR="002918DE" w:rsidRPr="002918DE">
        <w:rPr>
          <w:rFonts w:ascii="Calibri" w:hAnsi="Calibri"/>
        </w:rPr>
        <w:br/>
        <w:t>Bell, D. R., and G. R. Rossman</w:t>
      </w:r>
      <w:r w:rsidR="002918DE" w:rsidRPr="002918DE">
        <w:rPr>
          <w:rFonts w:ascii="Calibri" w:hAnsi="Calibri"/>
        </w:rPr>
        <w:br/>
        <w:t xml:space="preserve"> 1992</w:t>
      </w:r>
      <w:r w:rsidR="002918DE" w:rsidRPr="002918DE">
        <w:rPr>
          <w:rFonts w:ascii="Calibri" w:hAnsi="Calibri"/>
        </w:rPr>
        <w:tab/>
        <w:t>Water in Earth’s Mantle: The Role of Nominally Anhydrous Minerals. Science 255(5050). WOS:A1992HH74400043: 1391–1397.</w:t>
      </w:r>
    </w:p>
    <w:p w14:paraId="2E6ABAAE" w14:textId="77777777" w:rsidR="002918DE" w:rsidRPr="002918DE" w:rsidRDefault="002918DE" w:rsidP="002918DE">
      <w:pPr>
        <w:pStyle w:val="Bibliography"/>
        <w:rPr>
          <w:rFonts w:ascii="Calibri" w:hAnsi="Calibri"/>
        </w:rPr>
      </w:pPr>
      <w:r w:rsidRPr="002918DE">
        <w:rPr>
          <w:rFonts w:ascii="Calibri" w:hAnsi="Calibri"/>
        </w:rPr>
        <w:br/>
        <w:t>Bell, D. R., G. R. Rossman, J. Maldener, D. Endisch, and F. Rauch</w:t>
      </w:r>
      <w:r w:rsidRPr="002918DE">
        <w:rPr>
          <w:rFonts w:ascii="Calibri" w:hAnsi="Calibri"/>
        </w:rPr>
        <w:br/>
        <w:t xml:space="preserve"> 2003</w:t>
      </w:r>
      <w:r w:rsidRPr="002918DE">
        <w:rPr>
          <w:rFonts w:ascii="Calibri" w:hAnsi="Calibri"/>
        </w:rPr>
        <w:tab/>
        <w:t>Hydroxide in Olivine: A Quantitative Determination of the Absolute Amount and Calibration of the IR Spectrum. Journal of Geophysical Research-Solid Earth 108(B2). WOS:000181985400002. ://WOS:000181985400002.</w:t>
      </w:r>
    </w:p>
    <w:p w14:paraId="4F8882DF" w14:textId="77777777" w:rsidR="002918DE" w:rsidRPr="002918DE" w:rsidRDefault="002918DE" w:rsidP="002918DE">
      <w:pPr>
        <w:pStyle w:val="Bibliography"/>
        <w:rPr>
          <w:rFonts w:ascii="Calibri" w:hAnsi="Calibri"/>
        </w:rPr>
      </w:pPr>
      <w:r w:rsidRPr="002918DE">
        <w:rPr>
          <w:rFonts w:ascii="Calibri" w:hAnsi="Calibri"/>
        </w:rPr>
        <w:br/>
        <w:t>Demouchy, S., and S. Mackwell</w:t>
      </w:r>
      <w:r w:rsidRPr="002918DE">
        <w:rPr>
          <w:rFonts w:ascii="Calibri" w:hAnsi="Calibri"/>
        </w:rPr>
        <w:br/>
        <w:t xml:space="preserve"> 2006</w:t>
      </w:r>
      <w:r w:rsidRPr="002918DE">
        <w:rPr>
          <w:rFonts w:ascii="Calibri" w:hAnsi="Calibri"/>
        </w:rPr>
        <w:tab/>
        <w:t>Mechanisms of Hydrogen Incorporation and Diffusion in Iron-Bearing Olivine. Physics and Chemistry of Minerals 33(5). WOS:000240439000005: 347–355.</w:t>
      </w:r>
    </w:p>
    <w:p w14:paraId="431180CD" w14:textId="77777777" w:rsidR="002918DE" w:rsidRPr="002918DE" w:rsidRDefault="002918DE" w:rsidP="002918DE">
      <w:pPr>
        <w:pStyle w:val="Bibliography"/>
        <w:rPr>
          <w:rFonts w:ascii="Calibri" w:hAnsi="Calibri"/>
        </w:rPr>
      </w:pPr>
      <w:r w:rsidRPr="002918DE">
        <w:rPr>
          <w:rFonts w:ascii="Calibri" w:hAnsi="Calibri"/>
        </w:rPr>
        <w:br/>
        <w:t>Ferguson, David J., Helge M. Gonnermann, Philipp Ruprecht, et al.</w:t>
      </w:r>
      <w:r w:rsidRPr="002918DE">
        <w:rPr>
          <w:rFonts w:ascii="Calibri" w:hAnsi="Calibri"/>
        </w:rPr>
        <w:br/>
        <w:t xml:space="preserve"> 2016</w:t>
      </w:r>
      <w:r w:rsidRPr="002918DE">
        <w:rPr>
          <w:rFonts w:ascii="Calibri" w:hAnsi="Calibri"/>
        </w:rPr>
        <w:tab/>
        <w:t>Magma Decompression Rates during Explosive Eruptions of Kīlauea Volcano, Hawaii, Recorded by Melt Embayments. Bulletin of Volcanology 78(10): 71.</w:t>
      </w:r>
    </w:p>
    <w:p w14:paraId="1186FF82" w14:textId="77777777" w:rsidR="002918DE" w:rsidRPr="002918DE" w:rsidRDefault="002918DE" w:rsidP="002918DE">
      <w:pPr>
        <w:pStyle w:val="Bibliography"/>
        <w:rPr>
          <w:rFonts w:ascii="Calibri" w:hAnsi="Calibri"/>
        </w:rPr>
      </w:pPr>
      <w:r w:rsidRPr="002918DE">
        <w:rPr>
          <w:rFonts w:ascii="Calibri" w:hAnsi="Calibri"/>
        </w:rPr>
        <w:br/>
        <w:t>Ferriss, E.</w:t>
      </w:r>
      <w:r w:rsidRPr="002918DE">
        <w:rPr>
          <w:rFonts w:ascii="Calibri" w:hAnsi="Calibri"/>
        </w:rPr>
        <w:br/>
        <w:t xml:space="preserve"> 2015</w:t>
      </w:r>
      <w:r w:rsidRPr="002918DE">
        <w:rPr>
          <w:rFonts w:ascii="Calibri" w:hAnsi="Calibri"/>
        </w:rPr>
        <w:tab/>
        <w:t>Pynams: A Python Package for Interpreting FTIR Spectra of Nominally Anhydrous Minerals (NAMs). New York. https://github.com/EFerriss/pynams.</w:t>
      </w:r>
    </w:p>
    <w:p w14:paraId="0304D933" w14:textId="77777777" w:rsidR="002918DE" w:rsidRPr="002918DE" w:rsidRDefault="002918DE" w:rsidP="002918DE">
      <w:pPr>
        <w:pStyle w:val="Bibliography"/>
        <w:rPr>
          <w:rFonts w:ascii="Calibri" w:hAnsi="Calibri"/>
        </w:rPr>
      </w:pPr>
      <w:r w:rsidRPr="002918DE">
        <w:rPr>
          <w:rFonts w:ascii="Calibri" w:hAnsi="Calibri"/>
        </w:rPr>
        <w:br/>
        <w:t>Ferriss, E., T. Plank, D. Walker, and M. Nettles</w:t>
      </w:r>
      <w:r w:rsidRPr="002918DE">
        <w:rPr>
          <w:rFonts w:ascii="Calibri" w:hAnsi="Calibri"/>
        </w:rPr>
        <w:br/>
        <w:t xml:space="preserve"> 2015</w:t>
      </w:r>
      <w:r w:rsidRPr="002918DE">
        <w:rPr>
          <w:rFonts w:ascii="Calibri" w:hAnsi="Calibri"/>
        </w:rPr>
        <w:tab/>
        <w:t>The Whole-Block Approach to Measuring Hydrogen Diffusivity in Nominally Anhydrous Minerals. American Mineralogist 100(4). WOS:000352175700017: 837–851.</w:t>
      </w:r>
    </w:p>
    <w:p w14:paraId="6C0D2B21" w14:textId="77777777" w:rsidR="002918DE" w:rsidRPr="002918DE" w:rsidRDefault="002918DE" w:rsidP="002918DE">
      <w:pPr>
        <w:pStyle w:val="Bibliography"/>
        <w:rPr>
          <w:rFonts w:ascii="Calibri" w:hAnsi="Calibri"/>
        </w:rPr>
      </w:pPr>
      <w:r w:rsidRPr="002918DE">
        <w:rPr>
          <w:rFonts w:ascii="Calibri" w:hAnsi="Calibri"/>
        </w:rPr>
        <w:br/>
        <w:t>Ferriss, Elizabeth, Terry Plank, and David Walker</w:t>
      </w:r>
      <w:r w:rsidRPr="002918DE">
        <w:rPr>
          <w:rFonts w:ascii="Calibri" w:hAnsi="Calibri"/>
        </w:rPr>
        <w:br/>
        <w:t xml:space="preserve"> 2016</w:t>
      </w:r>
      <w:r w:rsidRPr="002918DE">
        <w:rPr>
          <w:rFonts w:ascii="Calibri" w:hAnsi="Calibri"/>
        </w:rPr>
        <w:tab/>
        <w:t>Site-Specific Hydrogen Diffusion Rates during Clinopyroxene Dehydration. Contributions to Mineralogy and Petrology 171(6): 1–24.</w:t>
      </w:r>
    </w:p>
    <w:p w14:paraId="503C7445" w14:textId="77777777" w:rsidR="002918DE" w:rsidRPr="002918DE" w:rsidRDefault="002918DE" w:rsidP="002918DE">
      <w:pPr>
        <w:pStyle w:val="Bibliography"/>
        <w:rPr>
          <w:rFonts w:ascii="Calibri" w:hAnsi="Calibri"/>
        </w:rPr>
      </w:pPr>
      <w:r w:rsidRPr="002918DE">
        <w:rPr>
          <w:rFonts w:ascii="Calibri" w:hAnsi="Calibri"/>
        </w:rPr>
        <w:br/>
        <w:t>Jollands, Michael C., José Alberto Padrón-Navarta, Jörg Hermann, and Hugh St.C. O’Neill</w:t>
      </w:r>
      <w:r w:rsidRPr="002918DE">
        <w:rPr>
          <w:rFonts w:ascii="Calibri" w:hAnsi="Calibri"/>
        </w:rPr>
        <w:br/>
        <w:t xml:space="preserve"> 2016</w:t>
      </w:r>
      <w:r w:rsidRPr="002918DE">
        <w:rPr>
          <w:rFonts w:ascii="Calibri" w:hAnsi="Calibri"/>
        </w:rPr>
        <w:tab/>
        <w:t>Hydrogen Diffusion in Ti-Doped Forsterite and the Preservation of Metastable Point Defects. American Mineralogist 101(7): 1560–1570.</w:t>
      </w:r>
    </w:p>
    <w:p w14:paraId="3A455F65" w14:textId="77777777" w:rsidR="002918DE" w:rsidRPr="002918DE" w:rsidRDefault="002918DE" w:rsidP="002918DE">
      <w:pPr>
        <w:pStyle w:val="Bibliography"/>
        <w:rPr>
          <w:rFonts w:ascii="Calibri" w:hAnsi="Calibri"/>
        </w:rPr>
      </w:pPr>
      <w:r w:rsidRPr="002918DE">
        <w:rPr>
          <w:rFonts w:ascii="Calibri" w:hAnsi="Calibri"/>
        </w:rPr>
        <w:br/>
        <w:t>Keppler, Hans, and Joseph R. Smyth</w:t>
      </w:r>
      <w:r w:rsidRPr="002918DE">
        <w:rPr>
          <w:rFonts w:ascii="Calibri" w:hAnsi="Calibri"/>
        </w:rPr>
        <w:br/>
        <w:t xml:space="preserve"> 2006</w:t>
      </w:r>
      <w:r w:rsidRPr="002918DE">
        <w:rPr>
          <w:rFonts w:ascii="Calibri" w:hAnsi="Calibri"/>
        </w:rPr>
        <w:tab/>
        <w:t>Water in Nominally Anhydrous Minerals, vol.62. Reviews in Mineralogy and Geochemistry. Mineralogical Society of America.</w:t>
      </w:r>
    </w:p>
    <w:p w14:paraId="126987DA" w14:textId="77777777" w:rsidR="002918DE" w:rsidRPr="002918DE" w:rsidRDefault="002918DE" w:rsidP="002918DE">
      <w:pPr>
        <w:pStyle w:val="Bibliography"/>
        <w:rPr>
          <w:rFonts w:ascii="Calibri" w:hAnsi="Calibri"/>
        </w:rPr>
      </w:pPr>
      <w:r w:rsidRPr="002918DE">
        <w:rPr>
          <w:rFonts w:ascii="Calibri" w:hAnsi="Calibri"/>
        </w:rPr>
        <w:br/>
        <w:t>Kohlstedt, D. L., and S. J. Mackwell</w:t>
      </w:r>
      <w:r w:rsidRPr="002918DE">
        <w:rPr>
          <w:rFonts w:ascii="Calibri" w:hAnsi="Calibri"/>
        </w:rPr>
        <w:br/>
        <w:t xml:space="preserve"> 1998</w:t>
      </w:r>
      <w:r w:rsidRPr="002918DE">
        <w:rPr>
          <w:rFonts w:ascii="Calibri" w:hAnsi="Calibri"/>
        </w:rPr>
        <w:tab/>
        <w:t>Diffusion of Hydrogen and Intrinsic Point Defects in Olivine. Zeitschrift Fur Physikalische Chemie-International Journal of Research in Physical Chemistry &amp; Chemical Physics 207. WOS:000076569300010: 147–162.</w:t>
      </w:r>
    </w:p>
    <w:p w14:paraId="758D67B8" w14:textId="77777777" w:rsidR="002918DE" w:rsidRPr="002918DE" w:rsidRDefault="002918DE" w:rsidP="002918DE">
      <w:pPr>
        <w:pStyle w:val="Bibliography"/>
        <w:rPr>
          <w:rFonts w:ascii="Calibri" w:hAnsi="Calibri"/>
        </w:rPr>
      </w:pPr>
      <w:r w:rsidRPr="002918DE">
        <w:rPr>
          <w:rFonts w:ascii="Calibri" w:hAnsi="Calibri"/>
        </w:rPr>
        <w:br/>
        <w:t>Kurosawa, M., H. Yurimoto, and S. Sueno</w:t>
      </w:r>
      <w:r w:rsidRPr="002918DE">
        <w:rPr>
          <w:rFonts w:ascii="Calibri" w:hAnsi="Calibri"/>
        </w:rPr>
        <w:br/>
        <w:t xml:space="preserve"> 1997</w:t>
      </w:r>
      <w:r w:rsidRPr="002918DE">
        <w:rPr>
          <w:rFonts w:ascii="Calibri" w:hAnsi="Calibri"/>
        </w:rPr>
        <w:tab/>
        <w:t>Patterns in the Hydrogen and Trace Element Compositions of Mantle Olivines. Physics and Chemistry of Glasses 24: 385–395.</w:t>
      </w:r>
    </w:p>
    <w:p w14:paraId="4CD10085" w14:textId="77777777" w:rsidR="002918DE" w:rsidRPr="002918DE" w:rsidRDefault="002918DE" w:rsidP="002918DE">
      <w:pPr>
        <w:pStyle w:val="Bibliography"/>
        <w:rPr>
          <w:rFonts w:ascii="Calibri" w:hAnsi="Calibri"/>
        </w:rPr>
      </w:pPr>
      <w:r w:rsidRPr="002918DE">
        <w:rPr>
          <w:rFonts w:ascii="Calibri" w:hAnsi="Calibri"/>
        </w:rPr>
        <w:lastRenderedPageBreak/>
        <w:br/>
        <w:t>Libowitzky, E., and G. R. Rossman</w:t>
      </w:r>
      <w:r w:rsidRPr="002918DE">
        <w:rPr>
          <w:rFonts w:ascii="Calibri" w:hAnsi="Calibri"/>
        </w:rPr>
        <w:br/>
        <w:t xml:space="preserve"> 1996</w:t>
      </w:r>
      <w:r w:rsidRPr="002918DE">
        <w:rPr>
          <w:rFonts w:ascii="Calibri" w:hAnsi="Calibri"/>
        </w:rPr>
        <w:tab/>
        <w:t>Principles of Quantitative Absorbance Measurements in Anisotropic Crystals. Physics and Chemistry of Minerals 23(6). WOS:A1996VD85000001: 319–327.</w:t>
      </w:r>
    </w:p>
    <w:p w14:paraId="090DBFC4" w14:textId="77777777" w:rsidR="002918DE" w:rsidRPr="002918DE" w:rsidRDefault="002918DE" w:rsidP="002918DE">
      <w:pPr>
        <w:pStyle w:val="Bibliography"/>
        <w:rPr>
          <w:rFonts w:ascii="Calibri" w:hAnsi="Calibri"/>
        </w:rPr>
      </w:pPr>
      <w:r w:rsidRPr="002918DE">
        <w:rPr>
          <w:rFonts w:ascii="Calibri" w:hAnsi="Calibri"/>
        </w:rPr>
        <w:br/>
        <w:t>Mackwell, S. J., and D. L. Kohlstedt</w:t>
      </w:r>
      <w:r w:rsidRPr="002918DE">
        <w:rPr>
          <w:rFonts w:ascii="Calibri" w:hAnsi="Calibri"/>
        </w:rPr>
        <w:br/>
        <w:t xml:space="preserve"> 1990</w:t>
      </w:r>
      <w:r w:rsidRPr="002918DE">
        <w:rPr>
          <w:rFonts w:ascii="Calibri" w:hAnsi="Calibri"/>
        </w:rPr>
        <w:tab/>
        <w:t>Diffusion of Hydrogen in Olivine - Implications for Water in the Mantle. Journal of Geophysical Research-Solid Earth and Planets 95(B4). WOS:A1990CZ37500052: 5079–5088.</w:t>
      </w:r>
    </w:p>
    <w:p w14:paraId="6F8286AF" w14:textId="77777777" w:rsidR="002918DE" w:rsidRPr="002918DE" w:rsidRDefault="002918DE" w:rsidP="002918DE">
      <w:pPr>
        <w:pStyle w:val="Bibliography"/>
        <w:rPr>
          <w:rFonts w:ascii="Calibri" w:hAnsi="Calibri"/>
        </w:rPr>
      </w:pPr>
      <w:r w:rsidRPr="002918DE">
        <w:rPr>
          <w:rFonts w:ascii="Calibri" w:hAnsi="Calibri"/>
        </w:rPr>
        <w:br/>
        <w:t>Peslier, A. H., and J. F. Luhr</w:t>
      </w:r>
      <w:r w:rsidRPr="002918DE">
        <w:rPr>
          <w:rFonts w:ascii="Calibri" w:hAnsi="Calibri"/>
        </w:rPr>
        <w:br/>
        <w:t xml:space="preserve"> 2006</w:t>
      </w:r>
      <w:r w:rsidRPr="002918DE">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7D75E886" w14:textId="77777777" w:rsidR="002918DE" w:rsidRPr="002918DE" w:rsidRDefault="002918DE" w:rsidP="002918DE">
      <w:pPr>
        <w:pStyle w:val="Bibliography"/>
        <w:rPr>
          <w:rFonts w:ascii="Calibri" w:hAnsi="Calibri"/>
        </w:rPr>
      </w:pPr>
      <w:r w:rsidRPr="002918DE">
        <w:rPr>
          <w:rFonts w:ascii="Calibri" w:hAnsi="Calibri"/>
        </w:rPr>
        <w:br/>
        <w:t>Ruprecht, Philipp, and Terry Plank</w:t>
      </w:r>
      <w:r w:rsidRPr="002918DE">
        <w:rPr>
          <w:rFonts w:ascii="Calibri" w:hAnsi="Calibri"/>
        </w:rPr>
        <w:br/>
        <w:t xml:space="preserve"> 2013</w:t>
      </w:r>
      <w:r w:rsidRPr="002918DE">
        <w:rPr>
          <w:rFonts w:ascii="Calibri" w:hAnsi="Calibri"/>
        </w:rPr>
        <w:tab/>
        <w:t>Feeding Andesitic Eruptions with a High-Speed Connection from the Mantle. Nature 500(7460): 68–72.</w:t>
      </w:r>
    </w:p>
    <w:p w14:paraId="2F664DBF" w14:textId="77777777" w:rsidR="002918DE" w:rsidRPr="002918DE" w:rsidRDefault="002918DE" w:rsidP="002918DE">
      <w:pPr>
        <w:pStyle w:val="Bibliography"/>
        <w:rPr>
          <w:rFonts w:ascii="Calibri" w:hAnsi="Calibri"/>
        </w:rPr>
      </w:pPr>
      <w:r w:rsidRPr="002918DE">
        <w:rPr>
          <w:rFonts w:ascii="Calibri" w:hAnsi="Calibri"/>
        </w:rPr>
        <w:br/>
        <w:t>Shuai, Kang, and Xiaozhi Yang</w:t>
      </w:r>
      <w:r w:rsidRPr="002918DE">
        <w:rPr>
          <w:rFonts w:ascii="Calibri" w:hAnsi="Calibri"/>
        </w:rPr>
        <w:br/>
        <w:t xml:space="preserve"> 2017</w:t>
      </w:r>
      <w:r w:rsidRPr="002918DE">
        <w:rPr>
          <w:rFonts w:ascii="Calibri" w:hAnsi="Calibri"/>
        </w:rPr>
        <w:tab/>
        <w:t>Quantitative Analysis of H-Species in Anisotropic Minerals by Polarized Infrared Spectroscopy along Three Orthogonal Directions. Contributions to Mineralogy and Petrology 172(2–3): 14.</w:t>
      </w:r>
    </w:p>
    <w:p w14:paraId="02C175FA" w14:textId="77777777" w:rsidR="002918DE" w:rsidRPr="002918DE" w:rsidRDefault="002918DE" w:rsidP="002918DE">
      <w:pPr>
        <w:pStyle w:val="Bibliography"/>
        <w:rPr>
          <w:rFonts w:ascii="Calibri" w:hAnsi="Calibri"/>
        </w:rPr>
      </w:pPr>
      <w:r w:rsidRPr="002918DE">
        <w:rPr>
          <w:rFonts w:ascii="Calibri" w:hAnsi="Calibri"/>
        </w:rPr>
        <w:br/>
        <w:t>Withers, A. C.</w:t>
      </w:r>
      <w:r w:rsidRPr="002918DE">
        <w:rPr>
          <w:rFonts w:ascii="Calibri" w:hAnsi="Calibri"/>
        </w:rPr>
        <w:br/>
        <w:t xml:space="preserve"> 2013</w:t>
      </w:r>
      <w:r w:rsidRPr="002918DE">
        <w:rPr>
          <w:rFonts w:ascii="Calibri" w:hAnsi="Calibri"/>
        </w:rPr>
        <w:tab/>
        <w:t>The Pitzer and Sterner Equation of State for Water. http://www.geo.umn.edu/people/researchers/withe012/fugacity.htm, accessed August 6, 2013.</w:t>
      </w:r>
    </w:p>
    <w:p w14:paraId="52D7A646" w14:textId="77777777" w:rsidR="002918DE" w:rsidRPr="002918DE" w:rsidRDefault="002918DE" w:rsidP="002918DE">
      <w:pPr>
        <w:pStyle w:val="Bibliography"/>
        <w:rPr>
          <w:rFonts w:ascii="Calibri" w:hAnsi="Calibri"/>
        </w:rPr>
      </w:pPr>
      <w:r w:rsidRPr="002918DE">
        <w:rPr>
          <w:rFonts w:ascii="Calibri" w:hAnsi="Calibri"/>
        </w:rPr>
        <w:br/>
        <w:t>Withers, Anthony C, Hélène Bureau, Caroline Raepsaet, and Marc M Hirschmann</w:t>
      </w:r>
      <w:r w:rsidRPr="002918DE">
        <w:rPr>
          <w:rFonts w:ascii="Calibri" w:hAnsi="Calibri"/>
        </w:rPr>
        <w:br/>
        <w:t xml:space="preserve"> 2012</w:t>
      </w:r>
      <w:r w:rsidRPr="002918DE">
        <w:rPr>
          <w:rFonts w:ascii="Calibri" w:hAnsi="Calibri"/>
        </w:rPr>
        <w:tab/>
        <w:t>Calibration of Infrared Spectroscopy by Elastic Recoil Detection Analysis of H in Synthetic Olivine. Chemical Geology 334: 92–98.</w:t>
      </w:r>
    </w:p>
    <w:p w14:paraId="5C51B2C2" w14:textId="3612BCF3"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AEADD" w14:textId="77777777" w:rsidR="007A24C4" w:rsidRDefault="007A24C4" w:rsidP="007C03D1">
      <w:r>
        <w:separator/>
      </w:r>
    </w:p>
  </w:endnote>
  <w:endnote w:type="continuationSeparator" w:id="0">
    <w:p w14:paraId="5742A967" w14:textId="77777777" w:rsidR="007A24C4" w:rsidRDefault="007A24C4"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D46D7" w14:textId="77777777" w:rsidR="007A24C4" w:rsidRDefault="007A24C4" w:rsidP="007C03D1">
      <w:r>
        <w:separator/>
      </w:r>
    </w:p>
  </w:footnote>
  <w:footnote w:type="continuationSeparator" w:id="0">
    <w:p w14:paraId="1351377F" w14:textId="77777777" w:rsidR="007A24C4" w:rsidRDefault="007A24C4"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26FE"/>
    <w:rsid w:val="00032F36"/>
    <w:rsid w:val="000423AF"/>
    <w:rsid w:val="000438A8"/>
    <w:rsid w:val="00044503"/>
    <w:rsid w:val="00052DE0"/>
    <w:rsid w:val="0005396B"/>
    <w:rsid w:val="00054D3F"/>
    <w:rsid w:val="00055099"/>
    <w:rsid w:val="0005680A"/>
    <w:rsid w:val="00057C21"/>
    <w:rsid w:val="00063976"/>
    <w:rsid w:val="00080FDE"/>
    <w:rsid w:val="000819F9"/>
    <w:rsid w:val="00082254"/>
    <w:rsid w:val="00082403"/>
    <w:rsid w:val="000847E2"/>
    <w:rsid w:val="00085A73"/>
    <w:rsid w:val="000942A9"/>
    <w:rsid w:val="000973A8"/>
    <w:rsid w:val="000A0E2B"/>
    <w:rsid w:val="000A7D9D"/>
    <w:rsid w:val="000B42F3"/>
    <w:rsid w:val="000C06EE"/>
    <w:rsid w:val="000C3A62"/>
    <w:rsid w:val="000C4572"/>
    <w:rsid w:val="000E0604"/>
    <w:rsid w:val="000E6BE1"/>
    <w:rsid w:val="00106712"/>
    <w:rsid w:val="00110215"/>
    <w:rsid w:val="001103C7"/>
    <w:rsid w:val="001175A5"/>
    <w:rsid w:val="001219FD"/>
    <w:rsid w:val="00122FE2"/>
    <w:rsid w:val="00131FED"/>
    <w:rsid w:val="0013410E"/>
    <w:rsid w:val="001354B7"/>
    <w:rsid w:val="0013726D"/>
    <w:rsid w:val="00137C33"/>
    <w:rsid w:val="00137E7D"/>
    <w:rsid w:val="001418E5"/>
    <w:rsid w:val="001421A0"/>
    <w:rsid w:val="001455F5"/>
    <w:rsid w:val="00145EA0"/>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7FD"/>
    <w:rsid w:val="001E5475"/>
    <w:rsid w:val="002066F0"/>
    <w:rsid w:val="00207411"/>
    <w:rsid w:val="002075E8"/>
    <w:rsid w:val="00215C52"/>
    <w:rsid w:val="00224CA4"/>
    <w:rsid w:val="0022793E"/>
    <w:rsid w:val="0023446E"/>
    <w:rsid w:val="00237ADC"/>
    <w:rsid w:val="002627ED"/>
    <w:rsid w:val="0026443E"/>
    <w:rsid w:val="00265166"/>
    <w:rsid w:val="00271A64"/>
    <w:rsid w:val="00277EE6"/>
    <w:rsid w:val="002918DE"/>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93A0F"/>
    <w:rsid w:val="003A6159"/>
    <w:rsid w:val="003B32EE"/>
    <w:rsid w:val="003B3D0B"/>
    <w:rsid w:val="003B55CB"/>
    <w:rsid w:val="003B7CD9"/>
    <w:rsid w:val="003C2730"/>
    <w:rsid w:val="003D48FF"/>
    <w:rsid w:val="003D6E42"/>
    <w:rsid w:val="003D731E"/>
    <w:rsid w:val="003E1968"/>
    <w:rsid w:val="003E2198"/>
    <w:rsid w:val="003E3B57"/>
    <w:rsid w:val="003F73FB"/>
    <w:rsid w:val="003F7B03"/>
    <w:rsid w:val="00416202"/>
    <w:rsid w:val="004226F8"/>
    <w:rsid w:val="0044090F"/>
    <w:rsid w:val="004450FE"/>
    <w:rsid w:val="0044623A"/>
    <w:rsid w:val="004535E9"/>
    <w:rsid w:val="00464E9B"/>
    <w:rsid w:val="00471200"/>
    <w:rsid w:val="004819A8"/>
    <w:rsid w:val="0048587E"/>
    <w:rsid w:val="004859D9"/>
    <w:rsid w:val="0048623D"/>
    <w:rsid w:val="00492E98"/>
    <w:rsid w:val="00493114"/>
    <w:rsid w:val="004A757A"/>
    <w:rsid w:val="004B03B7"/>
    <w:rsid w:val="004B77CB"/>
    <w:rsid w:val="004C7B24"/>
    <w:rsid w:val="004D4AAF"/>
    <w:rsid w:val="004E2F98"/>
    <w:rsid w:val="00503DA5"/>
    <w:rsid w:val="00507ED5"/>
    <w:rsid w:val="00514CCE"/>
    <w:rsid w:val="005215D7"/>
    <w:rsid w:val="0052387D"/>
    <w:rsid w:val="0052422E"/>
    <w:rsid w:val="0052578C"/>
    <w:rsid w:val="005270EB"/>
    <w:rsid w:val="00535290"/>
    <w:rsid w:val="00540881"/>
    <w:rsid w:val="00540C75"/>
    <w:rsid w:val="00540CDB"/>
    <w:rsid w:val="00551BB9"/>
    <w:rsid w:val="005526AB"/>
    <w:rsid w:val="005571CA"/>
    <w:rsid w:val="00557CDE"/>
    <w:rsid w:val="0057046E"/>
    <w:rsid w:val="00571DB2"/>
    <w:rsid w:val="00575ED2"/>
    <w:rsid w:val="00581EB0"/>
    <w:rsid w:val="00591D1F"/>
    <w:rsid w:val="00592A37"/>
    <w:rsid w:val="00595597"/>
    <w:rsid w:val="005A26E9"/>
    <w:rsid w:val="005A374F"/>
    <w:rsid w:val="005A41DB"/>
    <w:rsid w:val="005A41FB"/>
    <w:rsid w:val="005A5A26"/>
    <w:rsid w:val="005B3D0A"/>
    <w:rsid w:val="005C5150"/>
    <w:rsid w:val="005D53C0"/>
    <w:rsid w:val="005D63FD"/>
    <w:rsid w:val="005E2EBE"/>
    <w:rsid w:val="005F11E6"/>
    <w:rsid w:val="005F147E"/>
    <w:rsid w:val="005F2D14"/>
    <w:rsid w:val="005F5BDF"/>
    <w:rsid w:val="006022E4"/>
    <w:rsid w:val="006135C8"/>
    <w:rsid w:val="00614103"/>
    <w:rsid w:val="00615291"/>
    <w:rsid w:val="00615D54"/>
    <w:rsid w:val="00625F51"/>
    <w:rsid w:val="00631D9F"/>
    <w:rsid w:val="00634590"/>
    <w:rsid w:val="0063461F"/>
    <w:rsid w:val="00637722"/>
    <w:rsid w:val="00637DBE"/>
    <w:rsid w:val="0064154A"/>
    <w:rsid w:val="0065002E"/>
    <w:rsid w:val="006535C7"/>
    <w:rsid w:val="0066027D"/>
    <w:rsid w:val="00667986"/>
    <w:rsid w:val="006715EC"/>
    <w:rsid w:val="00671EC4"/>
    <w:rsid w:val="00681178"/>
    <w:rsid w:val="006932D9"/>
    <w:rsid w:val="00693BA1"/>
    <w:rsid w:val="00693DDD"/>
    <w:rsid w:val="00697706"/>
    <w:rsid w:val="006A013A"/>
    <w:rsid w:val="006B5E83"/>
    <w:rsid w:val="006C01CC"/>
    <w:rsid w:val="006C1D09"/>
    <w:rsid w:val="006C2330"/>
    <w:rsid w:val="006C4753"/>
    <w:rsid w:val="006D1F53"/>
    <w:rsid w:val="00700433"/>
    <w:rsid w:val="00703148"/>
    <w:rsid w:val="00706BAA"/>
    <w:rsid w:val="00721801"/>
    <w:rsid w:val="00721DEB"/>
    <w:rsid w:val="00724D5D"/>
    <w:rsid w:val="007279B5"/>
    <w:rsid w:val="00744593"/>
    <w:rsid w:val="00755891"/>
    <w:rsid w:val="00761C49"/>
    <w:rsid w:val="0076309C"/>
    <w:rsid w:val="00773176"/>
    <w:rsid w:val="007762E9"/>
    <w:rsid w:val="00780776"/>
    <w:rsid w:val="00790B8D"/>
    <w:rsid w:val="007A0724"/>
    <w:rsid w:val="007A24C4"/>
    <w:rsid w:val="007A3DF4"/>
    <w:rsid w:val="007A7D7A"/>
    <w:rsid w:val="007C03D1"/>
    <w:rsid w:val="007C06F1"/>
    <w:rsid w:val="007C5F25"/>
    <w:rsid w:val="007E14D1"/>
    <w:rsid w:val="00807E9E"/>
    <w:rsid w:val="00811444"/>
    <w:rsid w:val="0081615A"/>
    <w:rsid w:val="008300CD"/>
    <w:rsid w:val="00831C4F"/>
    <w:rsid w:val="0083348F"/>
    <w:rsid w:val="00835DAA"/>
    <w:rsid w:val="0084596D"/>
    <w:rsid w:val="008619BC"/>
    <w:rsid w:val="0086637B"/>
    <w:rsid w:val="0087125C"/>
    <w:rsid w:val="0087599E"/>
    <w:rsid w:val="0088552D"/>
    <w:rsid w:val="00885D5E"/>
    <w:rsid w:val="00892100"/>
    <w:rsid w:val="00892122"/>
    <w:rsid w:val="00893785"/>
    <w:rsid w:val="008A6CD0"/>
    <w:rsid w:val="008A7701"/>
    <w:rsid w:val="008B106F"/>
    <w:rsid w:val="008B1E98"/>
    <w:rsid w:val="008D0371"/>
    <w:rsid w:val="008D0B2A"/>
    <w:rsid w:val="008E06AA"/>
    <w:rsid w:val="008E50C1"/>
    <w:rsid w:val="008F4CF2"/>
    <w:rsid w:val="00903CFC"/>
    <w:rsid w:val="00904F99"/>
    <w:rsid w:val="009063A6"/>
    <w:rsid w:val="00911061"/>
    <w:rsid w:val="00912D26"/>
    <w:rsid w:val="0091550E"/>
    <w:rsid w:val="0093064F"/>
    <w:rsid w:val="00931BD3"/>
    <w:rsid w:val="00932939"/>
    <w:rsid w:val="0093699B"/>
    <w:rsid w:val="00946083"/>
    <w:rsid w:val="00950ED3"/>
    <w:rsid w:val="00957864"/>
    <w:rsid w:val="0096500E"/>
    <w:rsid w:val="0097079F"/>
    <w:rsid w:val="00983004"/>
    <w:rsid w:val="00986680"/>
    <w:rsid w:val="0098781A"/>
    <w:rsid w:val="009A166D"/>
    <w:rsid w:val="009A4D05"/>
    <w:rsid w:val="009A75FF"/>
    <w:rsid w:val="009B3BBA"/>
    <w:rsid w:val="009C22DE"/>
    <w:rsid w:val="009D6602"/>
    <w:rsid w:val="009E42DE"/>
    <w:rsid w:val="00A10E10"/>
    <w:rsid w:val="00A13CFD"/>
    <w:rsid w:val="00A323B3"/>
    <w:rsid w:val="00A32F4D"/>
    <w:rsid w:val="00A40F70"/>
    <w:rsid w:val="00A51905"/>
    <w:rsid w:val="00A55C4E"/>
    <w:rsid w:val="00A6289D"/>
    <w:rsid w:val="00A63E44"/>
    <w:rsid w:val="00A63EB2"/>
    <w:rsid w:val="00A706C6"/>
    <w:rsid w:val="00A7362D"/>
    <w:rsid w:val="00A75CC5"/>
    <w:rsid w:val="00A832DA"/>
    <w:rsid w:val="00A87B9A"/>
    <w:rsid w:val="00A93331"/>
    <w:rsid w:val="00A9672E"/>
    <w:rsid w:val="00A9765F"/>
    <w:rsid w:val="00AA0994"/>
    <w:rsid w:val="00AA6217"/>
    <w:rsid w:val="00AA6A33"/>
    <w:rsid w:val="00AB4159"/>
    <w:rsid w:val="00AC3C8D"/>
    <w:rsid w:val="00AD22F0"/>
    <w:rsid w:val="00AD25E1"/>
    <w:rsid w:val="00AD389F"/>
    <w:rsid w:val="00AE51AD"/>
    <w:rsid w:val="00AF0F3A"/>
    <w:rsid w:val="00AF5DCF"/>
    <w:rsid w:val="00B034FD"/>
    <w:rsid w:val="00B05B84"/>
    <w:rsid w:val="00B05E3A"/>
    <w:rsid w:val="00B0765E"/>
    <w:rsid w:val="00B07C88"/>
    <w:rsid w:val="00B40A71"/>
    <w:rsid w:val="00B52006"/>
    <w:rsid w:val="00B56EE3"/>
    <w:rsid w:val="00B60327"/>
    <w:rsid w:val="00B624C2"/>
    <w:rsid w:val="00B75BC8"/>
    <w:rsid w:val="00B7698C"/>
    <w:rsid w:val="00B808F7"/>
    <w:rsid w:val="00B81C76"/>
    <w:rsid w:val="00B86B61"/>
    <w:rsid w:val="00B914BA"/>
    <w:rsid w:val="00B955F5"/>
    <w:rsid w:val="00BA06E8"/>
    <w:rsid w:val="00BA1070"/>
    <w:rsid w:val="00BB276B"/>
    <w:rsid w:val="00BB6728"/>
    <w:rsid w:val="00BB7F69"/>
    <w:rsid w:val="00BC6A5E"/>
    <w:rsid w:val="00BE0AB5"/>
    <w:rsid w:val="00BE7778"/>
    <w:rsid w:val="00BF05A4"/>
    <w:rsid w:val="00BF0E62"/>
    <w:rsid w:val="00C00024"/>
    <w:rsid w:val="00C12851"/>
    <w:rsid w:val="00C13F36"/>
    <w:rsid w:val="00C14F97"/>
    <w:rsid w:val="00C216A3"/>
    <w:rsid w:val="00C264E6"/>
    <w:rsid w:val="00C4280F"/>
    <w:rsid w:val="00C45F2D"/>
    <w:rsid w:val="00C574D3"/>
    <w:rsid w:val="00C57AFD"/>
    <w:rsid w:val="00C620E1"/>
    <w:rsid w:val="00C67EF4"/>
    <w:rsid w:val="00C704FC"/>
    <w:rsid w:val="00C705E9"/>
    <w:rsid w:val="00C91663"/>
    <w:rsid w:val="00CA37AA"/>
    <w:rsid w:val="00CA3B81"/>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500A7"/>
    <w:rsid w:val="00D56630"/>
    <w:rsid w:val="00D92176"/>
    <w:rsid w:val="00D928D9"/>
    <w:rsid w:val="00DA0B0E"/>
    <w:rsid w:val="00DB4EC6"/>
    <w:rsid w:val="00DC055B"/>
    <w:rsid w:val="00DC0D65"/>
    <w:rsid w:val="00DC603D"/>
    <w:rsid w:val="00DD06A5"/>
    <w:rsid w:val="00DD171E"/>
    <w:rsid w:val="00DD21B2"/>
    <w:rsid w:val="00DD26B1"/>
    <w:rsid w:val="00DE6A66"/>
    <w:rsid w:val="00DF061F"/>
    <w:rsid w:val="00DF3D0C"/>
    <w:rsid w:val="00DF4CCA"/>
    <w:rsid w:val="00DF7C33"/>
    <w:rsid w:val="00DF7F53"/>
    <w:rsid w:val="00E123C0"/>
    <w:rsid w:val="00E25B72"/>
    <w:rsid w:val="00E35667"/>
    <w:rsid w:val="00E36EE4"/>
    <w:rsid w:val="00E41645"/>
    <w:rsid w:val="00E42FD9"/>
    <w:rsid w:val="00E569E0"/>
    <w:rsid w:val="00E721C2"/>
    <w:rsid w:val="00E7389F"/>
    <w:rsid w:val="00E73D3F"/>
    <w:rsid w:val="00E76AFD"/>
    <w:rsid w:val="00E80B91"/>
    <w:rsid w:val="00E83A4E"/>
    <w:rsid w:val="00E8794C"/>
    <w:rsid w:val="00E945B5"/>
    <w:rsid w:val="00EA5D46"/>
    <w:rsid w:val="00EB2F68"/>
    <w:rsid w:val="00ED47FC"/>
    <w:rsid w:val="00EE2D04"/>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415BE"/>
    <w:rsid w:val="00F43FBD"/>
    <w:rsid w:val="00F51AD9"/>
    <w:rsid w:val="00F52455"/>
    <w:rsid w:val="00F76606"/>
    <w:rsid w:val="00F8518C"/>
    <w:rsid w:val="00F87A38"/>
    <w:rsid w:val="00F94254"/>
    <w:rsid w:val="00FA2740"/>
    <w:rsid w:val="00FB2E95"/>
    <w:rsid w:val="00FC166E"/>
    <w:rsid w:val="00FD055B"/>
    <w:rsid w:val="00FD0667"/>
    <w:rsid w:val="00FD0D7E"/>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21CC-553F-4EC2-9E47-4C4807F0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10</Pages>
  <Words>8978</Words>
  <Characters>51180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63</cp:revision>
  <cp:lastPrinted>2017-04-26T14:04:00Z</cp:lastPrinted>
  <dcterms:created xsi:type="dcterms:W3CDTF">2017-03-30T22:54:00Z</dcterms:created>
  <dcterms:modified xsi:type="dcterms:W3CDTF">2017-04-26T14:51:00Z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id="V4uSixRb"/&gt;&lt;style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