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most notably for understanding the deep water cycle. Water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6406_2820756831"/>
      <w:r>
        <w:rPr/>
      </w:r>
      <w:r>
        <w:rPr/>
        <w:t>(Keppler and Smyth 2006; Bell and Rossman 1992)</w:t>
      </w:r>
      <w:r>
        <w:rPr/>
      </w:r>
      <w:r>
        <w:fldChar w:fldCharType="end"/>
      </w:r>
      <w:bookmarkEnd w:id="0"/>
      <w:r>
        <w:rPr/>
        <w:t>. Accurate knowledge of the diffusivities also has great potential to serve as a chronometer to determine magma ascent times from hydrogen diffusion profiles in olivine phenocrysts.</w:t>
      </w:r>
    </w:p>
    <w:p>
      <w:pPr>
        <w:pStyle w:val="Normal"/>
        <w:rPr/>
      </w:pPr>
      <w:r>
        <w:rPr/>
        <w:t xml:space="preserve">Hydrogen may be incorporated into the olivine lattice in a variety of ways that can be distinguished by differences in the absorbances of O-H bonds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1" w:name="__Fieldmark__6415_2820756831"/>
      <w:r>
        <w:rPr/>
      </w:r>
      <w:r>
        <w:rPr/>
        <w:t>(Berry et al. 2005; Ingrin et al. 2013)</w:t>
      </w:r>
      <w:r>
        <w:rPr/>
      </w:r>
      <w:r>
        <w:fldChar w:fldCharType="end"/>
      </w:r>
      <w:bookmarkEnd w:id="1"/>
      <w:r>
        <w:rPr/>
        <w:t>. Broadly, H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2" w:name="__Fieldmark__6433_2820756831"/>
      <w:r>
        <w:rPr/>
      </w:r>
      <w:r>
        <w:rPr/>
        <w:t>(Berry et al. 2007)</w:t>
      </w:r>
      <w:r>
        <w:rPr/>
      </w:r>
      <w:r>
        <w:fldChar w:fldCharType="end"/>
      </w:r>
      <w:bookmarkEnd w:id="2"/>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3" w:name="__Fieldmark__6438_2820756831"/>
      <w:r>
        <w:rPr/>
      </w:r>
      <w:r>
        <w:rPr/>
        <w:t>(Faul et al. 2016)</w:t>
      </w:r>
      <w:r>
        <w:rPr/>
      </w:r>
      <w:r>
        <w:fldChar w:fldCharType="end"/>
      </w:r>
      <w:bookmarkEnd w:id="3"/>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4" w:name="__Fieldmark__6470_2820756831"/>
      <w:r>
        <w:rPr/>
      </w:r>
      <w:r>
        <w:rPr/>
        <w:t>(Blanchard et al. 2017)</w:t>
      </w:r>
      <w:r>
        <w:rPr/>
      </w:r>
      <w:r>
        <w:fldChar w:fldCharType="end"/>
      </w:r>
      <w:bookmarkEnd w:id="4"/>
      <w:r>
        <w:rPr/>
        <w:t>, and these are labeled [tri]. Low wavenumber peaks between 3200 and 3250 cm-1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5" w:name="__Fieldmark__6492_2820756831"/>
      <w:r>
        <w:rPr/>
      </w:r>
      <w:r>
        <w:rPr>
          <w:rFonts w:cs="Times New Roman"/>
          <w:szCs w:val="24"/>
        </w:rPr>
        <w:t>(Padrón-Navarta, Hermann, and O’Neill 2014)</w:t>
      </w:r>
      <w:r>
        <w:rPr/>
      </w:r>
      <w:r>
        <w:fldChar w:fldCharType="end"/>
      </w:r>
      <w:bookmarkEnd w:id="5"/>
      <w:r>
        <w:rPr/>
        <w:t>.</w:t>
      </w:r>
    </w:p>
    <w:p>
      <w:pPr>
        <w:pStyle w:val="Normal"/>
        <w:rPr/>
      </w:pPr>
      <w:r>
        <w:rPr/>
      </w:r>
    </w:p>
    <w:p>
      <w:pPr>
        <w:pStyle w:val="Normal"/>
        <w:rPr/>
      </w:pPr>
      <w:r>
        <w:rPr/>
        <w:t>More about usage and background, H incorporation mechanisms, previous diffusivity measurements…</w:t>
      </w:r>
    </w:p>
    <w:p>
      <w:pPr>
        <w:pStyle w:val="Normal"/>
        <w:rPr/>
      </w:pPr>
      <w:r>
        <w:rPr/>
      </w:r>
    </w:p>
    <w:p>
      <w:pPr>
        <w:pStyle w:val="Normal"/>
        <w:rPr/>
      </w:pPr>
      <w:r>
        <w:rPr/>
        <w:t>Some background about Kiki and SC. Helz paper: Kiki QMF+1/2 or so.</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 w:name="__Fieldmark__6511_2820756831"/>
      <w:r>
        <w:rPr/>
      </w:r>
      <w:r>
        <w:rPr/>
        <w:t>(Mackwell and Kohlstedt 1990; Kohlstedt and Mackwell 1998)</w:t>
      </w:r>
      <w:r>
        <w:rPr/>
      </w:r>
      <w:r>
        <w:fldChar w:fldCharType="end"/>
      </w:r>
      <w:bookmarkEnd w:id="6"/>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7" w:name="__Fieldmark__6530_2820756831"/>
      <w:r>
        <w:rPr/>
      </w:r>
      <w:r>
        <w:rPr>
          <w:rFonts w:cs="Calibri"/>
        </w:rPr>
        <w:t>(Ferguson et al. 2016)</w:t>
      </w:r>
      <w:r>
        <w:rPr/>
      </w:r>
      <w:r>
        <w:fldChar w:fldCharType="end"/>
      </w:r>
      <w:bookmarkEnd w:id="7"/>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8" w:name="__Fieldmark__6654_2820756831"/>
      <w:r>
        <w:rPr/>
      </w:r>
      <w:r>
        <w:rPr/>
        <w:t>(Libowitzky and Rossman 1996; Shuai and Yang 2017)</w:t>
      </w:r>
      <w:r>
        <w:rPr/>
      </w:r>
      <w:r>
        <w:fldChar w:fldCharType="end"/>
      </w:r>
      <w:bookmarkEnd w:id="8"/>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9" w:name="__Fieldmark__6660_2820756831"/>
      <w:r>
        <w:rPr/>
      </w:r>
      <w:r>
        <w:rPr/>
        <w:t>(Bell et al. 2003; Withers et al. 2012)</w:t>
      </w:r>
      <w:r>
        <w:rPr/>
      </w:r>
      <w:r>
        <w:fldChar w:fldCharType="end"/>
      </w:r>
      <w:bookmarkEnd w:id="9"/>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SC1-7 and SC1-2,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10" w:name="__Fieldmark__6710_2820756831"/>
      <w:r>
        <w:rPr/>
      </w:r>
      <w:r>
        <w:rPr/>
        <w:t>Jollands et al. (2016)</w:t>
      </w:r>
      <w:r>
        <w:rPr/>
      </w:r>
      <w:r>
        <w:fldChar w:fldCharType="end"/>
      </w:r>
      <w:bookmarkEnd w:id="10"/>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w:t>
      </w:r>
      <w:r>
        <w:rPr/>
        <w:fldChar w:fldCharType="begin"/>
      </w:r>
      <w:r>
        <w:instrText> REF _Ref477285918 \h </w:instrText>
      </w:r>
      <w:r>
        <w:fldChar w:fldCharType="separate"/>
      </w:r>
      <w:r>
        <w:t>Figure 1</w:t>
      </w:r>
      <w:r>
        <w:fldChar w:fldCharType="end"/>
      </w:r>
      <w:r>
        <w:rPr/>
        <w:t>).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1" w:name="__Fieldmark__6778_2820756831"/>
      <w:r>
        <w:rPr/>
      </w:r>
      <w:r>
        <w:rPr/>
        <w:t>(Withers 2013)</w:t>
      </w:r>
      <w:r>
        <w:rPr/>
      </w:r>
      <w:r>
        <w:fldChar w:fldCharType="end"/>
      </w:r>
      <w:bookmarkEnd w:id="11"/>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12" w:name="__Fieldmark__6793_2820756831"/>
      <w:r>
        <w:rPr/>
      </w:r>
      <w:r>
        <w:rPr/>
        <w:t>(Kohlstedt and Mackwell 1998; Demouchy and Mackwell 2006)</w:t>
      </w:r>
      <w:r>
        <w:rPr/>
      </w:r>
      <w:r>
        <w:fldChar w:fldCharType="end"/>
      </w:r>
      <w:bookmarkEnd w:id="12"/>
      <w:r>
        <w:rPr/>
        <w:t xml:space="preserve">. </w:t>
      </w:r>
    </w:p>
    <w:p>
      <w:pPr>
        <w:pStyle w:val="Normal"/>
        <w:rPr/>
      </w:pPr>
      <w:r>
        <w:rPr/>
        <w:t>To more thoroughly understand the transition between proton-polaron-dominated diffusion and pure proton-vacancy diffusion, 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13" w:name="__Fieldmark__6805_2820756831"/>
      <w:r>
        <w:rPr/>
      </w:r>
      <w:r>
        <w:rPr/>
        <w:t>(Withers 2013)</w:t>
      </w:r>
      <w:r>
        <w:rPr/>
      </w:r>
      <w:r>
        <w:fldChar w:fldCharType="end"/>
      </w:r>
      <w:bookmarkEnd w:id="13"/>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14" w:name="__Fieldmark__6922_2820756831"/>
      <w:r>
        <w:rPr/>
      </w:r>
      <w:r>
        <w:rPr/>
        <w:t>E. Ferriss et al. (2015) and Elizabeth Ferriss, Plank, and Walker (2016)</w:t>
      </w:r>
      <w:r>
        <w:rPr/>
      </w:r>
      <w:r>
        <w:fldChar w:fldCharType="end"/>
      </w:r>
      <w:bookmarkEnd w:id="14"/>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15" w:name="__Fieldmark__6931_2820756831"/>
      <w:r>
        <w:rPr/>
      </w:r>
      <w:r>
        <w:rPr/>
        <w:t>(Ferriss 2015)</w:t>
      </w:r>
      <w:r>
        <w:rPr/>
      </w:r>
      <w:r>
        <w:fldChar w:fldCharType="end"/>
      </w:r>
      <w:bookmarkEnd w:id="15"/>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6" w:name="__Fieldmark__6973_2820756831"/>
      <w:r>
        <w:rPr/>
      </w:r>
      <w:r>
        <w:rPr/>
        <w:t>(Blanchard et al. 2017)</w:t>
      </w:r>
      <w:r>
        <w:rPr/>
      </w:r>
      <w:r>
        <w:fldChar w:fldCharType="end"/>
      </w:r>
      <w:bookmarkEnd w:id="16"/>
      <w:r>
        <w:rPr/>
        <w:t>. The peak at 3525 cm</w:t>
      </w:r>
      <w:r>
        <w:rPr>
          <w:vertAlign w:val="superscript"/>
        </w:rPr>
        <w:t>-1</w:t>
      </w:r>
      <w:r>
        <w:rPr/>
        <w:t xml:space="preserve">, designated [Ti-3525], is one of two prominent peaks produced by 2H+ coupled with a Si4+ vacancy and a Ti4+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7" w:name="__Fieldmark__6983_2820756831"/>
      <w:r>
        <w:rPr/>
      </w:r>
      <w:r>
        <w:rPr>
          <w:rFonts w:cs="Times New Roman"/>
          <w:szCs w:val="24"/>
        </w:rPr>
        <w:t>Padrón-Navarta, Hermann, and O’Neill (2014)</w:t>
      </w:r>
      <w:r>
        <w:rPr/>
      </w:r>
      <w:r>
        <w:fldChar w:fldCharType="end"/>
      </w:r>
      <w:bookmarkEnd w:id="17"/>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8" w:name="__Fieldmark__7008_2820756831"/>
      <w:r>
        <w:rPr/>
      </w:r>
      <w:r>
        <w:rPr/>
        <w:t>(Blanchard et al. 2017)</w:t>
      </w:r>
      <w:r>
        <w:rPr/>
      </w:r>
      <w:r>
        <w:fldChar w:fldCharType="end"/>
      </w:r>
      <w:bookmarkEnd w:id="18"/>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19" w:name="__Fieldmark__7024_2820756831"/>
      <w:r>
        <w:rPr/>
      </w:r>
      <w:r>
        <w:rPr/>
        <w:t>(Berry et al. 2005)</w:t>
      </w:r>
      <w:r>
        <w:rPr/>
      </w:r>
      <w:r>
        <w:fldChar w:fldCharType="end"/>
      </w:r>
      <w:bookmarkEnd w:id="19"/>
      <w:r>
        <w:rPr/>
        <w:t xml:space="preserve">. </w:t>
      </w:r>
    </w:p>
    <w:p>
      <w:pPr>
        <w:pStyle w:val="Normal"/>
        <w:rPr/>
      </w:pPr>
      <w:r>
        <w:rPr/>
        <w:t>All of the raw FTIR spectra, baselines,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20" w:name="__Fieldmark__7051_2820756831"/>
      <w:r>
        <w:rPr/>
      </w:r>
      <w:r>
        <w:rPr/>
        <w:t>(Ruprecht and Plank 2013; Ferguson et al. 2016)</w:t>
      </w:r>
      <w:r>
        <w:rPr/>
      </w:r>
      <w:r>
        <w:fldChar w:fldCharType="end"/>
      </w:r>
      <w:bookmarkEnd w:id="20"/>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1" w:name="__Fieldmark__7063_2820756831"/>
      <w:r>
        <w:rPr/>
      </w:r>
      <w:r>
        <w:rPr/>
        <w:t>(Mackwell and Kohlstedt 1990)</w:t>
      </w:r>
      <w:r>
        <w:rPr/>
      </w:r>
      <w:r>
        <w:fldChar w:fldCharType="end"/>
      </w:r>
      <w:bookmarkEnd w:id="21"/>
      <w:r>
        <w:rPr/>
        <w:t xml:space="preserve">. </w:t>
      </w:r>
    </w:p>
    <w:p>
      <w:pPr>
        <w:pStyle w:val="Caption1"/>
        <w:rPr/>
      </w:pPr>
      <w:r>
        <w:rPr/>
      </w:r>
    </w:p>
    <w:p>
      <w:pPr>
        <w:pStyle w:val="Caption1"/>
        <w:rPr/>
      </w:pPr>
      <w:r>
        <w:rPr/>
        <w:t xml:space="preserve">The initial water concentration was estimated from the polarized FTIR measurements and baselines shown in </w:t>
      </w:r>
      <w:r>
        <w:rPr/>
        <w:fldChar w:fldCharType="begin"/>
      </w:r>
      <w:r>
        <w:instrText> REF _Ref477259778 \h </w:instrText>
      </w:r>
      <w:r>
        <w:fldChar w:fldCharType="separate"/>
      </w:r>
      <w:r>
        <w:t>Figure 1.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22" w:name="__Fieldmark__7091_2820756831"/>
      <w:r>
        <w:rPr/>
      </w:r>
      <w:r>
        <w:rPr/>
        <w:t>(Peslier and Luhr 2006; Kurosawa, Yurimoto, and Sueno 1997)</w:t>
      </w:r>
      <w:r>
        <w:rPr/>
      </w:r>
      <w:r>
        <w:fldChar w:fldCharType="end"/>
      </w:r>
      <w:bookmarkEnd w:id="22"/>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the [Si] mechanism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23" w:name="__Fieldmark__7107_2820756831"/>
      <w:r>
        <w:rPr/>
      </w:r>
      <w:r>
        <w:rPr/>
        <w:t>(Berry et al. 2005)</w:t>
      </w:r>
      <w:r>
        <w:rPr/>
      </w:r>
      <w:r>
        <w:fldChar w:fldCharType="end"/>
      </w:r>
      <w:bookmarkEnd w:id="23"/>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4" w:name="__Fieldmark__7116_2820756831"/>
      <w:r>
        <w:rPr/>
      </w:r>
      <w:r>
        <w:rPr/>
        <w:t>(Blanchard et al. 2017)</w:t>
      </w:r>
      <w:r>
        <w:rPr/>
      </w:r>
      <w:r>
        <w:fldChar w:fldCharType="end"/>
      </w:r>
      <w:bookmarkEnd w:id="24"/>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5" w:name="__Fieldmark__7133_2820756831"/>
      <w:r>
        <w:rPr/>
      </w:r>
      <w:r>
        <w:rPr/>
        <w:t>Blanchard et al. (2017)</w:t>
      </w:r>
      <w:r>
        <w:rPr/>
      </w:r>
      <w:r>
        <w:fldChar w:fldCharType="end"/>
      </w:r>
      <w:bookmarkEnd w:id="25"/>
      <w:r>
        <w:rPr/>
        <w:t xml:space="preserve"> associate with Fe</w:t>
      </w:r>
      <w:r>
        <w:rPr>
          <w:vertAlign w:val="superscript"/>
        </w:rPr>
        <w:t>3+</w:t>
      </w:r>
      <w:r>
        <w:rPr/>
        <w:t xml:space="preserve">, and which we therefore designate. </w:t>
      </w:r>
    </w:p>
    <w:p>
      <w:pPr>
        <w:pStyle w:val="Normal"/>
        <w:rPr/>
      </w:pPr>
      <w:r>
        <w:rPr/>
      </w:r>
    </w:p>
    <w:p>
      <w:pPr>
        <w:pStyle w:val="Caption1"/>
        <w:rPr/>
      </w:pPr>
      <w:bookmarkStart w:id="26" w:name="_Ref477258465"/>
      <w:bookmarkStart w:id="27" w:name="_Ref477258465"/>
      <w:r>
        <w:rPr/>
      </w:r>
    </w:p>
    <w:p>
      <w:pPr>
        <w:pStyle w:val="Caption1"/>
        <w:rPr/>
      </w:pPr>
      <w:r>
        <w:br w:type="column"/>
      </w:r>
      <w:bookmarkStart w:id="28" w:name="_Ref482181791"/>
      <w:r>
        <w:rPr/>
        <w:t xml:space="preserve">Table </w:t>
      </w:r>
      <w:r>
        <w:rPr/>
        <w:fldChar w:fldCharType="begin"/>
      </w:r>
      <w:r>
        <w:instrText> SEQ Table \* ARABIC </w:instrText>
      </w:r>
      <w:r>
        <w:fldChar w:fldCharType="separate"/>
      </w:r>
      <w:r>
        <w:t>1</w:t>
      </w:r>
      <w:r>
        <w:fldChar w:fldCharType="end"/>
      </w:r>
      <w:bookmarkEnd w:id="27"/>
      <w:bookmarkEnd w:id="28"/>
      <w:r>
        <w:rPr/>
        <w:t>. Water concentration estimates for Kilauea Iki olivine and San Carlos olivine based on polarized FTIR areas (</w:t>
      </w:r>
      <w:r>
        <w:rPr/>
        <w:fldChar w:fldCharType="begin"/>
      </w:r>
      <w:r>
        <w:instrText> REF _Ref477259778 \h </w:instrText>
      </w:r>
      <w:r>
        <w:fldChar w:fldCharType="separate"/>
      </w:r>
      <w:r>
        <w:t>Figure 1.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r>
        <w:fldChar w:fldCharType="end"/>
      </w:r>
      <w:r>
        <w:rPr/>
        <w:t xml:space="preserve"> and </w:t>
      </w:r>
      <w:r>
        <w:rPr/>
        <w:fldChar w:fldCharType="begin"/>
      </w:r>
      <w:r>
        <w:instrText> REF _Ref477446399 \h </w:instrText>
      </w:r>
      <w:r>
        <w:fldChar w:fldCharType="separate"/>
      </w:r>
      <w:r>
        <w:t>Figure 3</w:t>
      </w:r>
      <w:r>
        <w:fldChar w:fldCharType="end"/>
      </w:r>
      <w:r>
        <w:rPr/>
        <w:t>) and SIMS measurements.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094"/>
        <w:gridCol w:w="2480"/>
        <w:gridCol w:w="1260"/>
        <w:gridCol w:w="2515"/>
      </w:tblGrid>
      <w:tr>
        <w:trPr/>
        <w:tc>
          <w:tcPr>
            <w:tcW w:w="3094" w:type="dxa"/>
            <w:tcBorders/>
            <w:shd w:fill="auto" w:val="clear"/>
            <w:tcMar>
              <w:left w:w="108" w:type="dxa"/>
            </w:tcMar>
          </w:tcPr>
          <w:p>
            <w:pPr>
              <w:pStyle w:val="Normal"/>
              <w:spacing w:lineRule="auto" w:line="240" w:before="0" w:after="0"/>
              <w:ind w:hanging="0"/>
              <w:rPr/>
            </w:pPr>
            <w:r>
              <w:rPr/>
            </w:r>
          </w:p>
        </w:tc>
        <w:tc>
          <w:tcPr>
            <w:tcW w:w="2480" w:type="dxa"/>
            <w:tcBorders/>
            <w:shd w:fill="auto" w:val="clear"/>
            <w:tcMar>
              <w:left w:w="108" w:type="dxa"/>
            </w:tcMar>
          </w:tcPr>
          <w:p>
            <w:pPr>
              <w:pStyle w:val="Normal"/>
              <w:spacing w:lineRule="auto" w:line="240" w:before="0" w:after="0"/>
              <w:ind w:hanging="0"/>
              <w:rPr/>
            </w:pPr>
            <w:r>
              <w:rPr/>
              <w:t>Kilauea Iki olivine; Kiki</w:t>
            </w:r>
          </w:p>
        </w:tc>
        <w:tc>
          <w:tcPr>
            <w:tcW w:w="3775" w:type="dxa"/>
            <w:gridSpan w:val="2"/>
            <w:tcBorders/>
            <w:shd w:fill="auto" w:val="clear"/>
            <w:tcMar>
              <w:left w:w="108" w:type="dxa"/>
            </w:tcMar>
          </w:tcPr>
          <w:p>
            <w:pPr>
              <w:pStyle w:val="Normal"/>
              <w:spacing w:lineRule="auto" w:line="240" w:before="0" w:after="0"/>
              <w:ind w:hanging="0"/>
              <w:rPr/>
            </w:pPr>
            <w:r>
              <w:rPr/>
              <w:t>San Carlos olivine; sub-samples of SC1</w:t>
            </w:r>
          </w:p>
        </w:tc>
      </w:tr>
      <w:tr>
        <w:trPr/>
        <w:tc>
          <w:tcPr>
            <w:tcW w:w="3094" w:type="dxa"/>
            <w:tcBorders/>
            <w:shd w:fill="auto" w:val="clear"/>
            <w:tcMar>
              <w:left w:w="108" w:type="dxa"/>
            </w:tcMar>
          </w:tcPr>
          <w:p>
            <w:pPr>
              <w:pStyle w:val="Normal"/>
              <w:spacing w:lineRule="auto" w:line="240" w:before="0" w:after="0"/>
              <w:ind w:hanging="0"/>
              <w:rPr/>
            </w:pPr>
            <w:r>
              <w:rPr/>
              <w:t>FTIR area E || [100]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52+/-10</w:t>
            </w:r>
          </w:p>
        </w:tc>
        <w:tc>
          <w:tcPr>
            <w:tcW w:w="1260" w:type="dxa"/>
            <w:tcBorders/>
            <w:shd w:fill="auto" w:val="clear"/>
            <w:tcMar>
              <w:left w:w="108"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4" w:type="dxa"/>
            <w:tcBorders/>
            <w:shd w:fill="auto" w:val="clear"/>
            <w:tcMar>
              <w:left w:w="108" w:type="dxa"/>
            </w:tcMar>
          </w:tcPr>
          <w:p>
            <w:pPr>
              <w:pStyle w:val="Normal"/>
              <w:spacing w:lineRule="auto" w:line="240" w:before="0" w:after="0"/>
              <w:ind w:hanging="0"/>
              <w:rPr/>
            </w:pPr>
            <w:r>
              <w:rPr/>
              <w:t>FTIR area E || [010]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31+/-13</w:t>
            </w:r>
          </w:p>
        </w:tc>
        <w:tc>
          <w:tcPr>
            <w:tcW w:w="1260" w:type="dxa"/>
            <w:tcBorders/>
            <w:shd w:fill="auto" w:val="clear"/>
            <w:tcMar>
              <w:left w:w="108" w:type="dxa"/>
            </w:tcMar>
          </w:tcPr>
          <w:p>
            <w:pPr>
              <w:pStyle w:val="Normal"/>
              <w:spacing w:lineRule="auto" w:line="240" w:before="0" w:after="0"/>
              <w:ind w:hanging="0"/>
              <w:rPr/>
            </w:pPr>
            <w:r>
              <w:rPr/>
              <w:t>8+/-5</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FTIR area E || [001]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18+/-9</w:t>
            </w:r>
          </w:p>
        </w:tc>
        <w:tc>
          <w:tcPr>
            <w:tcW w:w="1260" w:type="dxa"/>
            <w:tcBorders/>
            <w:shd w:fill="auto" w:val="clear"/>
            <w:tcMar>
              <w:left w:w="108" w:type="dxa"/>
            </w:tcMar>
          </w:tcPr>
          <w:p>
            <w:pPr>
              <w:pStyle w:val="Normal"/>
              <w:spacing w:lineRule="auto" w:line="240" w:before="0" w:after="0"/>
              <w:ind w:hanging="0"/>
              <w:rPr/>
            </w:pPr>
            <w:r>
              <w:rPr/>
              <w:t>9+/-4</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FTIR area summed over 3 directions (cm</w:t>
            </w:r>
            <w:r>
              <w:rPr>
                <w:vertAlign w:val="superscript"/>
              </w:rPr>
              <w:t>-2</w:t>
            </w:r>
            <w:r>
              <w:rPr/>
              <w:t>)</w:t>
            </w:r>
          </w:p>
        </w:tc>
        <w:tc>
          <w:tcPr>
            <w:tcW w:w="2480" w:type="dxa"/>
            <w:tcBorders/>
            <w:shd w:fill="auto" w:val="clear"/>
            <w:tcMar>
              <w:left w:w="108" w:type="dxa"/>
            </w:tcMar>
          </w:tcPr>
          <w:p>
            <w:pPr>
              <w:pStyle w:val="Normal"/>
              <w:spacing w:lineRule="auto" w:line="240" w:before="0" w:after="0"/>
              <w:ind w:hanging="0"/>
              <w:rPr/>
            </w:pPr>
            <w:r>
              <w:rPr/>
              <w:t>101+/-19</w:t>
            </w:r>
          </w:p>
        </w:tc>
        <w:tc>
          <w:tcPr>
            <w:tcW w:w="1260" w:type="dxa"/>
            <w:tcBorders/>
            <w:shd w:fill="auto" w:val="clear"/>
            <w:tcMar>
              <w:left w:w="108" w:type="dxa"/>
            </w:tcMar>
          </w:tcPr>
          <w:p>
            <w:pPr>
              <w:pStyle w:val="Normal"/>
              <w:spacing w:lineRule="auto" w:line="240" w:before="0" w:after="0"/>
              <w:ind w:hanging="0"/>
              <w:rPr/>
            </w:pPr>
            <w:r>
              <w:rPr/>
              <w:t>24+/-8</w:t>
            </w:r>
          </w:p>
        </w:tc>
        <w:tc>
          <w:tcPr>
            <w:tcW w:w="2515" w:type="dxa"/>
            <w:tcBorders/>
            <w:shd w:fill="auto" w:val="clear"/>
            <w:tcMar>
              <w:left w:w="108" w:type="dxa"/>
            </w:tcMar>
          </w:tcPr>
          <w:p>
            <w:pPr>
              <w:pStyle w:val="Normal"/>
              <w:spacing w:lineRule="auto" w:line="240" w:before="0" w:after="0"/>
              <w:ind w:hanging="0"/>
              <w:rPr/>
            </w:pPr>
            <w:r>
              <w:rPr/>
              <w:t>untreated SC1-1</w:t>
            </w:r>
          </w:p>
        </w:tc>
      </w:tr>
      <w:tr>
        <w:trPr/>
        <w:tc>
          <w:tcPr>
            <w:tcW w:w="3094" w:type="dxa"/>
            <w:tcBorders/>
            <w:shd w:fill="auto" w:val="clear"/>
            <w:tcMar>
              <w:left w:w="108" w:type="dxa"/>
            </w:tcMar>
          </w:tcPr>
          <w:p>
            <w:pPr>
              <w:pStyle w:val="Normal"/>
              <w:spacing w:lineRule="auto" w:line="240" w:before="0" w:after="0"/>
              <w:ind w:hanging="0"/>
              <w:rPr/>
            </w:pPr>
            <w:r>
              <w:rPr/>
              <w:t>Water, Bell calibration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19+/-4</w:t>
            </w:r>
          </w:p>
        </w:tc>
        <w:tc>
          <w:tcPr>
            <w:tcW w:w="1260" w:type="dxa"/>
            <w:tcBorders/>
            <w:shd w:fill="auto" w:val="clear"/>
            <w:tcMar>
              <w:left w:w="108" w:type="dxa"/>
            </w:tcMar>
          </w:tcPr>
          <w:p>
            <w:pPr>
              <w:pStyle w:val="Normal"/>
              <w:spacing w:lineRule="auto" w:line="240" w:before="0" w:after="0"/>
              <w:ind w:hanging="0"/>
              <w:rPr/>
            </w:pPr>
            <w:r>
              <w:rPr/>
              <w:t>4.5+/-1.5</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4" w:type="dxa"/>
            <w:tcBorders/>
            <w:shd w:fill="auto" w:val="clear"/>
            <w:tcMar>
              <w:left w:w="108" w:type="dxa"/>
            </w:tcMar>
          </w:tcPr>
          <w:p>
            <w:pPr>
              <w:pStyle w:val="Normal"/>
              <w:spacing w:lineRule="auto" w:line="240" w:before="0" w:after="0"/>
              <w:ind w:hanging="0"/>
              <w:rPr/>
            </w:pPr>
            <w:r>
              <w:rPr/>
              <w:t>Water, Withers calibration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12+/-2</w:t>
            </w:r>
          </w:p>
        </w:tc>
        <w:tc>
          <w:tcPr>
            <w:tcW w:w="1260" w:type="dxa"/>
            <w:tcBorders/>
            <w:shd w:fill="auto" w:val="clear"/>
            <w:tcMar>
              <w:left w:w="108" w:type="dxa"/>
            </w:tcMar>
          </w:tcPr>
          <w:p>
            <w:pPr>
              <w:pStyle w:val="Normal"/>
              <w:spacing w:lineRule="auto" w:line="240" w:before="0" w:after="0"/>
              <w:ind w:hanging="0"/>
              <w:rPr/>
            </w:pPr>
            <w:r>
              <w:rPr/>
              <w:t>3+/-1</w:t>
            </w:r>
          </w:p>
        </w:tc>
        <w:tc>
          <w:tcPr>
            <w:tcW w:w="2515" w:type="dxa"/>
            <w:tcBorders/>
            <w:shd w:fill="auto" w:val="clear"/>
            <w:tcMar>
              <w:left w:w="108"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4" w:type="dxa"/>
            <w:tcBorders/>
            <w:shd w:fill="auto" w:val="clear"/>
            <w:tcMar>
              <w:left w:w="108" w:type="dxa"/>
            </w:tcMar>
          </w:tcPr>
          <w:p>
            <w:pPr>
              <w:pStyle w:val="Normal"/>
              <w:spacing w:lineRule="auto" w:line="240" w:before="0" w:after="0"/>
              <w:ind w:hanging="0"/>
              <w:rPr/>
            </w:pPr>
            <w:r>
              <w:rPr/>
              <w:t>Water, SIMS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14+/-1</w:t>
            </w:r>
          </w:p>
        </w:tc>
        <w:tc>
          <w:tcPr>
            <w:tcW w:w="1260" w:type="dxa"/>
            <w:tcBorders/>
            <w:shd w:fill="auto" w:val="clear"/>
            <w:tcMar>
              <w:left w:w="108" w:type="dxa"/>
            </w:tcMar>
          </w:tcPr>
          <w:p>
            <w:pPr>
              <w:pStyle w:val="Normal"/>
              <w:spacing w:lineRule="auto" w:line="240" w:before="0" w:after="0"/>
              <w:ind w:hanging="0"/>
              <w:rPr/>
            </w:pPr>
            <w:r>
              <w:rPr/>
              <w:t>5+/1</w:t>
            </w:r>
          </w:p>
        </w:tc>
        <w:tc>
          <w:tcPr>
            <w:tcW w:w="2515" w:type="dxa"/>
            <w:tcBorders/>
            <w:shd w:fill="auto" w:val="clear"/>
            <w:tcMar>
              <w:left w:w="108" w:type="dxa"/>
            </w:tcMar>
          </w:tcPr>
          <w:p>
            <w:pPr>
              <w:pStyle w:val="Normal"/>
              <w:spacing w:lineRule="auto" w:line="240" w:before="0" w:after="0"/>
              <w:ind w:hanging="0"/>
              <w:rPr/>
            </w:pPr>
            <w:r>
              <w:rPr/>
              <w:t>dehydrated SC1-2</w:t>
            </w:r>
          </w:p>
        </w:tc>
      </w:tr>
      <w:tr>
        <w:trPr/>
        <w:tc>
          <w:tcPr>
            <w:tcW w:w="3094" w:type="dxa"/>
            <w:tcBorders/>
            <w:shd w:fill="auto" w:val="clear"/>
            <w:tcMar>
              <w:left w:w="108" w:type="dxa"/>
            </w:tcMar>
          </w:tcPr>
          <w:p>
            <w:pPr>
              <w:pStyle w:val="Normal"/>
              <w:spacing w:lineRule="auto" w:line="240" w:before="0" w:after="0"/>
              <w:ind w:hanging="0"/>
              <w:rPr/>
            </w:pPr>
            <w:r>
              <w:rPr/>
              <w:t>Average initial water (ppm H</w:t>
            </w:r>
            <w:r>
              <w:rPr>
                <w:vertAlign w:val="subscript"/>
              </w:rPr>
              <w:t>2</w:t>
            </w:r>
            <w:r>
              <w:rPr/>
              <w:t>O)</w:t>
            </w:r>
          </w:p>
        </w:tc>
        <w:tc>
          <w:tcPr>
            <w:tcW w:w="2480" w:type="dxa"/>
            <w:tcBorders/>
            <w:shd w:fill="auto" w:val="clear"/>
            <w:tcMar>
              <w:left w:w="108" w:type="dxa"/>
            </w:tcMar>
          </w:tcPr>
          <w:p>
            <w:pPr>
              <w:pStyle w:val="Normal"/>
              <w:spacing w:lineRule="auto" w:line="240" w:before="0" w:after="0"/>
              <w:ind w:hanging="0"/>
              <w:rPr/>
            </w:pPr>
            <w:r>
              <w:rPr/>
              <w:t>15+/-2</w:t>
            </w:r>
          </w:p>
        </w:tc>
        <w:tc>
          <w:tcPr>
            <w:tcW w:w="1260" w:type="dxa"/>
            <w:tcBorders/>
            <w:shd w:fill="auto" w:val="clear"/>
            <w:tcMar>
              <w:left w:w="108" w:type="dxa"/>
            </w:tcMar>
          </w:tcPr>
          <w:p>
            <w:pPr>
              <w:pStyle w:val="Normal"/>
              <w:spacing w:lineRule="auto" w:line="240" w:before="0" w:after="0"/>
              <w:ind w:hanging="0"/>
              <w:rPr/>
            </w:pPr>
            <w:r>
              <w:rPr/>
              <w:t>4+/-1</w:t>
            </w:r>
          </w:p>
        </w:tc>
        <w:tc>
          <w:tcPr>
            <w:tcW w:w="2515" w:type="dxa"/>
            <w:tcBorders/>
            <w:shd w:fill="auto" w:val="clear"/>
            <w:tcMar>
              <w:left w:w="108" w:type="dxa"/>
            </w:tcMar>
          </w:tcPr>
          <w:p>
            <w:pPr>
              <w:pStyle w:val="Normal"/>
              <w:spacing w:lineRule="auto" w:line="240" w:before="0" w:after="0"/>
              <w:ind w:hanging="0"/>
              <w:rPr/>
            </w:pPr>
            <w:r>
              <w:rPr/>
              <w:t>SC1</w:t>
            </w:r>
          </w:p>
        </w:tc>
      </w:tr>
      <w:tr>
        <w:trPr/>
        <w:tc>
          <w:tcPr>
            <w:tcW w:w="3094" w:type="dxa"/>
            <w:tcBorders/>
            <w:shd w:fill="auto" w:val="clear"/>
            <w:tcMar>
              <w:left w:w="108"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0" w:type="dxa"/>
            <w:tcBorders/>
            <w:shd w:fill="auto" w:val="clear"/>
            <w:tcMar>
              <w:left w:w="108" w:type="dxa"/>
            </w:tcMar>
          </w:tcPr>
          <w:p>
            <w:pPr>
              <w:pStyle w:val="Normal"/>
              <w:spacing w:lineRule="auto" w:line="240" w:before="0" w:after="0"/>
              <w:ind w:hanging="0"/>
              <w:rPr/>
            </w:pPr>
            <w:r>
              <w:rPr/>
              <w:t>0.3</w:t>
            </w:r>
          </w:p>
        </w:tc>
        <w:tc>
          <w:tcPr>
            <w:tcW w:w="1260" w:type="dxa"/>
            <w:tcBorders/>
            <w:shd w:fill="auto" w:val="clear"/>
            <w:tcMar>
              <w:left w:w="108" w:type="dxa"/>
            </w:tcMar>
          </w:tcPr>
          <w:p>
            <w:pPr>
              <w:pStyle w:val="Normal"/>
              <w:spacing w:lineRule="auto" w:line="240" w:before="0" w:after="0"/>
              <w:ind w:hanging="0"/>
              <w:rPr/>
            </w:pPr>
            <w:r>
              <w:rPr/>
              <w:t>0.6</w:t>
            </w:r>
          </w:p>
        </w:tc>
        <w:tc>
          <w:tcPr>
            <w:tcW w:w="2515" w:type="dxa"/>
            <w:tcBorders/>
            <w:shd w:fill="auto" w:val="clear"/>
            <w:tcMar>
              <w:left w:w="108" w:type="dxa"/>
            </w:tcMar>
          </w:tcPr>
          <w:p>
            <w:pPr>
              <w:pStyle w:val="Normal"/>
              <w:spacing w:lineRule="auto" w:line="240" w:before="0" w:after="0"/>
              <w:ind w:hanging="0"/>
              <w:rPr/>
            </w:pPr>
            <w:r>
              <w:rPr/>
              <w:t>SC1-1</w:t>
            </w:r>
          </w:p>
        </w:tc>
      </w:tr>
      <w:tr>
        <w:trPr/>
        <w:tc>
          <w:tcPr>
            <w:tcW w:w="3094" w:type="dxa"/>
            <w:tcBorders/>
            <w:shd w:fill="auto" w:val="clear"/>
            <w:tcMar>
              <w:left w:w="108"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0" w:type="dxa"/>
            <w:tcBorders/>
            <w:shd w:fill="auto" w:val="clear"/>
            <w:tcMar>
              <w:left w:w="108" w:type="dxa"/>
            </w:tcMar>
          </w:tcPr>
          <w:p>
            <w:pPr>
              <w:pStyle w:val="Normal"/>
              <w:spacing w:lineRule="auto" w:line="240" w:before="0" w:after="0"/>
              <w:ind w:hanging="0"/>
              <w:rPr/>
            </w:pPr>
            <w:r>
              <w:rPr/>
              <w:t>Not treated with pressure</w:t>
            </w:r>
          </w:p>
        </w:tc>
        <w:tc>
          <w:tcPr>
            <w:tcW w:w="1260" w:type="dxa"/>
            <w:tcBorders/>
            <w:shd w:fill="auto" w:val="clear"/>
            <w:tcMar>
              <w:left w:w="108"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108"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A). To construct hydrogen profiles, quadratic baselines (</w:t>
      </w:r>
      <w:r>
        <w:rPr/>
        <w:fldChar w:fldCharType="begin"/>
      </w:r>
      <w:r>
        <w:instrText> REF _Ref477446399 \h </w:instrText>
      </w:r>
      <w:r>
        <w:fldChar w:fldCharType="separate"/>
      </w:r>
      <w:r>
        <w:t>Figure 3</w:t>
      </w:r>
      <w:r>
        <w:fldChar w:fldCharType="end"/>
      </w:r>
      <w:r>
        <w:rPr/>
        <w:t xml:space="preserve">B and C) were drawn to match both the curve of the spectrum of the untreated sample and the middle baselines used to determine the initial water concentration in </w:t>
      </w:r>
      <w:r>
        <w:rPr/>
        <w:fldChar w:fldCharType="begin"/>
      </w:r>
      <w:r>
        <w:instrText> REF _Ref477259778 \h </w:instrText>
      </w:r>
      <w:r>
        <w:fldChar w:fldCharType="separate"/>
      </w:r>
      <w:r>
        <w:t>Figure 1.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r>
        <w:fldChar w:fldCharType="end"/>
      </w:r>
      <w:r>
        <w:rPr/>
        <w:t xml:space="preserve">.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The partially hydrated sample SC1-2 was sufficiently homogeneous for both bulk H and individual peaks to serve as a reasonable starting material for subsequent dehydration experiments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29" w:name="__Fieldmark__7433_2820756831"/>
      <w:r>
        <w:rPr>
          <w:rFonts w:cs="Calibri" w:cstheme="minorHAnsi"/>
        </w:rPr>
      </w:r>
      <w:r>
        <w:rPr>
          <w:rFonts w:cs="Calibri" w:cstheme="minorHAnsi"/>
        </w:rPr>
        <w:t>(Kohlstedt and Mackwell 1998; Demouchy and Mackwell 2006)</w:t>
      </w:r>
      <w:r>
        <w:rPr>
          <w:rFonts w:cs="Calibri" w:cstheme="minorHAnsi"/>
        </w:rPr>
      </w:r>
      <w:r>
        <w:fldChar w:fldCharType="end"/>
      </w:r>
      <w:bookmarkEnd w:id="29"/>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The estimated final concentration in SC1-7 is 58 ppm H</w:t>
      </w:r>
      <w:r>
        <w:rPr>
          <w:rFonts w:cs="Calibri" w:cstheme="minorHAnsi"/>
          <w:vertAlign w:val="subscript"/>
        </w:rPr>
        <w:t>2</w:t>
      </w:r>
      <w:r>
        <w:rPr>
          <w:rFonts w:cs="Calibri" w:cstheme="minorHAnsi"/>
        </w:rPr>
        <w:t>O. This concentration is much lower than the 112 ppm H</w:t>
      </w:r>
      <w:r>
        <w:rPr>
          <w:rFonts w:cs="Calibri" w:cstheme="minorHAnsi"/>
          <w:vertAlign w:val="subscript"/>
        </w:rPr>
        <w:t>2</w:t>
      </w:r>
      <w:r>
        <w:rPr>
          <w:rFonts w:cs="Calibri" w:cstheme="minorHAnsi"/>
        </w:rPr>
        <w:t xml:space="preserve">O that would be expected based on </w:t>
      </w:r>
      <w:r>
        <w:fldChar w:fldCharType="begin"/>
      </w:r>
      <w:r>
        <w:instrText>ADDIN ZOTERO_ITEM CSL_CITATION {"citationID":"1cm8shsdfl","properties":{"custom":"Mosenfelder et al. (2006)","formattedCitation":"Mosenfelder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30" w:name="__Fieldmark__7473_2820756831"/>
      <w:r>
        <w:rPr>
          <w:rFonts w:cs="Calibri" w:cstheme="minorHAnsi"/>
        </w:rPr>
      </w:r>
      <w:r>
        <w:rPr>
          <w:rFonts w:cs="Calibri" w:cstheme="minorHAnsi"/>
        </w:rPr>
        <w:t>Mosenfelder et al. (2006)</w:t>
      </w:r>
      <w:r>
        <w:rPr>
          <w:rFonts w:cs="Calibri" w:cstheme="minorHAnsi"/>
        </w:rPr>
      </w:r>
      <w:r>
        <w:fldChar w:fldCharType="end"/>
      </w:r>
      <w:bookmarkEnd w:id="30"/>
      <w:r>
        <w:rPr>
          <w:rFonts w:cs="Calibri" w:cstheme="minorHAnsi"/>
        </w:rPr>
        <w:t xml:space="preserve">, but many of the details of H solubility in olivine are still being worked out </w:t>
      </w:r>
      <w:r>
        <w:fldChar w:fldCharType="begin"/>
      </w:r>
      <w:r>
        <w:instrText>ADDIN ZOTERO_ITEM CSL_CITATION {"citationID":"vm8nWL40","properties":{"formattedCitation":"(Tollan et al. 2017)","plainCitation":"(Tollan et al. 2017)"},"citationItems":[{"id":2949,"uris":["http://zotero.org/users/3117169/items/A8P7HQIN"],"uri":["http://zotero.org/users/3117169/items/A8P7HQIN"],"itemData":{"id":2949,"type":"article-journal","title":"The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C."},{"family":"Hermann","given":"Jörg"}],"issued":{"date-parts":[["2017",5,9]]}}}],"schema":"https://github.com/citation-style-language/schema/raw/master/csl-citation.json"}</w:instrText>
      </w:r>
      <w:r>
        <w:fldChar w:fldCharType="separate"/>
      </w:r>
      <w:bookmarkStart w:id="31" w:name="__Fieldmark__7478_2820756831"/>
      <w:r>
        <w:rPr>
          <w:rFonts w:cs="Calibri" w:cstheme="minorHAnsi"/>
        </w:rPr>
      </w:r>
      <w:r>
        <w:rPr>
          <w:rFonts w:cs="Calibri" w:cstheme="minorHAnsi"/>
        </w:rPr>
        <w:t>(Tollan et al. 2017)</w:t>
      </w:r>
      <w:r>
        <w:rPr>
          <w:rFonts w:cs="Calibri" w:cstheme="minorHAnsi"/>
        </w:rPr>
      </w:r>
      <w:r>
        <w:fldChar w:fldCharType="end"/>
      </w:r>
      <w:bookmarkEnd w:id="31"/>
      <w:r>
        <w:rPr>
          <w:rFonts w:cs="Calibri" w:cstheme="minorHAnsi"/>
        </w:rPr>
        <w:t xml:space="preserve">. Possibly the difference is the result of different Fe contentrations between San Carlos olivine samples </w:t>
      </w:r>
      <w:r>
        <w:fldChar w:fldCharType="begin"/>
      </w:r>
      <w:r>
        <w:instrText>ADDIN ZOTERO_ITEM CSL_CITATION {"citationID":"GLLkK9nH","properties":{"formattedCitation":"(Zhao, Ginsberg, and Kohstedt 2004)","plainCitation":"(Zhao, Ginsberg, and Kohstedt 2004)"},"citationItems":[{"id":387,"uris":["http://zotero.org/users/3117169/items/4SGJ3MNM"],"uri":["http://zotero.org/users/3117169/items/4SGJ3MNM"],"itemData":{"id":387,"type":"article-journal","title":"Solubility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L."}],"issued":{"date-parts":[["2004",4]]}}}],"schema":"https://github.com/citation-style-language/schema/raw/master/csl-citation.json"}</w:instrText>
      </w:r>
      <w:r>
        <w:fldChar w:fldCharType="separate"/>
      </w:r>
      <w:bookmarkStart w:id="32" w:name="__Fieldmark__7484_2820756831"/>
      <w:r>
        <w:rPr>
          <w:rFonts w:cs="Calibri" w:cstheme="minorHAnsi"/>
        </w:rPr>
      </w:r>
      <w:r>
        <w:rPr>
          <w:rFonts w:cs="Calibri" w:cstheme="minorHAnsi"/>
        </w:rPr>
        <w:t>(Zhao, Ginsberg, and Kohstedt 2004)</w:t>
      </w:r>
      <w:r>
        <w:rPr>
          <w:rFonts w:cs="Calibri" w:cstheme="minorHAnsi"/>
        </w:rPr>
      </w:r>
      <w:r>
        <w:fldChar w:fldCharType="end"/>
      </w:r>
      <w:bookmarkEnd w:id="32"/>
      <w:r>
        <w:rPr>
          <w:rFonts w:cs="Calibri" w:cstheme="minorHAnsi"/>
        </w:rPr>
        <w:t>. The ‘metastable equilibrium’ concentration of 15±1 ppm H</w:t>
      </w:r>
      <w:r>
        <w:rPr>
          <w:rFonts w:cs="Calibri" w:cstheme="minorHAnsi"/>
          <w:vertAlign w:val="subscript"/>
        </w:rPr>
        <w:t>2</w:t>
      </w:r>
      <w:r>
        <w:rPr>
          <w:rFonts w:cs="Calibri" w:cstheme="minorHAnsi"/>
        </w:rPr>
        <w:t>O observed here in SC1-2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3" w:name="__Fieldmark__7502_2820756831"/>
      <w:r>
        <w:rPr>
          <w:rFonts w:cs="Calibri" w:cstheme="minorHAnsi"/>
        </w:rPr>
      </w:r>
      <w:r>
        <w:rPr>
          <w:rFonts w:cs="Calibri" w:cstheme="minorHAnsi"/>
        </w:rPr>
        <w:t xml:space="preserve">Kohlstedt and </w:t>
      </w:r>
      <w:r>
        <w:rPr/>
        <w:t>Mackwell (1998)</w:t>
      </w:r>
      <w:r>
        <w:rPr>
          <w:rFonts w:cs="Calibri" w:cstheme="minorHAnsi"/>
        </w:rPr>
      </w:r>
      <w:r>
        <w:fldChar w:fldCharType="end"/>
      </w:r>
      <w:bookmarkEnd w:id="33"/>
      <w:r>
        <w:rPr>
          <w:rFonts w:cs="Calibri" w:cstheme="minorHAnsi"/>
        </w:rPr>
        <w:t xml:space="preserve">, but this difference may be due to differences in the calibrations used to determine H concentrations from FTIR spectra in the two studies.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shows path-integrated 3D diffusion models that assume an initial metastable equilibrium concentration of 15 ppm H</w:t>
      </w:r>
      <w:r>
        <w:rPr>
          <w:rFonts w:cs="Calibri" w:cstheme="minorHAnsi"/>
          <w:vertAlign w:val="subscript"/>
        </w:rPr>
        <w:t>2</w:t>
      </w:r>
      <w:r>
        <w:rPr>
          <w:rFonts w:cs="Calibri" w:cstheme="minorHAnsi"/>
        </w:rPr>
        <w:t>O, a final solubility concentration of 58 ppm H</w:t>
      </w:r>
      <w:r>
        <w:rPr>
          <w:rFonts w:cs="Calibri" w:cstheme="minorHAnsi"/>
          <w:vertAlign w:val="subscript"/>
        </w:rPr>
        <w:t>2</w:t>
      </w:r>
      <w:r>
        <w:rPr>
          <w:rFonts w:cs="Calibri" w:cstheme="minorHAnsi"/>
        </w:rPr>
        <w:t xml:space="preserve">O, the diffusivities || [100] and [010] that would be expected at 1000°C based on previous work for the proton-vacancy diffusion mechanism </w:t>
      </w:r>
      <w:r>
        <w:fldChar w:fldCharType="begin"/>
      </w:r>
      <w:r>
        <w:instrText>ADDIN ZOTERO_ITEM CSL_CITATION {"citationID":"8ENOQpSQ","properties":{"formattedCitation":"(Kohlstedt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4" w:name="__Fieldmark__7538_2820756831"/>
      <w:r>
        <w:rPr>
          <w:rFonts w:cs="Calibri" w:cstheme="minorHAnsi"/>
        </w:rPr>
      </w:r>
      <w:r>
        <w:rPr>
          <w:rFonts w:cs="Calibri" w:cstheme="minorHAnsi"/>
        </w:rPr>
        <w:t>(Kohlstedt and Mackwell 1998)</w:t>
      </w:r>
      <w:r>
        <w:rPr>
          <w:rFonts w:cs="Calibri" w:cstheme="minorHAnsi"/>
        </w:rPr>
      </w:r>
      <w:r>
        <w:fldChar w:fldCharType="end"/>
      </w:r>
      <w:bookmarkEnd w:id="34"/>
      <w:r>
        <w:rPr>
          <w:rFonts w:cs="Calibri" w:cstheme="minorHAnsi"/>
        </w:rPr>
        <w:t xml:space="preserve">, and diffusivities || c that have been manually adjusted to most match the data. </w:t>
      </w:r>
    </w:p>
    <w:p>
      <w:pPr>
        <w:pStyle w:val="Normal"/>
        <w:rPr>
          <w:rFonts w:cs="Calibri" w:cstheme="minorHAnsi"/>
        </w:rPr>
      </w:pPr>
      <w:r>
        <w:rPr>
          <w:rFonts w:cs="Calibri" w:cstheme="minorHAnsi"/>
        </w:rPr>
      </w:r>
    </w:p>
    <w:p>
      <w:pPr>
        <w:pStyle w:val="Normal"/>
        <w:ind w:hanging="0"/>
        <w:rPr>
          <w:rFonts w:cs="Calibri" w:cstheme="minorHAnsi"/>
        </w:rPr>
      </w:pPr>
      <w:r>
        <w:rPr>
          <w:rFonts w:cs="Calibri" w:cstheme="minorHAnsi"/>
        </w:rPr>
        <w:t>To Do</w:t>
      </w:r>
    </w:p>
    <w:p>
      <w:pPr>
        <w:pStyle w:val="ListParagraph"/>
        <w:numPr>
          <w:ilvl w:val="0"/>
          <w:numId w:val="2"/>
        </w:numPr>
        <w:rPr>
          <w:rFonts w:cs="Calibri" w:cstheme="minorHAnsi"/>
        </w:rPr>
      </w:pPr>
      <w:r>
        <w:rPr>
          <w:rFonts w:cs="Calibri" w:cstheme="minorHAnsi"/>
        </w:rPr>
        <w:t>Say a bit more about the SC1-7 hydration – it’s a lot faster using the lower solubility</w:t>
      </w:r>
    </w:p>
    <w:p>
      <w:pPr>
        <w:pStyle w:val="ListParagraph"/>
        <w:numPr>
          <w:ilvl w:val="0"/>
          <w:numId w:val="2"/>
        </w:numPr>
        <w:rPr>
          <w:rFonts w:cs="Calibri" w:cstheme="minorHAnsi"/>
        </w:rPr>
      </w:pPr>
      <w:r>
        <w:rPr>
          <w:rFonts w:cs="Calibri" w:cstheme="minorHAnsi"/>
        </w:rPr>
        <w:t>Concentration dependent diffusivities in SC1-2 dehydration?</w:t>
      </w:r>
    </w:p>
    <w:p>
      <w:pPr>
        <w:pStyle w:val="ListParagraph"/>
        <w:numPr>
          <w:ilvl w:val="0"/>
          <w:numId w:val="2"/>
        </w:numPr>
        <w:rPr>
          <w:rFonts w:cs="Calibri" w:cstheme="minorHAnsi"/>
        </w:rPr>
      </w:pPr>
      <w:r>
        <w:rPr>
          <w:rFonts w:cs="Calibri" w:cstheme="minorHAnsi"/>
        </w:rPr>
        <w:t>Arrhenius plot</w:t>
      </w:r>
    </w:p>
    <w:p>
      <w:pPr>
        <w:pStyle w:val="Heading2"/>
        <w:rPr/>
      </w:pPr>
      <w:r>
        <w:rPr/>
        <w:t>Dehydration</w:t>
      </w:r>
    </w:p>
    <w:p>
      <w:pPr>
        <w:pStyle w:val="Normal"/>
        <w:rPr/>
      </w:pPr>
      <w:r>
        <w:rPr/>
        <w:t>SC1-2 and Kiki, two homogeneous blocks of olivine with similar initial starting hydrogen concentrations but very different histories and compositions and distributions of hydrogen, were sequentially dehydrated in a gas-mixing furnace (</w:t>
      </w:r>
      <w:r>
        <w:rPr/>
        <w:fldChar w:fldCharType="begin"/>
      </w:r>
      <w:r>
        <w:instrText> REF _Ref480967392 \h </w:instrText>
      </w:r>
      <w:r>
        <w:fldChar w:fldCharType="separate"/>
      </w:r>
      <w:r>
        <w:t>Figure 6</w:t>
      </w:r>
      <w:r>
        <w:fldChar w:fldCharType="end"/>
      </w:r>
      <w:r>
        <w:rPr/>
        <w:t>). Quadratic baselines were used to construct water loss profiles (</w:t>
      </w:r>
      <w:r>
        <w:rPr/>
        <w:fldChar w:fldCharType="begin"/>
      </w:r>
      <w:r>
        <w:instrText> REF _Ref482090897 \h </w:instrText>
      </w:r>
      <w:r>
        <w:fldChar w:fldCharType="separate"/>
      </w:r>
      <w:r>
        <w:t>Figure 7</w:t>
      </w:r>
      <w:r>
        <w:fldChar w:fldCharType="end"/>
      </w:r>
      <w:r>
        <w:rPr/>
        <w:t xml:space="preserve">, </w:t>
      </w:r>
      <w:r>
        <w:rPr>
          <w:b/>
        </w:rPr>
        <w:fldChar w:fldCharType="begin"/>
      </w:r>
      <w:r>
        <w:instrText> REF _Ref482861744 \h </w:instrText>
      </w:r>
      <w:r>
        <w:fldChar w:fldCharType="separate"/>
      </w:r>
      <w:r>
        <w:t>Figure 8</w:t>
      </w:r>
      <w:r>
        <w:fldChar w:fldCharType="end"/>
      </w:r>
      <w:r>
        <w:rPr/>
        <w:t>). These profiles were normalized to the initial hydrated concentrations. Several of the profiles are asymmetric, which we attribute primarily to error in the quadratic baselines used. Linear baselines drawn between wavenumbers 3700 and 3200 cm</w:t>
      </w:r>
      <w:r>
        <w:rPr>
          <w:vertAlign w:val="superscript"/>
        </w:rPr>
        <w:t>-1</w:t>
      </w:r>
      <w:r>
        <w:rPr/>
        <w:t xml:space="preserve"> remove much of this asymmetry (</w:t>
      </w:r>
      <w:r>
        <w:rPr/>
        <w:fldChar w:fldCharType="begin"/>
      </w:r>
      <w:r>
        <w:instrText> REF _Ref482709737 \r \h </w:instrText>
      </w:r>
      <w:r>
        <w:fldChar w:fldCharType="separate"/>
      </w:r>
      <w:r>
        <w:t>Supplementary Figure 4.</w:t>
      </w:r>
      <w:r>
        <w:fldChar w:fldCharType="end"/>
      </w:r>
      <w:r>
        <w:rPr/>
        <w:t>) but could in some cases result in negative areas, particularly during the final dehydration steps and near edges (</w:t>
      </w:r>
      <w:r>
        <w:rPr/>
        <w:fldChar w:fldCharType="begin"/>
      </w:r>
      <w:r>
        <w:instrText> REF _Ref482797798 \r \h </w:instrText>
      </w:r>
      <w:r>
        <w:fldChar w:fldCharType="separate"/>
      </w:r>
      <w:r>
        <w:t>Supplementary Figure 5.</w:t>
      </w:r>
      <w:r>
        <w:fldChar w:fldCharType="end"/>
      </w:r>
      <w:r>
        <w:rPr/>
        <w:t>). P</w:t>
      </w:r>
      <w:r>
        <w:rPr>
          <w:rFonts w:cs="Calibri" w:cstheme="minorHAnsi"/>
        </w:rPr>
        <w:t>ath-integrated 3-dimensional diffusion modeling was performed to estimate the rate of hydrogen movement for each time step in SC1-2 (</w:t>
      </w:r>
      <w:r>
        <w:rPr>
          <w:rFonts w:cs="Calibri" w:cstheme="minorHAnsi"/>
        </w:rPr>
        <w:fldChar w:fldCharType="begin"/>
      </w:r>
      <w:r>
        <w:instrText> REF _Ref482797859 \r \h </w:instrText>
      </w:r>
      <w:r>
        <w:fldChar w:fldCharType="separate"/>
      </w:r>
      <w:r>
        <w:t>Supplementary Figure 6.</w:t>
      </w:r>
      <w:r>
        <w:fldChar w:fldCharType="end"/>
      </w:r>
      <w:r>
        <w:rPr>
          <w:rFonts w:cs="Calibri" w:cstheme="minorHAnsi"/>
        </w:rPr>
        <w:t xml:space="preserve"> through </w:t>
      </w:r>
      <w:r>
        <w:rPr>
          <w:rFonts w:cs="Calibri" w:cstheme="minorHAnsi"/>
        </w:rPr>
        <w:fldChar w:fldCharType="begin"/>
      </w:r>
      <w:r>
        <w:instrText> REF _Ref482793206 \r \h </w:instrText>
      </w:r>
      <w:r>
        <w:fldChar w:fldCharType="separate"/>
      </w:r>
      <w:r>
        <w:t>Supplementary Figure 12.</w:t>
      </w:r>
      <w:r>
        <w:fldChar w:fldCharType="end"/>
      </w:r>
      <w:r>
        <w:rPr>
          <w:rFonts w:cs="Calibri" w:cstheme="minorHAnsi"/>
        </w:rPr>
        <w:t>) and Kiki (</w:t>
      </w:r>
      <w:r>
        <w:rPr>
          <w:rFonts w:cs="Calibri" w:cstheme="minorHAnsi"/>
          <w:b/>
        </w:rPr>
        <w:fldChar w:fldCharType="begin"/>
      </w:r>
      <w:r>
        <w:instrText> REF _Ref485392997 \r \h </w:instrText>
      </w:r>
      <w:r>
        <w:fldChar w:fldCharType="separate"/>
      </w:r>
      <w:r>
        <w:t>Supplementary Figure 13.</w:t>
      </w:r>
      <w:r>
        <w:fldChar w:fldCharType="end"/>
      </w:r>
      <w:r>
        <w:rPr>
          <w:rFonts w:cs="Calibri" w:cstheme="minorHAnsi"/>
        </w:rPr>
        <w:t xml:space="preserve"> through </w:t>
      </w:r>
      <w:r>
        <w:rPr>
          <w:rFonts w:cs="Calibri" w:cstheme="minorHAnsi"/>
        </w:rPr>
        <w:fldChar w:fldCharType="begin"/>
      </w:r>
      <w:r>
        <w:instrText> REF _Ref485393009 \r \h </w:instrText>
      </w:r>
      <w:r>
        <w:fldChar w:fldCharType="separate"/>
      </w:r>
      <w:r>
        <w:t>Supplementary Figure 18.</w:t>
      </w:r>
      <w:r>
        <w:fldChar w:fldCharType="end"/>
      </w:r>
      <w:r>
        <w:rPr>
          <w:rFonts w:cs="Calibri" w:cstheme="minorHAnsi"/>
        </w:rPr>
        <w:t xml:space="preserve">), and the results are shown in </w:t>
      </w:r>
      <w:r>
        <w:rPr>
          <w:rFonts w:cs="Calibri" w:cstheme="minorHAnsi"/>
        </w:rPr>
        <w:fldChar w:fldCharType="begin"/>
      </w:r>
      <w:r>
        <w:instrText> REF _Ref482794235 \h </w:instrText>
      </w:r>
      <w:r>
        <w:fldChar w:fldCharType="separate"/>
      </w:r>
      <w:r>
        <w:t>Figure 5</w:t>
      </w:r>
      <w:r>
        <w:fldChar w:fldCharType="end"/>
      </w:r>
      <w:r>
        <w:rPr>
          <w:rFonts w:cs="Calibri" w:cstheme="minorHAnsi"/>
        </w:rPr>
        <w:t>.</w:t>
      </w:r>
      <w:r>
        <w:rPr/>
        <w:t xml:space="preserve"> </w:t>
      </w:r>
    </w:p>
    <w:p>
      <w:pPr>
        <w:pStyle w:val="Normal"/>
        <w:rPr/>
      </w:pPr>
      <w:r>
        <w:rPr/>
        <w:t>We determined diffusivities for bulk H, [Si-Fe</w:t>
      </w:r>
      <w:r>
        <w:rPr>
          <w:vertAlign w:val="superscript"/>
        </w:rPr>
        <w:t>2+</w:t>
      </w:r>
      <w:r>
        <w:rPr/>
        <w:t>] at 3600 cm</w:t>
      </w:r>
      <w:r>
        <w:rPr>
          <w:vertAlign w:val="superscript"/>
        </w:rPr>
        <w:t>-1</w:t>
      </w:r>
      <w:r>
        <w:rPr/>
        <w:t>, and [Ti-3525] in San Carlos SC1-2. The other [Ti] peak and [Si] peaks profiles in SC1-2 are similar to [Ti-3525]. 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a. These [Si-Fe</w:t>
      </w:r>
      <w:r>
        <w:rPr>
          <w:vertAlign w:val="superscript"/>
        </w:rPr>
        <w:t>2+</w:t>
      </w:r>
      <w:r>
        <w:rPr/>
        <w:t>] loss profiles also differ from the majority of profiles observed in this study in that they did not appear to be going to zero near the edges, but rather to about 40% of the initial, which was the final concentration used when modeling the diffusivities. Because this peak does not go to zero, the bulk H also cannot go to zero. Consequently, the final bulk H concentration was modeled as 15% of the initial homogeneous partially hydrated concentration.</w:t>
      </w:r>
    </w:p>
    <w:p>
      <w:pPr>
        <w:pStyle w:val="Normal"/>
        <w:rPr/>
      </w:pPr>
      <w:r>
        <w:rPr/>
        <w:t>While the [Si-Fe</w:t>
      </w:r>
      <w:r>
        <w:rPr>
          <w:vertAlign w:val="superscript"/>
        </w:rPr>
        <w:t>2+</w:t>
      </w:r>
      <w:r>
        <w:rPr/>
        <w:t>] peak sped up, the [Ti-3525] peak began slowing down after about 7 hours. To observe this, compare the close correspondence of the [Ti-3525] data with the expected proton-polaron curves after 7 hours (</w:t>
      </w:r>
      <w:r>
        <w:rPr/>
        <w:fldChar w:fldCharType="begin"/>
      </w:r>
      <w:r>
        <w:instrText> REF _Ref484530636 \r \h </w:instrText>
      </w:r>
      <w:r>
        <w:fldChar w:fldCharType="separate"/>
      </w:r>
      <w:r>
        <w:t>Supplementary Figure 8.</w:t>
      </w:r>
      <w:r>
        <w:fldChar w:fldCharType="end"/>
      </w:r>
      <w:r>
        <w:rPr/>
        <w:t>) with the increasing difference between the two in subsequent time-steps. The two mechanisms eventually come close to converging, but the [Ti-3525] peak is always slightly faster. Some disordered [tri] peaks were also occasionally observed near the edge of SC1-2 (</w:t>
      </w:r>
      <w:r>
        <w:rPr/>
        <w:fldChar w:fldCharType="begin"/>
      </w:r>
      <w:r>
        <w:instrText> REF _Ref482797798 \r \h </w:instrText>
      </w:r>
      <w:r>
        <w:fldChar w:fldCharType="separate"/>
      </w:r>
      <w:r>
        <w:t>Supplementary Figure 5.</w:t>
      </w:r>
      <w:r>
        <w:fldChar w:fldCharType="end"/>
      </w:r>
      <w:r>
        <w:rPr/>
        <w:t>), but these were so uncommon that they are difficult to use to obtain diffusivities.</w:t>
      </w:r>
    </w:p>
    <w:p>
      <w:pPr>
        <w:pStyle w:val="Normal"/>
        <w:rPr/>
      </w:pPr>
      <w:r>
        <w:rPr/>
        <w:t xml:space="preserve"> </w:t>
      </w:r>
      <w:r>
        <w:rPr/>
        <w:t>Experimentation on the Kilauea Iki sample took place in multiple stages. First, the sample was treated exactly the same way as SC1-2 during dehydration: heated for 1 and then a total of 8 hours at 800°C in a gas-mixing furnace at QFM-2. This procedure resulted in some redistribution of the H, primarily from [tri-Fe</w:t>
      </w:r>
      <w:r>
        <w:rPr>
          <w:vertAlign w:val="superscript"/>
        </w:rPr>
        <w:t>3+</w:t>
      </w:r>
      <w:r>
        <w:rPr/>
        <w:t>] to [Si] (</w:t>
      </w:r>
      <w:r>
        <w:rPr/>
        <w:fldChar w:fldCharType="begin"/>
      </w:r>
      <w:r>
        <w:instrText> REF _Ref482861744 \h </w:instrText>
      </w:r>
      <w:r>
        <w:fldChar w:fldCharType="separate"/>
      </w:r>
      <w:r>
        <w:t>Figure 8</w:t>
      </w:r>
      <w:r>
        <w:fldChar w:fldCharType="end"/>
      </w:r>
      <w:r>
        <w:rPr/>
        <w:t>), but did not produce clear H loss in bulk H like what was observed in the partially hydrated SC1-2 treated the same way. The difference between the two olivines is most apparent in the comparison between clear loss in the [Ti-3525] peak from SC1-2 after 7 hours of heating at 800°C (</w:t>
      </w:r>
      <w:r>
        <w:rPr/>
        <w:fldChar w:fldCharType="begin"/>
      </w:r>
      <w:r>
        <w:instrText> REF _Ref484530636 \r \h </w:instrText>
      </w:r>
      <w:r>
        <w:fldChar w:fldCharType="separate"/>
      </w:r>
      <w:r>
        <w:t>Supplementary Figure 8.</w:t>
      </w:r>
      <w:r>
        <w:fldChar w:fldCharType="end"/>
      </w:r>
      <w:r>
        <w:rPr/>
        <w:t>) compared to essentially no movement of the same peak in the similarly-sized Kilauea Iki sample after 8 hours of heating at the same temperature and oxygen fugacity (</w:t>
      </w:r>
      <w:r>
        <w:rPr/>
        <w:fldChar w:fldCharType="begin"/>
      </w:r>
      <w:r>
        <w:instrText> REF _Ref484535787 \r \h </w:instrText>
      </w:r>
      <w:r>
        <w:fldChar w:fldCharType="separate"/>
      </w:r>
      <w:r>
        <w:t>Supplementary Figure 14.</w:t>
      </w:r>
      <w:r>
        <w:fldChar w:fldCharType="end"/>
      </w:r>
      <w:r>
        <w:rPr/>
        <w:t>). The rate of loss from the [tri-Fe3+] peak could be quantified from the loss profiles following the same procedure used for SC1-2 of starting with the expected proton-polaron mechanism diffusivities and allowing the diffusivity to change || a. The results are 10</w:t>
      </w:r>
      <w:r>
        <w:rPr>
          <w:vertAlign w:val="superscript"/>
        </w:rPr>
        <w:t>-10.0±0.1</w:t>
      </w:r>
      <w:r>
        <w:rPr/>
        <w:t xml:space="preserve"> m2/s at 1 hour and 10</w:t>
      </w:r>
      <w:r>
        <w:rPr>
          <w:vertAlign w:val="superscript"/>
        </w:rPr>
        <w:t>-10.1±0.1</w:t>
      </w:r>
      <w:r>
        <w:rPr/>
        <w:t xml:space="preserve"> m</w:t>
      </w:r>
      <w:r>
        <w:rPr>
          <w:vertAlign w:val="superscript"/>
        </w:rPr>
        <w:t>2</w:t>
      </w:r>
      <w:r>
        <w:rPr/>
        <w:t>/s at 8 hours</w:t>
      </w:r>
      <w:r>
        <w:rPr>
          <w:b/>
        </w:rPr>
        <w:t>.</w:t>
      </w:r>
    </w:p>
    <w:p>
      <w:pPr>
        <w:pStyle w:val="Normal"/>
        <w:rPr/>
      </w:pPr>
      <w:r>
        <w:rPr/>
        <w:t>During dehydration of the Kilauea Iki sample at 800°C, clear profiles could be distinguished for [tri-Fe</w:t>
      </w:r>
      <w:r>
        <w:rPr>
          <w:vertAlign w:val="superscript"/>
        </w:rPr>
        <w:t>3+</w:t>
      </w:r>
      <w:r>
        <w:rPr>
          <w:rFonts w:cs="Calibri" w:cstheme="minorHAnsi"/>
        </w:rPr>
        <w:t>-3356] as well as the two peaks [Ti-3525] and [Si-Fe</w:t>
      </w:r>
      <w:r>
        <w:rPr>
          <w:rFonts w:cs="Calibri" w:cstheme="minorHAnsi"/>
          <w:vertAlign w:val="superscript"/>
        </w:rPr>
        <w:t>2+</w:t>
      </w:r>
      <w:r>
        <w:rPr>
          <w:rFonts w:cs="Calibri" w:cstheme="minorHAnsi"/>
        </w:rPr>
        <w:t xml:space="preserve">] discussed for SC1-2. </w:t>
      </w:r>
    </w:p>
    <w:p>
      <w:pPr>
        <w:pStyle w:val="Caption1"/>
        <w:rPr/>
      </w:pPr>
      <w:r>
        <w:rPr/>
      </w:r>
    </w:p>
    <w:p>
      <w:pPr>
        <w:pStyle w:val="Heading1"/>
        <w:rPr/>
      </w:pPr>
      <w:r>
        <w:br w:type="column"/>
      </w:r>
      <w:r>
        <w:rPr/>
        <w:t>Figures</w:t>
      </w:r>
    </w:p>
    <w:p>
      <w:pPr>
        <w:pStyle w:val="Caption1"/>
        <w:rPr/>
      </w:pPr>
      <w:bookmarkStart w:id="35" w:name="_Ref477259778"/>
      <w:bookmarkStart w:id="36" w:name="_Ref477285918"/>
      <w:r>
        <w:rPr/>
        <w:t xml:space="preserve">Figure </w:t>
      </w:r>
      <w:r>
        <w:rPr/>
        <w:fldChar w:fldCharType="begin"/>
      </w:r>
      <w:r>
        <w:instrText> SEQ Figure \* ARABIC </w:instrText>
      </w:r>
      <w:r>
        <w:fldChar w:fldCharType="separate"/>
      </w:r>
      <w:r>
        <w:t>1</w:t>
      </w:r>
      <w:r>
        <w:fldChar w:fldCharType="end"/>
      </w:r>
      <w:bookmarkEnd w:id="36"/>
      <w:r>
        <w:rP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r>
        <w:rPr/>
        <w:t xml:space="preserve">Figure </w:t>
      </w:r>
      <w:r>
        <w:rPr/>
        <w:fldChar w:fldCharType="begin"/>
      </w:r>
      <w:r>
        <w:instrText> SEQ Figure \* ARABIC </w:instrText>
      </w:r>
      <w:r>
        <w:fldChar w:fldCharType="separate"/>
      </w:r>
      <w:r>
        <w:t>2</w:t>
      </w:r>
      <w:r>
        <w:fldChar w:fldCharType="end"/>
      </w:r>
      <w:bookmarkEnd w:id="35"/>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keepNext/>
        <w:ind w:hanging="0"/>
        <w:rPr/>
      </w:pPr>
      <w:r>
        <w:rPr/>
      </w:r>
    </w:p>
    <w:p>
      <w:pPr>
        <w:pStyle w:val="Caption1"/>
        <w:rPr/>
      </w:pPr>
      <w:bookmarkStart w:id="37" w:name="_Ref477446399"/>
      <w:r>
        <w:rPr/>
        <w:t xml:space="preserve">Figure </w:t>
      </w:r>
      <w:r>
        <w:rPr/>
        <w:fldChar w:fldCharType="begin"/>
      </w:r>
      <w:r>
        <w:instrText> SEQ Figure \* ARABIC </w:instrText>
      </w:r>
      <w:r>
        <w:fldChar w:fldCharType="separate"/>
      </w:r>
      <w:r>
        <w:t>3</w:t>
      </w:r>
      <w:r>
        <w:fldChar w:fldCharType="end"/>
      </w:r>
      <w:bookmarkEnd w:id="37"/>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pPr>
        <w:pStyle w:val="Normal"/>
        <w:keepNext/>
        <w:ind w:hanging="0"/>
        <w:rPr/>
      </w:pPr>
      <w:r>
        <w:rPr/>
      </w:r>
    </w:p>
    <w:p>
      <w:pPr>
        <w:pStyle w:val="Caption1"/>
        <w:rPr/>
      </w:pPr>
      <w:bookmarkStart w:id="38" w:name="_Ref481414335"/>
      <w:r>
        <w:rPr/>
        <w:t xml:space="preserve">Figure </w:t>
      </w:r>
      <w:r>
        <w:rPr/>
        <w:fldChar w:fldCharType="begin"/>
      </w:r>
      <w:r>
        <w:instrText> SEQ Figure \* ARABIC </w:instrText>
      </w:r>
      <w:r>
        <w:fldChar w:fldCharType="separate"/>
      </w:r>
      <w:r>
        <w:t>4</w:t>
      </w:r>
      <w:r>
        <w:fldChar w:fldCharType="end"/>
      </w:r>
      <w:bookmarkEnd w:id="38"/>
      <w:r>
        <w:rP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rPr/>
        <w:fldChar w:fldCharType="begin"/>
      </w:r>
      <w:r>
        <w:instrText> REF _Ref477446399 \h </w:instrText>
      </w:r>
      <w:r>
        <w:fldChar w:fldCharType="separate"/>
      </w:r>
      <w:r>
        <w:t>Figure 3</w:t>
      </w:r>
      <w:r>
        <w:fldChar w:fldCharType="end"/>
      </w:r>
      <w:r>
        <w:rPr/>
        <w:t xml:space="preserve"> and initial hydrogen contents from </w:t>
      </w:r>
      <w:r>
        <w:rPr/>
        <w:fldChar w:fldCharType="begin"/>
      </w:r>
      <w:r>
        <w:instrText> REF _Ref482181791 \h </w:instrText>
      </w:r>
      <w:r>
        <w:fldChar w:fldCharType="separate"/>
      </w:r>
      <w:r>
        <w:t>Table 1</w:t>
      </w:r>
      <w:r>
        <w:fldChar w:fldCharType="end"/>
      </w:r>
      <w:r>
        <w:rPr/>
        <w:t xml:space="preserve">. Profiles constructed with alternative baselines are provided in </w:t>
      </w:r>
      <w:r>
        <w:rPr/>
        <w:fldChar w:fldCharType="begin"/>
      </w:r>
      <w:r>
        <w:instrText> REF _Ref482272419 \r \h </w:instrText>
      </w:r>
      <w:r>
        <w:fldChar w:fldCharType="separate"/>
      </w:r>
      <w:r>
        <w:t>Supplementary Figure 2.</w:t>
      </w:r>
      <w:r>
        <w:fldChar w:fldCharType="end"/>
      </w:r>
      <w:r>
        <w:rPr/>
        <w:t xml:space="preserve"> and </w:t>
      </w:r>
      <w:r>
        <w:rPr/>
        <w:fldChar w:fldCharType="begin"/>
      </w:r>
      <w:r>
        <w:instrText> REF _Ref482272422 \r \h </w:instrText>
      </w:r>
      <w:r>
        <w:fldChar w:fldCharType="separate"/>
      </w:r>
      <w:r/>
      <w:r>
        <w:fldChar w:fldCharType="end"/>
      </w:r>
      <w:r>
        <w:rPr/>
        <w:t>. Grey curves show the expected diffusion curves based on the diffusivities (D) for the proton-vacancy (p.v.) mechanism diffusion at 1000°C (D</w:t>
      </w:r>
      <w:r>
        <w:rPr>
          <w:vertAlign w:val="subscript"/>
        </w:rPr>
        <w:t>||a</w:t>
      </w:r>
      <w:r>
        <w:rPr/>
        <w:t>=10</w:t>
      </w:r>
      <w:r>
        <w:rPr>
          <w:vertAlign w:val="superscript"/>
        </w:rPr>
        <w:t>-12.8</w:t>
      </w:r>
      <w:r>
        <w:rPr/>
        <w:t xml:space="preserve"> m</w:t>
      </w:r>
      <w:r>
        <w:rPr>
          <w:vertAlign w:val="superscript"/>
        </w:rPr>
        <w:t>2</w:t>
      </w:r>
      <w:r>
        <w:rPr/>
        <w:t>/s; D</w:t>
      </w:r>
      <w:r>
        <w:rPr>
          <w:vertAlign w:val="subscript"/>
        </w:rPr>
        <w:t>||b</w:t>
      </w:r>
      <w:r>
        <w:rPr/>
        <w:t>=-10</w:t>
      </w:r>
      <w:r>
        <w:rPr>
          <w:vertAlign w:val="superscript"/>
        </w:rPr>
        <w:t>-13.2</w:t>
      </w:r>
      <w:r>
        <w:rPr/>
        <w:t xml:space="preserve"> m</w:t>
      </w:r>
      <w:r>
        <w:rPr>
          <w:vertAlign w:val="superscript"/>
        </w:rPr>
        <w:t>2</w:t>
      </w:r>
      <w:r>
        <w:rPr/>
        <w:t>/s; D</w:t>
      </w:r>
      <w:r>
        <w:rPr>
          <w:vertAlign w:val="subscript"/>
        </w:rPr>
        <w:t>||c</w:t>
      </w:r>
      <w:r>
        <w:rPr/>
        <w:t>=10</w:t>
      </w:r>
      <w:r>
        <w:rPr>
          <w:vertAlign w:val="superscript"/>
        </w:rPr>
        <w:t>-11.8</w:t>
      </w:r>
      <w:r>
        <w:rPr/>
        <w:t xml:space="preserve"> m</w:t>
      </w:r>
      <w:r>
        <w:rPr>
          <w:vertAlign w:val="superscript"/>
        </w:rPr>
        <w:t>2</w:t>
      </w:r>
      <w:r>
        <w:rPr/>
        <w:t>/s), an initial “metastable equilibrium” concentration equal to the mean concentration or peak height in the hydrated SC1-2 (dotted green lines, where all diffusion possible by the proton-polaron, or p.p., mechanism has been completed) and final concentration equal to the expected solubility of 112 ppm H</w:t>
      </w:r>
      <w:r>
        <w:rPr>
          <w:vertAlign w:val="subscript"/>
        </w:rPr>
        <w:t>2</w:t>
      </w:r>
      <w:r>
        <w:rPr/>
        <w:t>O. Thin orange lines show estimated diffusivities changed || c to better fit the data.</w:t>
      </w:r>
    </w:p>
    <w:p>
      <w:pPr>
        <w:pStyle w:val="Normal"/>
        <w:keepNext/>
        <w:ind w:hanging="0"/>
        <w:rPr/>
      </w:pPr>
      <w:r>
        <w:rPr/>
      </w:r>
    </w:p>
    <w:p>
      <w:pPr>
        <w:pStyle w:val="Caption1"/>
        <w:rPr/>
      </w:pPr>
      <w:bookmarkStart w:id="39" w:name="_Ref482794235"/>
      <w:r>
        <w:rPr/>
        <w:t xml:space="preserve">Figure </w:t>
      </w:r>
      <w:r>
        <w:rPr/>
        <w:fldChar w:fldCharType="begin"/>
      </w:r>
      <w:r>
        <w:instrText> SEQ Figure \* ARABIC </w:instrText>
      </w:r>
      <w:r>
        <w:fldChar w:fldCharType="separate"/>
      </w:r>
      <w:r>
        <w:t>5</w:t>
      </w:r>
      <w:r>
        <w:fldChar w:fldCharType="end"/>
      </w:r>
      <w:bookmarkEnd w:id="39"/>
      <w:r>
        <w:rPr/>
        <w:t>. Diffusivities (D) determined at two different temperatures, 800 and 1000°C, during hydration of San Carlos olivine SC1-7 primarily by the proton-vacancy or “p.v” mechanism at 1000°C, dehydration of San Carlos olivine SC1-2 after partial hydration by the proton-polaron or “p.p” mechanism at 800°C, and dehydration of Kilauea Iki olivine Kiki first at 800°C and then 1000°C (</w:t>
      </w:r>
      <w:r>
        <w:rPr>
          <w:b/>
        </w:rPr>
        <w:t>COMING SOON</w:t>
      </w:r>
      <w:r>
        <w:rPr/>
        <w:t xml:space="preserve">) compared with expected diffusivities for bulk H </w:t>
      </w:r>
      <w:r>
        <w:fldChar w:fldCharType="begin"/>
      </w:r>
      <w:r>
        <w:instrText>ADDIN ZOTERO_ITEM CSL_CITATION {"citationID":"K48ByUve","properties":{"formattedCitation":"(Kohlstedt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40" w:name="__Fieldmark__7786_2820756831"/>
      <w:r>
        <w:rPr/>
      </w:r>
      <w:r>
        <w:rPr/>
        <w:t>(Kohlstedt and Mackwell 1998)</w:t>
      </w:r>
      <w:r>
        <w:rPr/>
      </w:r>
      <w:r>
        <w:fldChar w:fldCharType="end"/>
      </w:r>
      <w:bookmarkEnd w:id="40"/>
      <w:r>
        <w:rPr/>
        <w:t xml:space="preserve"> and peak-specific H incorporation mechanisms [Ti], [Mg], [Si], and [tri] in unoriented synthetic forsterite (Fo) </w:t>
      </w:r>
      <w:r>
        <w:fldChar w:fldCharType="begin"/>
      </w:r>
      <w:r>
        <w:instrText>ADDIN ZOTERO_ITEM CSL_CITATION {"citationID":"Ox3Mvu6w","properties":{"formattedCitation":"{\\rtf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41" w:name="__Fieldmark__7791_2820756831"/>
      <w:r>
        <w:rPr/>
      </w:r>
      <w:r>
        <w:rPr>
          <w:rFonts w:cs="Times New Roman"/>
          <w:szCs w:val="24"/>
        </w:rPr>
        <w:t>(Padrón-Navarta, Hermann, and O’Neill 2014)</w:t>
      </w:r>
      <w:r>
        <w:rPr/>
      </w:r>
      <w:r>
        <w:fldChar w:fldCharType="end"/>
      </w:r>
      <w:bookmarkEnd w:id="41"/>
      <w:r>
        <w:rPr/>
        <w:t xml:space="preserve">. Note diffusivities || [100], the fast direction in the p.p., are plotted in the 800°C panel, and diffusivities || [001], the fast direction in p.v., are plotted in the 1000°C panel. </w:t>
      </w:r>
      <w:r>
        <w:rPr>
          <w:b/>
        </w:rPr>
        <w:t xml:space="preserve">Data and associated errors are reported in Table X. </w:t>
      </w:r>
      <w:r>
        <w:rPr/>
        <w:t>Note that many of the data points, particularly for the early stages of dehydration of SC1-2 are poorly constrained and so have very large reported errors that are not plotted here for clarity.</w:t>
      </w:r>
    </w:p>
    <w:p>
      <w:pPr>
        <w:pStyle w:val="Normal"/>
        <w:rPr/>
      </w:pPr>
      <w:r>
        <w:rPr/>
      </w:r>
    </w:p>
    <w:p>
      <w:pPr>
        <w:pStyle w:val="Caption1"/>
        <w:rPr/>
      </w:pPr>
      <w:r>
        <w:br w:type="column"/>
      </w:r>
      <w:bookmarkStart w:id="42" w:name="_Ref480967392"/>
      <w:r>
        <w:rPr/>
        <w:t xml:space="preserve">Figure </w:t>
      </w:r>
      <w:r>
        <w:rPr/>
        <w:fldChar w:fldCharType="begin"/>
      </w:r>
      <w:r>
        <w:instrText> SEQ Figure \* ARABIC </w:instrText>
      </w:r>
      <w:r>
        <w:fldChar w:fldCharType="separate"/>
      </w:r>
      <w:r>
        <w:t>6</w:t>
      </w:r>
      <w:r>
        <w:fldChar w:fldCharType="end"/>
      </w:r>
      <w:bookmarkEnd w:id="42"/>
      <w:r>
        <w:rPr/>
        <w:t>. Averaged polarized FTIR spectra with electric vector E || [100] of untreated Kilauea Iki olivine Kiki (offset for clarity) and partially hydrated San Carlos olivine SC1-2. Both samples contain around 15 ppm H</w:t>
      </w:r>
      <w:r>
        <w:rPr>
          <w:vertAlign w:val="subscript"/>
        </w:rPr>
        <w:t>2</w:t>
      </w:r>
      <w:r>
        <w:rPr/>
        <w:t>O (</w:t>
      </w:r>
      <w:r>
        <w:rPr/>
        <w:fldChar w:fldCharType="begin"/>
      </w:r>
      <w:r>
        <w:instrText> REF _Ref482181791 \h </w:instrText>
      </w:r>
      <w:r>
        <w:fldChar w:fldCharType="separate"/>
      </w:r>
      <w:r>
        <w:t>Table 1</w:t>
      </w:r>
      <w:r>
        <w:fldChar w:fldCharType="end"/>
      </w:r>
      <w:r>
        <w:rPr/>
        <w:t>), but the hydrogen is incorporated into the structures in different ways, resulting in different peak locations and absorbances || [100]. Quadratic baselines like those shown in black were used to construct hydrogen loss profiles.</w:t>
      </w:r>
    </w:p>
    <w:p>
      <w:pPr>
        <w:pStyle w:val="Normal"/>
        <w:rPr/>
      </w:pPr>
      <w:r>
        <w:rPr/>
      </w:r>
    </w:p>
    <w:p>
      <w:pPr>
        <w:pStyle w:val="Caption1"/>
        <w:rPr/>
      </w:pPr>
      <w:bookmarkStart w:id="43" w:name="_Ref482090897"/>
      <w:r>
        <w:rPr/>
        <w:t xml:space="preserve">Figure </w:t>
      </w:r>
      <w:r>
        <w:rPr/>
        <w:fldChar w:fldCharType="begin"/>
      </w:r>
      <w:r>
        <w:instrText> SEQ Figure \* ARABIC </w:instrText>
      </w:r>
      <w:r>
        <w:fldChar w:fldCharType="separate"/>
      </w:r>
      <w:r>
        <w:t>7</w:t>
      </w:r>
      <w:r>
        <w:fldChar w:fldCharType="end"/>
      </w:r>
      <w:bookmarkEnd w:id="43"/>
      <w:r>
        <w:rPr/>
        <w:t>. Profiles of bulk H (top) and two peaks during step-wise dehydration of partially hydrated San Carlos olivine SC1-2 at 1 atm, 800°C, and QFM-2. The bulk H is scaled assuming that the hydrated sample contained 14 ppm H</w:t>
      </w:r>
      <w:r>
        <w:rPr>
          <w:vertAlign w:val="subscript"/>
        </w:rPr>
        <w:t>2</w:t>
      </w:r>
      <w:r>
        <w:rPr/>
        <w:t>O (</w:t>
      </w:r>
      <w:r>
        <w:rPr/>
        <w:fldChar w:fldCharType="begin"/>
      </w:r>
      <w:r>
        <w:instrText> REF _Ref482181791 \h </w:instrText>
      </w:r>
      <w:r>
        <w:fldChar w:fldCharType="separate"/>
      </w:r>
      <w:r>
        <w:t>Table 1</w:t>
      </w:r>
      <w:r>
        <w:fldChar w:fldCharType="end"/>
      </w:r>
      <w:r>
        <w:rPr/>
        <w:t>), and all profiles are normalized relative to the hydrated profile to account for small amounts of initial zonation. We attribute the asymmetry in some of the profiles primarily to differences between the baselines used to determine these areas (</w:t>
      </w:r>
      <w:r>
        <w:rPr/>
        <w:fldChar w:fldCharType="begin"/>
      </w:r>
      <w:r>
        <w:instrText> REF _Ref480967392 \h </w:instrText>
      </w:r>
      <w:r>
        <w:fldChar w:fldCharType="separate"/>
      </w:r>
      <w:r>
        <w:t>Figure 6</w:t>
      </w:r>
      <w:r>
        <w:fldChar w:fldCharType="end"/>
      </w:r>
      <w:r>
        <w:rPr/>
        <w:t xml:space="preserve">) and the true baselines, which could not be easily determined and also appeared to change over time. </w:t>
      </w:r>
    </w:p>
    <w:p>
      <w:pPr>
        <w:pStyle w:val="Normal"/>
        <w:keepNext/>
        <w:ind w:hanging="0"/>
        <w:rPr/>
      </w:pPr>
      <w:r>
        <w:rPr/>
      </w:r>
    </w:p>
    <w:p>
      <w:pPr>
        <w:pStyle w:val="Caption1"/>
        <w:rPr/>
      </w:pPr>
      <w:bookmarkStart w:id="44" w:name="_Ref482861744"/>
      <w:r>
        <w:rPr/>
        <w:t xml:space="preserve">Figure </w:t>
      </w:r>
      <w:r>
        <w:rPr/>
        <w:fldChar w:fldCharType="begin"/>
      </w:r>
      <w:r>
        <w:instrText> SEQ Figure \* ARABIC </w:instrText>
      </w:r>
      <w:r>
        <w:fldChar w:fldCharType="separate"/>
      </w:r>
      <w:r>
        <w:t>8</w:t>
      </w:r>
      <w:r>
        <w:fldChar w:fldCharType="end"/>
      </w:r>
      <w:bookmarkEnd w:id="44"/>
      <w:r>
        <w:rPr/>
        <w:t>. Bulk and site-specific hydrogen profiles relative to the initial measurements in Kilauea Iki olivine following heat treatment at 800°C, 1 atm, and fO</w:t>
      </w:r>
      <w:r>
        <w:rPr>
          <w:vertAlign w:val="subscript"/>
        </w:rPr>
        <w:t>2</w:t>
      </w:r>
      <w:r>
        <w:rPr/>
        <w:t xml:space="preserve"> of QFM-2.</w:t>
      </w:r>
    </w:p>
    <w:p>
      <w:pPr>
        <w:pStyle w:val="Normal"/>
        <w:rPr/>
      </w:pPr>
      <w:r>
        <w:rPr/>
      </w:r>
    </w:p>
    <w:p>
      <w:pPr>
        <w:pStyle w:val="ListParagraph"/>
        <w:numPr>
          <w:ilvl w:val="0"/>
          <w:numId w:val="1"/>
        </w:numPr>
        <w:rPr/>
      </w:pPr>
      <w:r>
        <w:rPr/>
        <w:t xml:space="preserve">Additional hydration profiles using the same quadratic baselines used for the hydration profiles in </w:t>
      </w:r>
      <w:r>
        <w:rPr/>
        <w:fldChar w:fldCharType="begin"/>
      </w:r>
      <w:r>
        <w:instrText> REF _Ref481414335 \h </w:instrText>
      </w:r>
      <w:r>
        <w:fldChar w:fldCharType="separate"/>
      </w:r>
      <w:r>
        <w:t>Figure 4</w:t>
      </w:r>
      <w:r>
        <w:fldChar w:fldCharType="end"/>
      </w:r>
      <w:r>
        <w:rPr/>
        <w:t xml:space="preserve">. Hydration profiles from </w:t>
      </w:r>
      <w:r>
        <w:rPr/>
        <w:fldChar w:fldCharType="begin"/>
      </w:r>
      <w:r>
        <w:instrText> REF _Ref481414335 \h </w:instrText>
      </w:r>
      <w:r>
        <w:fldChar w:fldCharType="separate"/>
      </w:r>
      <w:r>
        <w:t>Figure 4</w:t>
      </w:r>
      <w:r>
        <w:fldChar w:fldCharType="end"/>
      </w:r>
      <w:r>
        <w:rPr/>
        <w:t xml:space="preserve"> are included for comparison.</w:t>
      </w:r>
    </w:p>
    <w:p>
      <w:pPr>
        <w:pStyle w:val="ListParagraph"/>
        <w:numPr>
          <w:ilvl w:val="0"/>
          <w:numId w:val="0"/>
        </w:numPr>
        <w:ind w:left="720" w:firstLine="432"/>
        <w:rPr/>
      </w:pPr>
      <w:r>
        <w:rPr/>
      </w:r>
    </w:p>
    <w:p>
      <w:pPr>
        <w:pStyle w:val="ListParagraph"/>
        <w:numPr>
          <w:ilvl w:val="0"/>
          <w:numId w:val="1"/>
        </w:numPr>
        <w:rPr/>
      </w:pPr>
      <w:bookmarkStart w:id="45" w:name="_Ref482272419"/>
      <w:bookmarkEnd w:id="45"/>
      <w:r>
        <w:rPr/>
        <w:t>Hydration profiles generated using linear baselines.</w:t>
      </w:r>
    </w:p>
    <w:p>
      <w:pPr>
        <w:pStyle w:val="ListParagraph"/>
        <w:numPr>
          <w:ilvl w:val="0"/>
          <w:numId w:val="0"/>
        </w:numPr>
        <w:ind w:left="720" w:firstLine="432"/>
        <w:rPr/>
      </w:pPr>
      <w:bookmarkStart w:id="46" w:name="_Ref482272422"/>
      <w:bookmarkStart w:id="47" w:name="_Ref482272422"/>
      <w:r>
        <w:rPr/>
      </w:r>
    </w:p>
    <w:p>
      <w:pPr>
        <w:pStyle w:val="ListParagraph"/>
        <w:numPr>
          <w:ilvl w:val="0"/>
          <w:numId w:val="1"/>
        </w:numPr>
        <w:rPr/>
      </w:pPr>
      <w:r>
        <w:rPr/>
        <w:t xml:space="preserve">Hydration profiles generated using quadratic baselines that are more generous than those shown in </w:t>
      </w:r>
      <w:r>
        <w:rPr/>
        <w:fldChar w:fldCharType="begin"/>
      </w:r>
      <w:r>
        <w:instrText> REF _Ref477446399 \h </w:instrText>
      </w:r>
      <w:r>
        <w:fldChar w:fldCharType="separate"/>
      </w:r>
      <w:r>
        <w:t>Figure 3</w:t>
      </w:r>
      <w:r>
        <w:fldChar w:fldCharType="end"/>
      </w:r>
      <w:bookmarkEnd w:id="47"/>
      <w:r>
        <w:rPr/>
        <w:t>.</w:t>
      </w:r>
    </w:p>
    <w:p>
      <w:pPr>
        <w:pStyle w:val="Normal"/>
        <w:ind w:hanging="0"/>
        <w:rPr/>
      </w:pPr>
      <w:r>
        <w:rPr/>
      </w:r>
    </w:p>
    <w:p>
      <w:pPr>
        <w:pStyle w:val="ListParagraph"/>
        <w:numPr>
          <w:ilvl w:val="0"/>
          <w:numId w:val="1"/>
        </w:numPr>
        <w:rPr/>
      </w:pPr>
      <w:bookmarkStart w:id="48" w:name="_Ref482709737"/>
      <w:bookmarkStart w:id="49" w:name="_Ref482272325"/>
      <w:bookmarkStart w:id="50" w:name="_Ref482092681"/>
      <w:r>
        <w:rPr/>
        <w:t xml:space="preserve">Dehydration profiles for SC1-2 shown in </w:t>
      </w:r>
      <w:r>
        <w:rPr/>
        <w:fldChar w:fldCharType="begin"/>
      </w:r>
      <w:r>
        <w:instrText> REF _Ref482090897 \h </w:instrText>
      </w:r>
      <w:r>
        <w:fldChar w:fldCharType="separate"/>
      </w:r>
      <w:r>
        <w:t>Figure 7</w:t>
      </w:r>
      <w:r>
        <w:fldChar w:fldCharType="end"/>
      </w:r>
      <w:r>
        <w:rPr/>
        <w:t xml:space="preserve"> generated using</w:t>
      </w:r>
      <w:bookmarkEnd w:id="50"/>
      <w:r>
        <w:rPr/>
        <w:t xml:space="preserve"> linear baselines like those shown in </w:t>
      </w:r>
      <w:r>
        <w:rPr/>
        <w:fldChar w:fldCharType="begin"/>
      </w:r>
      <w:r>
        <w:instrText> REF _Ref477259778 \h </w:instrText>
      </w:r>
      <w:r>
        <w:fldChar w:fldCharType="separate"/>
      </w:r>
      <w:r>
        <w:t>Figure 1.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r>
        <w:fldChar w:fldCharType="end"/>
      </w:r>
      <w:r>
        <w:rPr/>
        <w:t>.</w:t>
      </w:r>
      <w:bookmarkEnd w:id="49"/>
      <w:r>
        <w:rPr/>
        <w:t xml:space="preserve"> These linear baselines produce more symmetric profiles than the quadratic baselines used for modeling but often result in negative areas for spectra measured after the final two dehydration steps.</w:t>
      </w:r>
      <w:bookmarkEnd w:id="48"/>
      <w:r>
        <w:rPr/>
        <w:t xml:space="preserve"> </w:t>
      </w:r>
    </w:p>
    <w:p>
      <w:pPr>
        <w:pStyle w:val="Normal"/>
        <w:ind w:left="360" w:hanging="0"/>
        <w:rPr/>
      </w:pPr>
      <w:r>
        <w:rPr/>
      </w:r>
    </w:p>
    <w:p>
      <w:pPr>
        <w:pStyle w:val="ListParagraph"/>
        <w:numPr>
          <w:ilvl w:val="0"/>
          <w:numId w:val="1"/>
        </w:numPr>
        <w:rPr/>
      </w:pPr>
      <w:r>
        <w:br w:type="column"/>
      </w:r>
      <w:bookmarkStart w:id="51" w:name="_Ref482797798"/>
      <w:r>
        <w:rPr/>
        <w:t>One example of an FTIR spectrum measured near the edge of San Carlos olivine SC1-2 for which [tri] peaks (labeled) are observed and the baseline is strongly curved.</w:t>
      </w:r>
      <w:bookmarkEnd w:id="51"/>
      <w:r>
        <w:rPr/>
        <w:t xml:space="preserve"> </w:t>
      </w:r>
    </w:p>
    <w:p>
      <w:pPr>
        <w:pStyle w:val="Normal"/>
        <w:rPr/>
      </w:pPr>
      <w:r>
        <w:rPr/>
      </w:r>
    </w:p>
    <w:p>
      <w:pPr>
        <w:pStyle w:val="Normal"/>
        <w:ind w:hanging="0"/>
        <w:rPr/>
      </w:pPr>
      <w:r>
        <w:rPr/>
      </w:r>
    </w:p>
    <w:p>
      <w:pPr>
        <w:pStyle w:val="ListParagraph"/>
        <w:numPr>
          <w:ilvl w:val="0"/>
          <w:numId w:val="1"/>
        </w:numPr>
        <w:rPr/>
      </w:pPr>
      <w:bookmarkStart w:id="52" w:name="_Ref482797859"/>
      <w:bookmarkStart w:id="53" w:name="_Ref482787831"/>
      <w:r>
        <w:rPr/>
        <w:t xml:space="preserve">Measured dehydration curves in the uncut San Carlos olivine SC1-2 after the first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54" w:name="__Fieldmark__7919_2820756831"/>
      <w:r>
        <w:rPr/>
      </w:r>
      <w:r>
        <w:rPr/>
        <w:t>Kohlstedt and Mackwell (1998)</w:t>
      </w:r>
      <w:r>
        <w:rPr/>
      </w:r>
      <w:r>
        <w:fldChar w:fldCharType="end"/>
      </w:r>
      <w:bookmarkEnd w:id="54"/>
      <w:r>
        <w:rPr/>
        <w:t xml:space="preserve">. </w:t>
      </w:r>
      <w:bookmarkEnd w:id="53"/>
      <w:bookmarkEnd w:id="52"/>
      <w:r>
        <w:rPr/>
        <w:t>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hanging="0"/>
        <w:rPr/>
      </w:pPr>
      <w:r>
        <w:rPr/>
      </w:r>
    </w:p>
    <w:p>
      <w:pPr>
        <w:pStyle w:val="ListParagraph"/>
        <w:numPr>
          <w:ilvl w:val="0"/>
          <w:numId w:val="1"/>
        </w:numPr>
        <w:rPr/>
      </w:pPr>
      <w:r>
        <w:rPr/>
        <w:t xml:space="preserve">Measured dehydration curves in the uncut San Carlos olivine SC1-2 after the second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55" w:name="__Fieldmark__7935_2820756831"/>
      <w:r>
        <w:rPr/>
      </w:r>
      <w:r>
        <w:rPr/>
        <w:t>Kohlstedt and Mackwell (1998)</w:t>
      </w:r>
      <w:r>
        <w:rPr/>
      </w:r>
      <w:r>
        <w:fldChar w:fldCharType="end"/>
      </w:r>
      <w:bookmarkEnd w:id="55"/>
      <w:r>
        <w:rPr/>
        <w:t>. 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56" w:name="_Ref484530636"/>
      <w:r>
        <w:rPr/>
        <w:t xml:space="preserve">Measured dehydration curves in the uncut San Carlos olivine SC1-2 after the third heating step shown in </w:t>
      </w:r>
      <w:r>
        <w:rPr/>
        <w:fldChar w:fldCharType="begin"/>
      </w:r>
      <w:r>
        <w:instrText> REF _Ref482090897 \h </w:instrText>
      </w:r>
      <w:r>
        <w:fldChar w:fldCharType="separate"/>
      </w:r>
      <w:r>
        <w:t>Figure 7</w:t>
      </w:r>
      <w:r>
        <w:fldChar w:fldCharType="end"/>
      </w:r>
      <w:r>
        <w:rPr/>
        <w:t xml:space="preserve"> and modeled diffusion curves. The black ‘p.p.’ curves </w:t>
      </w:r>
      <w:bookmarkStart w:id="57" w:name="_GoBack"/>
      <w:bookmarkEnd w:id="57"/>
      <w:r>
        <w:rPr/>
        <w:t xml:space="preserve">show the expected profiles if diffusion proceeds according to the proton-polaron mechanism as described by </w:t>
      </w:r>
      <w:r>
        <w:fldChar w:fldCharType="begin"/>
      </w:r>
      <w:r>
        <w:instrText>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58" w:name="__Fieldmark__7950_2820756831"/>
      <w:r>
        <w:rPr/>
      </w:r>
      <w:r>
        <w:rPr/>
        <w:t>Kohlstedt and Mackwell (1998)</w:t>
      </w:r>
      <w:r>
        <w:rPr/>
      </w:r>
      <w:r>
        <w:fldChar w:fldCharType="end"/>
      </w:r>
      <w:bookmarkEnd w:id="58"/>
      <w:r>
        <w:rPr/>
        <w:t>. The dashed green curves show the least-squares best-fit diffusion curves when the diffusivity was allowed to deviate from p.p. || [100] for [Ti]. The best-fit curve shown for [Si] is a maximum estimate assuming a final [Si] level of 0.4 times the initial hydrated state, and the best-fit curve shown for bulk H is a visual estimate. The least-squares best-fit to the bulk H data, 10</w:t>
      </w:r>
      <w:r>
        <w:rPr>
          <w:vertAlign w:val="superscript"/>
        </w:rPr>
        <w:t>-12.7±2.1</w:t>
      </w:r>
      <w:r>
        <w:rPr/>
        <w:t xml:space="preserve"> m</w:t>
      </w:r>
      <w:r>
        <w:rPr>
          <w:vertAlign w:val="superscript"/>
        </w:rPr>
        <w:t>2</w:t>
      </w:r>
      <w:r>
        <w:rPr/>
        <w:t>/s, is lower but has a very large error that includes the visually estimated diffusivity of 10</w:t>
      </w:r>
      <w:r>
        <w:rPr>
          <w:vertAlign w:val="superscript"/>
        </w:rPr>
        <w:t>-11.5</w:t>
      </w:r>
      <w:r>
        <w:rPr/>
        <w:t xml:space="preserve"> m</w:t>
      </w:r>
      <w:r>
        <w:rPr>
          <w:vertAlign w:val="superscript"/>
        </w:rPr>
        <w:t>2</w:t>
      </w:r>
      <w:bookmarkEnd w:id="56"/>
      <w:r>
        <w:rPr/>
        <w:t>/s.</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r>
        <w:rPr/>
        <w:t xml:space="preserve">Measured dehydration curves in the uncut San Carlos olivine SC1-2 after the fourth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59" w:name="__Fieldmark__7972_2820756831"/>
      <w:r>
        <w:rPr/>
      </w:r>
      <w:r>
        <w:rPr/>
        <w:t>Kohlstedt and Mackwell (1998)</w:t>
      </w:r>
      <w:r>
        <w:rPr/>
      </w:r>
      <w:r>
        <w:fldChar w:fldCharType="end"/>
      </w:r>
      <w:bookmarkEnd w:id="59"/>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w:t>
      </w:r>
    </w:p>
    <w:p>
      <w:pPr>
        <w:pStyle w:val="ListParagraph"/>
        <w:numPr>
          <w:ilvl w:val="0"/>
          <w:numId w:val="0"/>
        </w:numPr>
        <w:ind w:left="720" w:firstLine="432"/>
        <w:rPr/>
      </w:pPr>
      <w:r>
        <w:rPr/>
      </w:r>
    </w:p>
    <w:p>
      <w:pPr>
        <w:pStyle w:val="Normal"/>
        <w:rPr/>
      </w:pPr>
      <w:r>
        <w:rPr/>
      </w:r>
    </w:p>
    <w:p>
      <w:pPr>
        <w:pStyle w:val="ListParagraph"/>
        <w:numPr>
          <w:ilvl w:val="0"/>
          <w:numId w:val="1"/>
        </w:numPr>
        <w:rPr/>
      </w:pPr>
      <w:r>
        <w:rPr/>
        <w:t xml:space="preserve">Measured dehydration curves in the uncut San Carlos olivine SC1-2 after the fifth heating step shown in </w:t>
      </w:r>
      <w:r>
        <w:rPr/>
        <w:fldChar w:fldCharType="begin"/>
      </w:r>
      <w:r>
        <w:instrText> REF _Ref482090897 \h </w:instrText>
      </w:r>
      <w:r>
        <w:fldChar w:fldCharType="separate"/>
      </w:r>
      <w:r>
        <w:t>Figure 7</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0" w:name="__Fieldmark__7983_2820756831"/>
      <w:r>
        <w:rPr/>
      </w:r>
      <w:r>
        <w:rPr/>
        <w:t>Kohlstedt and Mackwell (1998)</w:t>
      </w:r>
      <w:r>
        <w:rPr/>
      </w:r>
      <w:r>
        <w:fldChar w:fldCharType="end"/>
      </w:r>
      <w:bookmarkEnd w:id="60"/>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Normal"/>
        <w:ind w:left="360" w:hanging="0"/>
        <w:rPr/>
      </w:pPr>
      <w:r>
        <w:rPr/>
      </w:r>
    </w:p>
    <w:p>
      <w:pPr>
        <w:pStyle w:val="Normal"/>
        <w:ind w:left="360" w:hanging="0"/>
        <w:rPr/>
      </w:pPr>
      <w:r>
        <w:rPr/>
      </w:r>
    </w:p>
    <w:p>
      <w:pPr>
        <w:pStyle w:val="ListParagraph"/>
        <w:numPr>
          <w:ilvl w:val="0"/>
          <w:numId w:val="1"/>
        </w:numPr>
        <w:rPr/>
      </w:pPr>
      <w:r>
        <w:rPr/>
        <w:t xml:space="preserve">Measured dehydration curves in the uncut San Carlos olivine SC1-2 after the sixth heating step shown in </w:t>
      </w:r>
      <w:r>
        <w:rPr/>
        <w:fldChar w:fldCharType="begin"/>
      </w:r>
      <w:r>
        <w:instrText> REF _Ref482090897 \h </w:instrText>
      </w:r>
      <w:r>
        <w:fldChar w:fldCharType="separate"/>
      </w:r>
      <w:r>
        <w:t>Figure 7</w:t>
      </w:r>
      <w:r>
        <w:fldChar w:fldCharType="end"/>
      </w:r>
      <w:r>
        <w:rPr/>
        <w:t xml:space="preserve"> and modeled diffusion curves. Diffusion taking place entirely by the proton-polaron ‘p.p.’ mechanism as described by </w:t>
      </w:r>
      <w:r>
        <w:fldChar w:fldCharType="begin"/>
      </w:r>
      <w:r>
        <w:instrText>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1" w:name="__Fieldmark__7997_2820756831"/>
      <w:r>
        <w:rPr/>
      </w:r>
      <w:r>
        <w:rPr/>
        <w:t>Kohlstedt and Mackwell (1998)</w:t>
      </w:r>
      <w:r>
        <w:rPr/>
      </w:r>
      <w:r>
        <w:fldChar w:fldCharType="end"/>
      </w:r>
      <w:bookmarkEnd w:id="61"/>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62" w:name="_Ref482793206"/>
      <w:r>
        <w:rPr/>
        <w:t xml:space="preserve">Measured dehydration curves in the uncut San Carlos olivine SC1-2 after the seventh and final heating step shown in </w:t>
      </w:r>
      <w:r>
        <w:rPr/>
        <w:fldChar w:fldCharType="begin"/>
      </w:r>
      <w:r>
        <w:instrText> REF _Ref482090897 \h </w:instrText>
      </w:r>
      <w:r>
        <w:fldChar w:fldCharType="separate"/>
      </w:r>
      <w:r>
        <w:t>Figure 7</w:t>
      </w:r>
      <w:r>
        <w:fldChar w:fldCharType="end"/>
      </w:r>
      <w:r>
        <w:rPr/>
        <w:t xml:space="preserve"> and modeled diffusion curves. Diffusion taking place entirely by the proton-polaron ‘p.p.’ mechanism as described by </w:t>
      </w:r>
      <w:r>
        <w:fldChar w:fldCharType="begin"/>
      </w:r>
      <w:r>
        <w:instrText>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63" w:name="__Fieldmark__8010_2820756831"/>
      <w:r>
        <w:rPr/>
      </w:r>
      <w:r>
        <w:rPr/>
        <w:t>Kohlstedt and Mackwell (1998)</w:t>
      </w:r>
      <w:r>
        <w:rPr/>
      </w:r>
      <w:r>
        <w:fldChar w:fldCharType="end"/>
      </w:r>
      <w:bookmarkEnd w:id="63"/>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62"/>
      <w:r>
        <w:rPr/>
        <w:t xml:space="preserve">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64" w:name="_Ref485392997"/>
      <w:r>
        <w:rPr/>
        <w:t xml:space="preserve">Measured H profiles in the uncut Kilauea Iki olivine after the first heating step shown in </w:t>
      </w:r>
      <w:r>
        <w:rPr/>
        <w:fldChar w:fldCharType="begin"/>
      </w:r>
      <w:r>
        <w:instrText> REF _Ref482861744 \h </w:instrText>
      </w:r>
      <w:r>
        <w:fldChar w:fldCharType="separate"/>
      </w:r>
      <w:r>
        <w:t>Figure 8</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[Si] are maximum estimates of the diffusivities.</w:t>
      </w:r>
      <w:bookmarkEnd w:id="64"/>
      <w:r>
        <w:rPr/>
        <w:t xml:space="preserve"> </w:t>
      </w:r>
    </w:p>
    <w:p>
      <w:pPr>
        <w:pStyle w:val="Normal"/>
        <w:ind w:hanging="0"/>
        <w:rPr/>
      </w:pPr>
      <w:r>
        <w:rPr/>
      </w:r>
    </w:p>
    <w:p>
      <w:pPr>
        <w:pStyle w:val="ListParagraph"/>
        <w:numPr>
          <w:ilvl w:val="0"/>
          <w:numId w:val="1"/>
        </w:numPr>
        <w:rPr/>
      </w:pPr>
      <w:bookmarkStart w:id="65" w:name="_Ref484535787"/>
      <w:r>
        <w:rPr/>
        <w:t xml:space="preserve">Measured H profiles in the uncut Kilauea Iki olivine after the second heating step shown in </w:t>
      </w:r>
      <w:r>
        <w:rPr/>
        <w:fldChar w:fldCharType="begin"/>
      </w:r>
      <w:r>
        <w:instrText> REF _Ref482861744 \h </w:instrText>
      </w:r>
      <w:r>
        <w:fldChar w:fldCharType="separate"/>
      </w:r>
      <w:r>
        <w:t>Figure 8</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[i] are maximum estimates of the diffusivities.</w:t>
      </w:r>
      <w:bookmarkEnd w:id="65"/>
      <w:r>
        <w:rPr/>
        <w:t xml:space="preserve"> </w:t>
      </w:r>
    </w:p>
    <w:p>
      <w:pPr>
        <w:pStyle w:val="Normal"/>
        <w:ind w:left="360" w:hanging="0"/>
        <w:rPr/>
      </w:pPr>
      <w:r>
        <w:rPr/>
      </w:r>
    </w:p>
    <w:p>
      <w:pPr>
        <w:pStyle w:val="ListParagraph"/>
        <w:numPr>
          <w:ilvl w:val="0"/>
          <w:numId w:val="1"/>
        </w:numPr>
        <w:rPr/>
      </w:pPr>
      <w:r>
        <w:rPr/>
        <w:t>Measured H profiles in uncut Kilauea Iki olivine after the first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slightly too fast to be attributed solely to the proton-vacancy (p.v.) mechanism. The dashed purple lines represent the expected profiles assuming diffusivities that are linear mixture of the p.p. and p.v. mechanisms. </w:t>
      </w:r>
    </w:p>
    <w:p>
      <w:pPr>
        <w:pStyle w:val="Normal"/>
        <w:ind w:left="360" w:hanging="0"/>
        <w:rPr/>
      </w:pPr>
      <w:r>
        <w:rPr/>
      </w:r>
    </w:p>
    <w:p>
      <w:pPr>
        <w:pStyle w:val="ListParagraph"/>
        <w:numPr>
          <w:ilvl w:val="0"/>
          <w:numId w:val="1"/>
        </w:numPr>
        <w:rPr/>
      </w:pPr>
      <w:r>
        <w:rPr/>
        <w:t>Measured H profiles in uncut Kilauea Iki olivine after the second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Normal"/>
        <w:ind w:hanging="0"/>
        <w:rPr/>
      </w:pPr>
      <w:r>
        <w:rPr/>
      </w:r>
    </w:p>
    <w:p>
      <w:pPr>
        <w:pStyle w:val="ListParagraph"/>
        <w:numPr>
          <w:ilvl w:val="0"/>
          <w:numId w:val="1"/>
        </w:numPr>
        <w:rPr/>
      </w:pPr>
      <w:r>
        <w:rPr/>
        <w:t>Measured H profiles in uncut Kilauea Iki olivine after the third heating step at 1000°C.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ListParagraph"/>
        <w:numPr>
          <w:ilvl w:val="0"/>
          <w:numId w:val="0"/>
        </w:numPr>
        <w:ind w:left="720" w:firstLine="432"/>
        <w:rPr/>
      </w:pPr>
      <w:r>
        <w:rPr/>
        <w:t>*</w:t>
      </w:r>
    </w:p>
    <w:p>
      <w:pPr>
        <w:pStyle w:val="ListParagraph"/>
        <w:numPr>
          <w:ilvl w:val="0"/>
          <w:numId w:val="1"/>
        </w:numPr>
        <w:rPr/>
      </w:pPr>
      <w:bookmarkStart w:id="66" w:name="_Ref485393009"/>
      <w:r>
        <w:rPr/>
        <w:t>Measured H profiles in uncut Kilauea Iki olivine after the fourth heating step at 1000°C and a higher oxygen fugacity than previous steps. The initial (thin grey dashed line) is taken as the average of final profile measured at 800°C (</w:t>
      </w:r>
      <w:r>
        <w:rPr/>
        <w:fldChar w:fldCharType="begin"/>
      </w:r>
      <w:r>
        <w:instrText> REF _Ref484535787 \r \h </w:instrText>
      </w:r>
      <w:r>
        <w:fldChar w:fldCharType="separate"/>
      </w:r>
      <w:r>
        <w:t>Supplementary Figure 14.</w:t>
      </w:r>
      <w:r>
        <w:fldChar w:fldCharType="end"/>
      </w:r>
      <w:r>
        <w:rP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66"/>
      <w:r>
        <w:rPr/>
        <w:t xml:space="preserve"> </w:t>
      </w:r>
    </w:p>
    <w:p>
      <w:pPr>
        <w:pStyle w:val="ListParagraph"/>
        <w:numPr>
          <w:ilvl w:val="0"/>
          <w:numId w:val="0"/>
        </w:numPr>
        <w:ind w:left="720" w:firstLine="432"/>
        <w:rPr/>
      </w:pPr>
      <w:r>
        <w:rPr/>
      </w:r>
    </w:p>
    <w:p>
      <w:pPr>
        <w:pStyle w:val="ListParagraph"/>
        <w:numPr>
          <w:ilvl w:val="0"/>
          <w:numId w:val="0"/>
        </w:numPr>
        <w:ind w:left="720" w:firstLine="432"/>
        <w:rPr/>
      </w:pPr>
      <w:bookmarkStart w:id="67" w:name="_Ref482272329"/>
      <w:bookmarkStart w:id="68" w:name="_Ref482092687"/>
      <w:bookmarkStart w:id="69" w:name="_Ref482272329"/>
      <w:bookmarkStart w:id="70" w:name="_Ref482092687"/>
      <w:bookmarkEnd w:id="69"/>
      <w:bookmarkEnd w:id="70"/>
      <w:r>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71" w:name="__Fieldmark__8102_2820756831"/>
      <w:r>
        <w:rPr/>
      </w:r>
      <w:r>
        <w:rPr/>
        <w:br/>
        <w:t>Bell, D. R., and G. R. Rossman</w:t>
        <w:br/>
        <w:t xml:space="preserve"> 1992</w:t>
        <w:tab/>
        <w:t>Water in Earth’s Mantle: The Role of Nominally Anhydrous Minerals. Science 255(5050). WOS:A1992HH74400043: 1391–1397.</w:t>
      </w:r>
      <w:bookmarkEnd w:id="71"/>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Demouchy, S., and S. Mackwell</w:t>
        <w:br/>
        <w:t xml:space="preserve"> 2006</w:t>
        <w:tab/>
        <w:t>Mechanisms of Hydrogen Incorporation and Diffusion in Iron-Bearing Olivine. Physics and Chemistry of Minerals 33(5). WOS:000240439000005: 347–355.</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upplementary Figur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B26BC-090E-4F8F-A9F8-3F15800C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10247</TotalTime>
  <Application>LibreOffice/5.3.2.2$Windows_x86 LibreOffice_project/6cd4f1ef626f15116896b1d8e1398b56da0d0ee1</Application>
  <Pages>8</Pages>
  <Words>6582</Words>
  <Characters>35295</Characters>
  <CharactersWithSpaces>41655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2017-03-30T22:54:00Z</dcterms:created>
  <dc:creator>Elizabeth</dc:creator>
  <dc:description/>
  <dc:language>en-US</dc:language>
  <cp:lastModifiedBy>Ferriss</cp:lastModifiedBy>
  <cp:lastPrinted>2017-06-08T14:12:00Z</cp:lastPrinted>
  <dcterms:modified xsi:type="dcterms:W3CDTF">2017-06-16T20:15:00Z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id="iZnhNN5l"/&gt;&lt;style id="http://www.zotero.org/styles/american-anthropological-association" hasBibliography="1" bibliographyStyleHasBeenSet="1"/&gt;&lt;prefs&gt;&lt;pref name="fieldType" value="Field"/&gt;&lt;pref</vt:lpwstr>
  </property>
  <property fmtid="{D5CDD505-2E9C-101B-9397-08002B2CF9AE}" pid="9" name="ZOTERO_PREF_2">
    <vt:lpwstr> name="storeReferences" value="true"/&gt;&lt;pref name="automaticJournalAbbreviations" value="true"/&gt;&lt;pref name="noteType" value=""/&gt;&lt;/prefs&gt;&lt;/data&gt;</vt:lpwstr>
  </property>
</Properties>
</file>