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t>Site-specific dehydration of olivines from San Carlos and Kilauea Iki</w:t>
      </w:r>
    </w:p>
    <w:p>
      <w:pPr>
        <w:pStyle w:val="Normal"/>
        <w:rPr/>
      </w:pPr>
      <w:r>
        <w:rPr/>
        <w:t>Ferriss, Plank, Walker</w:t>
      </w:r>
    </w:p>
    <w:p>
      <w:pPr>
        <w:pStyle w:val="Heading1"/>
        <w:rPr/>
      </w:pPr>
      <w:r>
        <w:rPr/>
        <w:t>Introduction</w:t>
      </w:r>
    </w:p>
    <w:p>
      <w:pPr>
        <w:pStyle w:val="Normal"/>
        <w:rPr/>
      </w:pPr>
      <w:r>
        <w:rPr/>
        <w:t xml:space="preserve">The diffusivity of hydrogen in olivine is a fundamental physical quantity critical for understanding a wide range of earth and planetary processes. Hydrogen can affect global-scale phenomenon such as melting relations and strength, and so in turn may control mantle rheology and the occurrence of plate tectonics </w:t>
      </w:r>
      <w:r>
        <w:fldChar w:fldCharType="begin"/>
      </w:r>
      <w:r>
        <w:instrText>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w:instrText>
      </w:r>
      <w:r>
        <w:fldChar w:fldCharType="separate"/>
      </w:r>
      <w:bookmarkStart w:id="0" w:name="__Fieldmark__11_2212690323"/>
      <w:r>
        <w:rPr/>
      </w:r>
      <w:r>
        <w:rPr/>
        <w:t>(Keppler and Smyth 2006; Bell and Rossman 1992)</w:t>
      </w:r>
      <w:r>
        <w:rPr/>
      </w:r>
      <w:r>
        <w:fldChar w:fldCharType="end"/>
      </w:r>
      <w:bookmarkEnd w:id="0"/>
      <w:r>
        <w:rPr/>
        <w:t xml:space="preserve">. Accurate knowledge of the diffusivity of hydrogen also has great potential to serve as a chronometer to determine magma ascent times from hydrogen diffusion profiles in olivine phenocrysts </w:t>
      </w:r>
      <w:r>
        <w:fldChar w:fldCharType="begin"/>
      </w:r>
      <w:r>
        <w:instrText>ADDIN ZOTERO_ITEM CSL_CITATION {"citationID":"0n6WqS1V","properties":{"formattedCitation":"(Rosen 2016)","plainCitation":"(Rosen 2016)"},"citationItems":[{"id":2953,"uris":["http://zotero.org/users/3117169/items/8BMTK5TI"],"uri":["http://zotero.org/users/3117169/items/8BMTK5TI"],"itemData":{"id":2953,"type":"article-journal","title":"Crystal clocks","container-title":"Science","page":"822-825","volume":"354","issue":"6314","source":"science.sciencemag.org","abstract":"Crystals in volcanic rocks contain clocks that offer clues to the volcano's plumbing and past behavior. The technique, called diffusion chronometry, is catching on among volcanologists. It depends on understanding how the crystals grew out of a magma soup deep underground, accreting layers that bear witness to pulses of magma. By measuring the amount of chemical smudging at the interfaces between the layers, scientists can calculate the time the crystal sat below ground between magma pulses. Already, the few researchers adept at using diffusion chronometry have found that magma can tear through the crust at searing velocities, and that volcanoes can gurgle to life in a geologic instant. Instead of taking centuries or millennia, these processes can unfold in a matter of decades or years, and sometimes even months. The results help explain why geophysicists haven't found simmering pots of liquid magma beneath volcanoes, and why some eruptions are more violent than others.\nHow smudged crystals offer windows into a volcano's eruptive past.\nHow smudged crystals offer windows into a volcano's eruptive past.","DOI":"10.1126/science.354.6314.822","ISSN":"0036-8075, 1095-9203","note":"PMID: 27856862","language":"en","author":[{"family":"Rosen","given":"Julia"}],"issued":{"date-parts":[["2016",11,18]]}}}],"schema":"https://github.com/citation-style-language/schema/raw/master/csl-citation.json"}</w:instrText>
      </w:r>
      <w:r>
        <w:fldChar w:fldCharType="separate"/>
      </w:r>
      <w:bookmarkStart w:id="1" w:name="__Fieldmark__22_2212690323"/>
      <w:r>
        <w:rPr/>
      </w:r>
      <w:r>
        <w:rPr/>
        <w:t>(Rosen 2016)</w:t>
      </w:r>
      <w:r>
        <w:rPr/>
      </w:r>
      <w:r>
        <w:fldChar w:fldCharType="end"/>
      </w:r>
      <w:bookmarkEnd w:id="1"/>
      <w:r>
        <w:rPr/>
        <w:t>.</w:t>
      </w:r>
    </w:p>
    <w:p>
      <w:pPr>
        <w:pStyle w:val="Normal"/>
        <w:rPr/>
      </w:pPr>
      <w:r>
        <w:rPr/>
        <w:t>Hydrogen, as H</w:t>
      </w:r>
      <w:r>
        <w:rPr>
          <w:vertAlign w:val="superscript"/>
        </w:rPr>
        <w:t>+</w:t>
      </w:r>
      <w:r>
        <w:rPr/>
        <w:t xml:space="preserve">, is incorporated into the olivine lattice in a variety of ways that can be distinguished by differences in the absorbances of O-H bonds as measured by Fourier transform infrared spectroscopy (FTIR) </w:t>
      </w:r>
      <w:r>
        <w:fldChar w:fldCharType="begin"/>
      </w:r>
      <w:r>
        <w:instrText>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w:instrText>
      </w:r>
      <w:r>
        <w:fldChar w:fldCharType="separate"/>
      </w:r>
      <w:bookmarkStart w:id="2" w:name="__Fieldmark__34_2212690323"/>
      <w:r>
        <w:rPr/>
      </w:r>
      <w:r>
        <w:rPr/>
        <w:t>(Berry et al. 2005; Ingrin et al. 2013)</w:t>
      </w:r>
      <w:r>
        <w:rPr/>
      </w:r>
      <w:r>
        <w:fldChar w:fldCharType="end"/>
      </w:r>
      <w:bookmarkEnd w:id="2"/>
      <w:r>
        <w:rPr/>
        <w:t>. Broadly, H</w:t>
      </w:r>
      <w:r>
        <w:rPr>
          <w:vertAlign w:val="superscript"/>
        </w:rPr>
        <w:t>+</w:t>
      </w:r>
      <w:r>
        <w:rPr/>
        <w:t xml:space="preserve"> incorporation mechanisms fall into two categories: relatively high wavenumber peaks produced associated with silicon vacancies and relatively low wavenumber peaks associated with magnesium vacancies. A doublet of peaks at 3525 and 3573 cm</w:t>
      </w:r>
      <w:r>
        <w:rPr>
          <w:vertAlign w:val="superscript"/>
        </w:rPr>
        <w:t>-1</w:t>
      </w:r>
      <w:r>
        <w:rPr/>
        <w:t xml:space="preserve"> has been linked to the presence of 2 H</w:t>
      </w:r>
      <w:r>
        <w:rPr>
          <w:vertAlign w:val="superscript"/>
        </w:rPr>
        <w:t>+</w:t>
      </w:r>
      <w:r>
        <w:rPr/>
        <w:t xml:space="preserve"> ions, a Si</w:t>
      </w:r>
      <w:r>
        <w:rPr>
          <w:vertAlign w:val="superscript"/>
        </w:rPr>
        <w:t>4+</w:t>
      </w:r>
      <w:r>
        <w:rPr/>
        <w:t xml:space="preserve"> vacancy, and Ti</w:t>
      </w:r>
      <w:r>
        <w:rPr>
          <w:vertAlign w:val="superscript"/>
        </w:rPr>
        <w:t>4+</w:t>
      </w:r>
      <w:r>
        <w:rPr/>
        <w:t xml:space="preserve"> on the metal site </w:t>
      </w:r>
      <w:r>
        <w:fldChar w:fldCharType="begin"/>
      </w:r>
      <w:r>
        <w:instrText>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w:instrText>
      </w:r>
      <w:r>
        <w:fldChar w:fldCharType="separate"/>
      </w:r>
      <w:bookmarkStart w:id="3" w:name="__Fieldmark__54_2212690323"/>
      <w:r>
        <w:rPr/>
      </w:r>
      <w:r>
        <w:rPr/>
        <w:t>(Berry et al. 2007)</w:t>
      </w:r>
      <w:r>
        <w:rPr/>
      </w:r>
      <w:r>
        <w:fldChar w:fldCharType="end"/>
      </w:r>
      <w:bookmarkEnd w:id="3"/>
      <w:r>
        <w:rPr/>
        <w:t xml:space="preserve">. This mechanism, labeled [Ti], has been suggested to control mantle rheology </w:t>
      </w:r>
      <w:r>
        <w:fldChar w:fldCharType="begin"/>
      </w:r>
      <w:r>
        <w:instrText>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w:instrText>
      </w:r>
      <w:r>
        <w:fldChar w:fldCharType="separate"/>
      </w:r>
      <w:bookmarkStart w:id="4" w:name="__Fieldmark__59_2212690323"/>
      <w:r>
        <w:rPr/>
      </w:r>
      <w:r>
        <w:rPr/>
        <w:t>(Faul et al. 2016)</w:t>
      </w:r>
      <w:r>
        <w:rPr/>
      </w:r>
      <w:r>
        <w:fldChar w:fldCharType="end"/>
      </w:r>
      <w:bookmarkEnd w:id="4"/>
      <w:r>
        <w:rPr/>
        <w:t>. Multiple other high wavenumber peaks (3450-3620 cm</w:t>
      </w:r>
      <w:r>
        <w:rPr>
          <w:vertAlign w:val="superscript"/>
        </w:rPr>
        <w:t>-1</w:t>
      </w:r>
      <w:r>
        <w:rPr/>
        <w:t>) represent 4 H</w:t>
      </w:r>
      <w:r>
        <w:rPr>
          <w:vertAlign w:val="superscript"/>
        </w:rPr>
        <w:t>+</w:t>
      </w:r>
      <w:r>
        <w:rPr/>
        <w:t xml:space="preserve"> ions charge-balanced by a Si</w:t>
      </w:r>
      <w:r>
        <w:rPr>
          <w:vertAlign w:val="superscript"/>
        </w:rPr>
        <w:t>4+</w:t>
      </w:r>
      <w:r>
        <w:rPr/>
        <w:t xml:space="preserve"> vacancy and are labeled [Si]. Some lower wavenumber peaks (3300-3400 cm</w:t>
      </w:r>
      <w:r>
        <w:rPr>
          <w:vertAlign w:val="superscript"/>
        </w:rPr>
        <w:t>-1</w:t>
      </w:r>
      <w:r>
        <w:rPr/>
        <w:t>) appear when a Mg</w:t>
      </w:r>
      <w:r>
        <w:rPr>
          <w:vertAlign w:val="superscript"/>
        </w:rPr>
        <w:t>2+</w:t>
      </w:r>
      <w:r>
        <w:rPr/>
        <w:t xml:space="preserve"> vacancy is charge-balanced by a H</w:t>
      </w:r>
      <w:r>
        <w:rPr>
          <w:vertAlign w:val="superscript"/>
        </w:rPr>
        <w:t>+</w:t>
      </w:r>
      <w:r>
        <w:rPr/>
        <w:t xml:space="preserve"> and a trivalent cation on a Mg</w:t>
      </w:r>
      <w:r>
        <w:rPr>
          <w:vertAlign w:val="superscript"/>
        </w:rPr>
        <w:t>2+</w:t>
      </w:r>
      <w:r>
        <w:rPr/>
        <w:t xml:space="preserve"> site </w:t>
      </w:r>
      <w:r>
        <w:fldChar w:fldCharType="begin"/>
      </w:r>
      <w:r>
        <w:instrText>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5" w:name="__Fieldmark__91_2212690323"/>
      <w:r>
        <w:rPr/>
      </w:r>
      <w:r>
        <w:rPr/>
        <w:t>(Blanchard et al. 2017)</w:t>
      </w:r>
      <w:r>
        <w:rPr/>
      </w:r>
      <w:r>
        <w:fldChar w:fldCharType="end"/>
      </w:r>
      <w:bookmarkEnd w:id="5"/>
      <w:r>
        <w:rPr/>
        <w:t>, and these are labeled [tri]. Low wavenumber peaks between 3200 and 3250 cm</w:t>
      </w:r>
      <w:r>
        <w:rPr>
          <w:vertAlign w:val="superscript"/>
        </w:rPr>
        <w:t>-1</w:t>
      </w:r>
      <w:r>
        <w:rPr/>
        <w:t xml:space="preserve"> have been associated with 2 H</w:t>
      </w:r>
      <w:r>
        <w:rPr>
          <w:vertAlign w:val="superscript"/>
        </w:rPr>
        <w:t>+</w:t>
      </w:r>
      <w:r>
        <w:rPr/>
        <w:t xml:space="preserve"> charge-balancing a Mg</w:t>
      </w:r>
      <w:r>
        <w:rPr>
          <w:vertAlign w:val="superscript"/>
        </w:rPr>
        <w:t>2+</w:t>
      </w:r>
      <w:r>
        <w:rPr/>
        <w:t xml:space="preserve"> vacancy, and these are labeled [Mg]. The different mechanisms are important because the rate at which H</w:t>
      </w:r>
      <w:r>
        <w:rPr>
          <w:vertAlign w:val="superscript"/>
        </w:rPr>
        <w:t>+</w:t>
      </w:r>
      <w:r>
        <w:rPr/>
        <w:t xml:space="preserve"> moves through the lattice may depend at least in part on its incorporation mechanism </w:t>
      </w:r>
      <w:r>
        <w:fldChar w:fldCharType="begin"/>
      </w:r>
      <w:r>
        <w:instrText>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6" w:name="__Fieldmark__117_2212690323"/>
      <w:r>
        <w:rPr/>
      </w:r>
      <w:r>
        <w:rPr>
          <w:rFonts w:cs="Times New Roman"/>
          <w:szCs w:val="24"/>
        </w:rPr>
        <w:t>(Padrón-Navarta, Hermann, and O’Neill 2014)</w:t>
      </w:r>
      <w:r>
        <w:rPr/>
      </w:r>
      <w:r>
        <w:fldChar w:fldCharType="end"/>
      </w:r>
      <w:bookmarkEnd w:id="6"/>
      <w:r>
        <w:rPr/>
        <w:t>. All of these mechanisms for hydrogen incorporation are thermodynamically closely related to water, and therefore this incorporated hydrogen is sometimes referred to as “water”.</w:t>
      </w:r>
    </w:p>
    <w:p>
      <w:pPr>
        <w:pStyle w:val="Normal"/>
        <w:rPr/>
      </w:pPr>
      <w:r>
        <w:rPr/>
        <w:t>Previous work on the diffusivity of H</w:t>
      </w:r>
      <w:r>
        <w:rPr>
          <w:vertAlign w:val="superscript"/>
        </w:rPr>
        <w:t>+</w:t>
      </w:r>
      <w:r>
        <w:rPr/>
        <w:t xml:space="preserve"> in olivine has produced a 6-order-of-magnitude range of measurements, from 10</w:t>
      </w:r>
      <w:r>
        <w:rPr>
          <w:vertAlign w:val="superscript"/>
        </w:rPr>
        <w:t>-9.7</w:t>
      </w:r>
      <w:r>
        <w:rPr/>
        <w:t xml:space="preserve"> m</w:t>
      </w:r>
      <w:r>
        <w:rPr>
          <w:vertAlign w:val="superscript"/>
        </w:rPr>
        <w:t>2</w:t>
      </w:r>
      <w:r>
        <w:rPr/>
        <w:t xml:space="preserve">/s during the first hour of hydrating San Carlos olivine at 1000°C </w:t>
      </w:r>
      <w:r>
        <w:fldChar w:fldCharType="begin"/>
      </w:r>
      <w:r>
        <w:instrText>ADDIN ZOTERO_ITEM CSL_CITATION {"citationID":"j3KwXiT7","properties":{"formattedCitation":"(Mackwell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7" w:name="__Fieldmark__133_2212690323"/>
      <w:r>
        <w:rPr/>
      </w:r>
      <w:r>
        <w:rPr/>
        <w:t>(Mackwell and Kohlstedt 1990)</w:t>
      </w:r>
      <w:r>
        <w:rPr/>
      </w:r>
      <w:r>
        <w:fldChar w:fldCharType="end"/>
      </w:r>
      <w:bookmarkEnd w:id="7"/>
      <w:r>
        <w:rPr/>
        <w:t xml:space="preserve"> to 10</w:t>
      </w:r>
      <w:r>
        <w:rPr>
          <w:vertAlign w:val="superscript"/>
        </w:rPr>
        <w:t>-15.7</w:t>
      </w:r>
      <w:r>
        <w:rPr/>
        <w:t xml:space="preserve"> m</w:t>
      </w:r>
      <w:r>
        <w:rPr>
          <w:vertAlign w:val="superscript"/>
        </w:rPr>
        <w:t>2</w:t>
      </w:r>
      <w:r>
        <w:rPr/>
        <w:t xml:space="preserve">/s for [Si] loss from synthetic forsterite at the same temperature </w:t>
      </w:r>
      <w:r>
        <w:fldChar w:fldCharType="begin"/>
      </w:r>
      <w:r>
        <w:instrText>ADDIN ZOTERO_ITEM CSL_CITATION {"citationID":"MtLq0psE","properties":{"formattedCitation":"{\\rtf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8" w:name="__Fieldmark__142_2212690323"/>
      <w:r>
        <w:rPr/>
      </w:r>
      <w:r>
        <w:rPr>
          <w:rFonts w:cs="Times New Roman"/>
          <w:szCs w:val="24"/>
        </w:rPr>
        <w:t>(Padrón-Navarta, Hermann, and O’Neill 2014)</w:t>
      </w:r>
      <w:r>
        <w:rPr/>
      </w:r>
      <w:r>
        <w:fldChar w:fldCharType="end"/>
      </w:r>
      <w:bookmarkEnd w:id="8"/>
      <w:r>
        <w:rPr/>
        <w:t>, and the calculated activation energies suggest even larger discrepancies at lower temperatures. This range has led to considerable disagreement about the correct diffusivity and approach to apply to a given application. The observation of differences in H</w:t>
      </w:r>
      <w:r>
        <w:rPr>
          <w:vertAlign w:val="superscript"/>
        </w:rPr>
        <w:t>+</w:t>
      </w:r>
      <w:r>
        <w:rPr/>
        <w:t xml:space="preserve"> loss profiles for different FTIR peaks </w:t>
      </w:r>
      <w:r>
        <w:fldChar w:fldCharType="begin"/>
      </w:r>
      <w:r>
        <w:instrText>ADDIN ZOTERO_ITEM CSL_CITATION {"citationID":"bxDeDYCz","properties":{"formattedCitation":"(Tollan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w:instrText>
      </w:r>
      <w:r>
        <w:fldChar w:fldCharType="separate"/>
      </w:r>
      <w:bookmarkStart w:id="9" w:name="__Fieldmark__155_2212690323"/>
      <w:r>
        <w:rPr/>
      </w:r>
      <w:r>
        <w:rPr/>
        <w:t>(Tollan et al. 2015)</w:t>
      </w:r>
      <w:r>
        <w:rPr/>
      </w:r>
      <w:r>
        <w:fldChar w:fldCharType="end"/>
      </w:r>
      <w:bookmarkEnd w:id="9"/>
      <w:r>
        <w:rPr/>
        <w:t xml:space="preserve"> is particularly important because if FTIR peaks must be resolved and analyzed individually, then H</w:t>
      </w:r>
      <w:r>
        <w:rPr>
          <w:vertAlign w:val="superscript"/>
        </w:rPr>
        <w:t>+</w:t>
      </w:r>
      <w:r>
        <w:rPr/>
        <w:t xml:space="preserve"> data from secondary ion mass spectrometry (SIMS), a common and powerful technique, becomes significantly more difficult to interpret because SIMS measures only total, or bulk, hydrogen. </w:t>
      </w:r>
    </w:p>
    <w:p>
      <w:pPr>
        <w:pStyle w:val="Normal"/>
        <w:rPr/>
      </w:pPr>
      <w:r>
        <w:rPr/>
        <w:t xml:space="preserve">Bulk hydrogen diffusion in natural olivine is often thought to occur by one of two mechanisms: a rapid “proton-polaron” or “pp” mechanism that involves electron movement parallel to [100], and a relatively slow “proton-vacancy” or “pv” mechanism that relies on metal vacancy diffusion parallel to [001] </w:t>
      </w:r>
      <w:r>
        <w:fldChar w:fldCharType="begin"/>
      </w:r>
      <w:r>
        <w:instrText>ADDIN ZOTERO_ITEM CSL_CITATION {"citationID":"NvhXxM49","properties":{"formattedCitation":"(Kohlstedt and Mackwell 1998; Demouchy and Bolfan-Casanova 2016; Thoraval and Demouchy 2014; Demouchy and Mackwell 2006)","plainCitation":"(Kohlstedt and Mackwell 1998; Demouchy and Bolfan-Casanova 2016; Thoraval and Demouchy 2014;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J."}],"issued":{"date-parts":[["1998"]]}},"label":"page"},{"id":578,"uris":["http://zotero.org/users/3117169/items/8FVTEVA5"],"uri":["http://zotero.org/users/3117169/items/8FVTEVA5"],"itemData":{"id":578,"type":"article-journal","title":"Distribution and transport of hydrogen in the lithospheric mantle: A review","container-title":"Lithos","page":"402-425","volume":"240","ISSN":"0024-4937","shortTitle":"Distribution and transport of hydrogen in the lithospheric mantle: A review","author":[{"family":"Demouchy","given":"Sylvie"},{"family":"Bolfan-Casanova","given":"Nathalie"}],"issued":{"date-parts":[["2016"]]}},"label":"page"},{"id":1207,"uris":["http://zotero.org/users/3117169/items/KS9U4M9F"],"uri":["http://zotero.org/users/3117169/items/KS9U4M9F"],"itemData":{"id":1207,"type":"article-journal","title":"Numerical models of ionic diffusion in one and three dimensions: application to dehydration of mantle olivine","container-title":"Physics and Chemistry of Minerals","page":"709-723","volume":"41","issue":"9","archive_location":"WOS:000341924800005","DOI":"10.1007/s00269-014-0685-x","ISSN":"0342-1791","shortTitle":"Numerical models of ionic diffusion in one and three dimensions: application to dehydration of mantle olivine","author":[{"family":"Thoraval","given":"Catherine"},{"family":"Demouchy","given":"Sylvie"}],"issued":{"date-parts":[["2014",10]]}},"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10" w:name="__Fieldmark__170_2212690323"/>
      <w:r>
        <w:rPr/>
      </w:r>
      <w:r>
        <w:rPr/>
        <w:t>(Kohlstedt and Mackwell 1998; Demouchy and Bolfan-Casanova 2016; Thoraval and Demouchy 2014; Demouchy and Mackwell 2006)</w:t>
      </w:r>
      <w:r>
        <w:rPr/>
      </w:r>
      <w:r>
        <w:fldChar w:fldCharType="end"/>
      </w:r>
      <w:bookmarkEnd w:id="10"/>
      <w:r>
        <w:rPr/>
        <w:t xml:space="preserve">. Yet even within this “pp” versus “pv” framework, significant disagreement exists. For example, in studies of olivine phenocrysts, </w:t>
      </w:r>
      <w:r>
        <w:fldChar w:fldCharType="begin"/>
      </w:r>
      <w:r>
        <w:instrText>ADDIN ZOTERO_ITEM CSL_CITATION {"citationID":"an6cu84h08","properties":{"custom":"Le Voyer et al. (2014); Lloyd et al. (2013); and Hauri (2002)","formattedCitation":"Le Voyer et al. (2014); Lloyd et al. (2013); and Hauri (2002)","plainCitation":"Le Voyer et al. (2014); Lloyd et al. (2013); and Hauri (2002)"},"citationItems":[{"id":2951,"uris":["http://zotero.org/users/3117169/items/8M99H4UC"],"uri":["http://zotero.org/users/3117169/items/8M99H4UC"],"itemData":{"id":2951,"type":"article-journal","title":"Zonation of H2O and F Concentrations around Melt Inclusions in Olivines","container-title":"Journal of Petrology","page":"685-707","volume":"55","issue":"4","source":"academic.oup.com","abstract":"Studies of both naturally quenched and experimentally reheated melt inclusions have established that they can lose or gain H2O after entrapment in their host mineral, before or during eruption. Here we report nanoSIMS analyses of H2O, Cl and F in olivine around melt inclusions from two natural basaltic samples: one from the Sommata cinder cone on Vulcano Island in the Aeolian arc and the other from the Jorullo cinder cone in the Trans-Mexican Volcanic Belt. Our results constrain olivine/basaltic melt partition coefficients and allow assessment of mechanisms of volatile loss from melt inclusions in natural samples. Cl contents in olivine from both samples are mostly below detection limits (≤0·03 ± 0·01 ppm), with no detectable variation close to the melt inclusions. Assuming a maximum Cl content of 0·03 ppm for all olivines, maximum estimates for Cl partition coefficients between olivine and glass are 0·00002 ± 0·00002. Olivines from the two localities display contrasting H2O and F compositions: Sommata olivines contain 27 ± 11 ppm H2O and 0·28 ± 0·07 ppm F, whereas Jorullo olivines have lower and proportionately more variable H2O and F (11 ± 12 ppm and 0·12 ± 0·09 ppm, respectively; uncertainties are two standard deviations for the entire population). The variations of H2O and F contents in the olivines exhibit clear zonation patterns, increasing with proximity to melt inclusions. This pattern was most probably generated during transfer of volatiles out of the inclusions through the host olivine. H2O concentration gradients surrounding melt inclusions are roughly concentric, but significantly elongated parallel to the crystallographic a-axis of olivine. Because of this preferential crystallographic orientation, this pattern is consistent with H2O loss that is rate-limited by the ‘proton–polaron’ mechanism of H diffusion in olivine. Partition coefficients based on olivine compositions immediately adjacent to melt inclusions are 0·0007 ± 0·0003 for H2O and 0·0005 ± 0·0003 for F. The H2O and F diffusion profiles most probably formed in response to a decrease in the respective fugacities in the external melt, owing to either degassing or mixing with volatile-poor melt. Volatile transport out of inclusions might also have been driven in part by increases in the fugacity within the inclusion owing to post-entrapment crystallization. In the case of F, because of the lack of data on F diffusion in olivine, any interpretation of the measured F gradients is speculative. In the case of H2O, we model the concentration gradients using a numerical model of three-dimensional anisotropic diffusion of H, where initial conditions include both H2O decrease in the external melt and post-entrapment enrichment of H2O in the inclusions. The model confirms that external degassing is the dominant driving force, showing that the orientation of the anisotropy in H diffusion is consistent with the proton–polaron diffusion mechanism in olivine. The model also yields an estimate of the initial H2O content of the Sommata melt inclusions before diffusive loss of 6 wt % H2O. The findings provide new insights on rapid H2O loss during magma ascent and improve our ability to assess the fidelity of the H2O record from melt inclusions.","DOI":"10.1093/petrology/egu003","ISSN":"0022-3530","journalAbbreviation":"J Petrology","author":[{"family":"Le Voyer","given":"Marion"},{"family":"Asimow","given":"Paul D."},{"family":"Mosenfelder","given":"Jed L."},{"family":"Guan","given":"Yunbin"},{"family":"Wallace","given":"Paul J."},{"family":"Schiano","given":"Pierre"},{"family":"Stolper","given":"Edward M."},{"family":"Eiler","given":"John M."}],"issued":{"date-parts":[["2014",4,1]]}},"label":"page"},{"id":1092,"uris":["http://zotero.org/users/3117169/items/IG66T2ZN"],"uri":["http://zotero.org/users/3117169/items/IG66T2ZN"],"itemData":{"id":1092,"type":"article-journal","title":"Volatile loss from melt inclusions in pyroclasts of differing sizes","container-title":"Contributions to Mineralogy and Petrology","page":"129-153","volume":"165","shortTitle":"Volatile loss from melt inclusions in pyroclasts of differing sizes","author":[{"family":"Lloyd","given":"Alexander S."},{"family":"Plank","given":"T."},{"family":"Ruprecht","given":"Philipp"},{"family":"Hauri","given":"E. H."},{"family":"Rose","given":"William"}],"issued":{"date-parts":[["2013"]]}},"label":"page"},{"id":1273,"uris":["http://zotero.org/users/3117169/items/N4EFCHGN"],"uri":["http://zotero.org/users/3117169/items/N4EFCHGN"],"itemData":{"id":1273,"type":"article-journal","title":"SIMS analysis of volatiles in silicate glasses, 2: isotopes and abundances in Hawaiian melt inclusions","container-title":"Chemical Geology","page":"115-141","volume":"183","issue":"1-4","archive_location":"WOS:000174332300008","abstract":"Ion microprobe measurements of the concentrations of H2O, CO2, F, S and Cl and the isotopic composition of hydrogen are reported for populations of olivine-hosted melt inclusions from five lava samples from the Hawaiian volcanoes Loihi, Kilauea, Mauna Loa and Koolau. After reheating of the melt inclusions and correction for the effects of post-entrapment modification, the melt inclusions have MgO contents ranging from 8.9% to 15.1% and averaging 11%, significantly higher in MgO than most submarine glasses. The melt inclusions show large ranges in H2O (0.03-0.84), CO2 (5-862 ppm), F (308-1000 ppm), S (156-3330 ppm) and Cl (8 ppm to 1.11 wt.%), accompanied by large ranges in deltaD ( - 165parts per thousand to + 40parts per thousand). Laboratory reheating experiments on Loihi inclusions show that diffusive loss of hydrogen can occur from olivine-hosted melt inclusions on hour- to day-long time scales via proton diffusion through olivine, with consequent positive shifts in the D/H ratios of the residual hydrogen in the melt inclusion. Most melt inclusions from subaerial Kilauea and Mauna Loa samples have signatures of low H2O (0,05 - 0.2 wt.%) and high deltaD (up to + 40%) compared to published analyses of submarine glasses, suggesting diffusive H loss during slow cooling of inclusions shortly after eruption, Koolau melt inclusions have the lowest deltaD values yet measured in oceanic basalts ( - 61parts per thousand to - 165parts per thousand). Shallow-level degassing produces a H2O-deltaD relationship in most Koolau melt inclusions which can be explained by open-system (Rayleigh) degassing with a vapor-melt D/H fractionation factor of 1.024, similar to previous estimates. Shallow degassing is also indicated in some inclusions by parallel depletions in H2O and S, but degassed melt inclusions from all volcanoes display a wide range in CO2 concentrations, indicating kilometer-scale vertical delta(13)C convection of melts within Hawaiian magma reservoirs. The measured of three CO2-bearing melt inclusions from Koolau volcano are depleted ( - 12parts per thousand to - 29parts per thousand) and correlated with deltaD, possibly consistent with open-system degassing Of CO2-rich magmas and subsequent mixing with less-degassed magmas. Assimilation of seawater-derived components is indicated in a small number of melt inclusions which exhibit high Cl and Cl/K ratios, with an extreme example from Loihi (I. 11 wt.% Cl, 0.48 - wt.% H2O, deltaD = - 118parts per thousand). A subset of melt inclusions have escaped the confounding effects of H diffusion, shallow degassing and crustal contamination, and provide evidence for heterogeneity of D/H ratios in the Hawaiian mantle, which appear to correlate with published radiogenic (Sr, Nd, Pb, Os) and oxygen isotope data. If the apparent Hawaiian deltaD variability can be confirmed to be a source signature, then the Hawaiian D/H data indicate that heterogeneities within the Hawaiian plume are required to be large in scale (tens of kilometers) and/or young in age (&lt; 1 Ga) in order to preserve hydrogen isotopic variability against the extremely rapid diffusivity of hydrogen in the mantle. (C) 2002 Elsevier Science B.V. All rights reserved.","DOI":"10.1016/s0009-2541(01)00374-6","ISSN":"0009-2541","shortTitle":"SIMS analysis of volatiles in silicate glasses, 2: isotopes and abundances in Hawaiian melt inclusions","author":[{"family":"Hauri","given":"E."}],"issued":{"date-parts":[["2002",3]]}},"label":"page"}],"schema":"https://github.com/citation-style-language/schema/raw/master/csl-citation.json"}</w:instrText>
      </w:r>
      <w:r>
        <w:fldChar w:fldCharType="separate"/>
      </w:r>
      <w:bookmarkStart w:id="11" w:name="__Fieldmark__179_2212690323"/>
      <w:r>
        <w:rPr/>
      </w:r>
      <w:r>
        <w:rPr/>
        <w:t>Le Voyer et al. (2014); Lloyd et al. (2013); and Hauri (2002)</w:t>
      </w:r>
      <w:r>
        <w:rPr/>
      </w:r>
      <w:r>
        <w:fldChar w:fldCharType="end"/>
      </w:r>
      <w:bookmarkEnd w:id="11"/>
      <w:r>
        <w:rPr/>
        <w:t xml:space="preserve"> conclude that the most rapid H</w:t>
      </w:r>
      <w:r>
        <w:rPr>
          <w:vertAlign w:val="superscript"/>
        </w:rPr>
        <w:t>+</w:t>
      </w:r>
      <w:r>
        <w:rPr/>
        <w:t xml:space="preserve"> diffusion mechanism, the “proton-polaron” or “pp” mechanism </w:t>
      </w:r>
      <w:r>
        <w:fldChar w:fldCharType="begin"/>
      </w:r>
      <w:r>
        <w:instrText>ADDIN ZOTERO_ITEM CSL_CITATION {"citationID":"f8pfGANz","properties":{"formattedCitation":"(Kohlstedt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2" w:name="__Fieldmark__186_2212690323"/>
      <w:r>
        <w:rPr/>
      </w:r>
      <w:r>
        <w:rPr/>
        <w:t>(Kohlstedt and Mackwell 1998)</w:t>
      </w:r>
      <w:r>
        <w:rPr/>
      </w:r>
      <w:r>
        <w:fldChar w:fldCharType="end"/>
      </w:r>
      <w:bookmarkEnd w:id="12"/>
      <w:r>
        <w:rPr/>
        <w:t xml:space="preserve">, is likely operational, whereas </w:t>
      </w:r>
      <w:r>
        <w:fldChar w:fldCharType="begin"/>
      </w:r>
      <w:r>
        <w:instrText>ADDIN ZOTERO_ITEM CSL_CITATION {"citationID":"ajphqo0mq3","properties":{"custom":"Mironov et al. (2015); Portnyagin et al. (2008); Chen et al. (2011); and Gaetani et al. (2012)","formattedCitation":"Mironov et al. (2015); Portnyagin et al. (2008); Chen et al. (2011); and Gaetani et al. (2012)","plainCitation":"Mironov et al. (2015); Portnyagin et al. (2008); Chen et al. (2011); and Gaetani et al. (2012)"},"citationItems":[{"id":2887,"uris":["http://zotero.org/users/3117169/items/3CGS2UCM"],"uri":["http://zotero.org/users/3117169/items/3CGS2UCM"],"itemData":{"id":2887,"type":"article-journal","title":"Quantification of the CO2 budget and H2O–CO2 systematics in subduction-zone magmas through the experimental hydration of melt inclusions in olivine at high H2O pressure","container-title":"Earth and Planetary Science Letters","page":"1-11","volume":"425","abstract":"Abstract\nReliable evaluation of CO2 contents in parental arc magmas, which can be preserved in melt inclusions in phenocrysts, is required to verify the proposed efficiency of CO2 recycling at convergent margins. Quantification of bulk CO2 concentration in melt inclusions requires their complete homogenization. Using samples from lavas from the Bulochka vent of Klyuchevskoy Volcano (Kamchatka), we applied a novel experimental approach to homogenize and re-equilibrate naturally dehydrated (&amp;lt;1 wt.% H2O) melt inclusions from high-Fo (85–91 mol.%) olivine. The experiments were performed at temperatures of 1150–1400 °C, pressures of up to 500 MPa, under dry to H2O-saturated conditions and with oxygen fugacity ranging from CCO to QFM+3.3. No homogenization was achieved at dry conditions. Complete dissolution of fluid bubbles (homogenization) in the melt inclusions was achieved at H2O pressures of 500 MPa and temperature of 1150 °C, when water content in the melt inclusions reached 4–5 wt.% H2O. The CO2 content in the homogenized inclusions is 3800 ± 140   ppm and CO2/Nb = 3000 ± 420, which are the highest values reported so far for the typical middle-K primitive arc melts and fall within the range of values inferred from the magmatic flux and volcanic gas data for primary arc magma compositions. About 83% of the CO2 in Klyuchevskoy magmas is likely to be derived from the subducting slab and can be attributed to flux melting with a fluid having a CO2/H2O ratio of ∼0.06. The H2O and CO2 contents in the melt inclusions after hydrous experiments were found to correlate positively with each other and negatively with the volume of fluid bubble, reflecting increasing internal pressure in melt inclusions with increasing melt hydration. Therefore, similar trends observed in some natural sets of melt inclusions can be attributed to a partial dehydration of melts after entrapment, operating simultaneously with or following post-entrapment crystallization. Our study implies that the process of post-entrapment dehydration can be completely reversed under high pressure experimental conditions. If temperature, redox conditions and pressure of melt inclusion entrapment can be independently estimated, then our novel experimental approach (homogenization at high H2O pressure) can be used to reconstruct the initial CO2 content and also the entire composition of melt inclusions in olivine, including their initial H2O content, from any type of volcanic rock. With this approach volatiles in ancient lavas can also be determined, expanding our knowledge of volatile recycling further back in Earth history.","DOI":"10.1016/j.epsl.2015.05.043","ISSN":"0012-821X","journalAbbreviation":"Earth and Planetary Science Letters","author":[{"family":"Mironov","given":"Nikita"},{"family":"Portnyagin","given":"Maxim"},{"family":"Botcharnikov","given":"Roman"},{"family":"Gurenko","given":"Andrey"},{"family":"Hoernle","given":"Kaj"},{"family":"Holtz","given":"François"}],"issued":{"date-parts":[["2015",9,1]]}},"label":"page"},{"id":372,"uris":["http://zotero.org/users/3117169/items/4H923N33"],"uri":["http://zotero.org/users/3117169/items/4H923N33"],"itemData":{"id":372,"type":"article-journal","title":"Experimental evidence for rapid water exchange between melt inclusions in olivine and host magma","container-title":"Earth and Planetary Science Letters","page":"541-552","volume":"272","shortTitle":"Experimental evidence for rapid water exchange between melt inclusions in olivine and host magma","author":[{"family":"Portnyagin","given":"M."},{"family":"Almeev","given":"Renat"},{"family":"Matveev","given":"S."},{"family":"Holtz","given":"Francois"}],"issued":{"date-parts":[["2008"]]}},"label":"page"},{"id":1108,"uris":["http://zotero.org/users/3117169/items/IUPRKI5W"],"uri":["http://zotero.org/users/3117169/items/IUPRKI5W"],"itemData":{"id":1108,"type":"article-journal","title":"The rate of water loss from olivine-hosted melt inclusions","container-title":"Contributions to Mineralogy and Petrology","page":"625-636","volume":"162","issue":"3","archive_location":"WOS:000294216500011","abstract":"Diffusive water loss from olivine-hosted melt inclusions has been reported previously. This process must be considered when interpreting melt inclusion data. This study measured the rate of water loss from olivine-hosted melt inclusions during heating-stage experiments to test a previous diffusive reequilibration model and the hydrogen diffusion mechanism that controls the rate. Olivine-hosted melt inclusions were heated to a constant temperature in reduced Ar gas in a heating stage for a few hours, and unpolarized Fourier transform infrared spectra were repeatedly measured through the inclusions. Water loss occurred rapidly in the experiments. Within a few hours, the water absorbance at 3,500 cm(-1) wavenumber decreased by half. The observed water loss rate can be explained by the diffusive reequilibration model and hydrogen diffusion in olivine coupled with metal vacancy. The beginning of water loss was different in the low- and high-temperature experiments. At low temperatures (1,423 and 1,437 K), water loss did not occur in the initial 1 or 2 h. At high temperatures (1,471-1,561 K), water loss began immediately. The initial time period without water loss at low temperatures may be explained by a hydrogen fugacity barrier in the host olivine. At low temperatures, the internal pressure may be lower than the equilibrium pressure of melt inclusion and olivine, causing lower hydrogen fugacity in the melt inclusion than in the olivine, which will delay the water loss from the melt inclusion. The tested model and diffusivity were used to estimate the rate of water loss during homogenization experiments and magma eruption and cooling. For 1-h homogenization experiment, the model shows that large inclusions (50 mu m radius) in large olivines (500 mu m radius) are robust against water loss, while large or small inclusions (50-10 mu m radius) in small olivines (150 mu m radius) may suffer 30-100% water loss. For natural samples, the correlation between water concentration and melt inclusion and olivine sizes may be helpful to infer the initial water concentration, degree of diffusive reequilibration, and magma cooling rate.","DOI":"10.1007/s00410-011-0616-5","ISSN":"0010-7999","shortTitle":"The rate of water loss from olivine-hosted melt inclusions","author":[{"family":"Chen","given":"Y."},{"family":"Provost","given":"A."},{"family":"Schiano","given":"P."},{"family":"Cluzel","given":"N."}],"issued":{"date-parts":[["2011",9]]}},"label":"page"},{"id":623,"uris":["http://zotero.org/users/3117169/items/963EBP88"],"uri":["http://zotero.org/users/3117169/items/963EBP88"],"itemData":{"id":623,"type":"article-journal","title":"Rapid reequilibration of H2O and oxygen fugacity in olivine-hosted melt inclusions","container-title":"Geology","page":"915-918","volume":"40","issue":"10","shortTitle":"Rapid reequilibration of H2O and oxygen fugacity in olivine-hosted melt inclusions","author":[{"family":"Gaetani","given":"G. A."},{"family":"O'Leary","given":"J. A."},{"family":"Shimizu","given":"N."},{"family":"Bucholz","given":"Claire E."},{"family":"Newville","given":"Matthew"}],"issued":{"date-parts":[["2012"]]}},"label":"page"}],"schema":"https://github.com/citation-style-language/schema/raw/master/csl-citation.json"}</w:instrText>
      </w:r>
      <w:r>
        <w:fldChar w:fldCharType="separate"/>
      </w:r>
      <w:bookmarkStart w:id="13" w:name="__Fieldmark__191_2212690323"/>
      <w:r>
        <w:rPr/>
      </w:r>
      <w:r>
        <w:rPr/>
        <w:t>Mironov et al. (2015); Portnyagin et al. (2008); Chen et al. (2011); and Gaetani et al. (2012)</w:t>
      </w:r>
      <w:r>
        <w:rPr/>
      </w:r>
      <w:r>
        <w:fldChar w:fldCharType="end"/>
      </w:r>
      <w:bookmarkEnd w:id="13"/>
      <w:r>
        <w:rPr/>
        <w:t xml:space="preserve"> suggest that relatively slow “proton-vacancy” or “pv” diffusion is dominant. The major goal of this work is to better understand which diffusivity to use for a given application of H diffusion in natural olivine, with particular emphasis on phenocrysts and their potential to serve as clocks for quantifying magma ascent times.</w:t>
      </w:r>
    </w:p>
    <w:p>
      <w:pPr>
        <w:pStyle w:val="Heading1"/>
        <w:rPr/>
      </w:pPr>
      <w:r>
        <w:rPr/>
        <w:t>Experimental methods</w:t>
      </w:r>
    </w:p>
    <w:p>
      <w:pPr>
        <w:pStyle w:val="Normal"/>
        <w:rPr/>
      </w:pPr>
      <w:r>
        <w:rPr/>
        <w:t xml:space="preserve">We provide, for the first time, time-series data showing water loss from the same single crystal of Fe-bearing olivine. We do this for two olivines: partially hydrated xenolithic olivine from San Carlos and phenocrysts from Kilauea Iki. </w:t>
      </w:r>
    </w:p>
    <w:p>
      <w:pPr>
        <w:pStyle w:val="Heading2"/>
        <w:rPr/>
      </w:pPr>
      <w:r>
        <w:rPr/>
        <w:t>Sample selection and preparation</w:t>
      </w:r>
    </w:p>
    <w:p>
      <w:pPr>
        <w:pStyle w:val="Normal"/>
        <w:rPr/>
      </w:pPr>
      <w:r>
        <w:rPr/>
        <w:t xml:space="preserve">Olivines from San Carlos, AZ and Kilauea Iki were chemically characterized and used for H diffusion experiments. The San Carlos olivine similar to that used in previous hydration experiments </w:t>
      </w:r>
      <w:r>
        <w:fldChar w:fldCharType="begin"/>
      </w:r>
      <w:r>
        <w:instrText>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4" w:name="__Fieldmark__220_2212690323"/>
      <w:r>
        <w:rPr/>
      </w:r>
      <w:r>
        <w:rPr/>
        <w:t>(Mackwell and Kohlstedt 1990; Kohlstedt and Mackwell 1998)</w:t>
      </w:r>
      <w:r>
        <w:rPr/>
      </w:r>
      <w:r>
        <w:fldChar w:fldCharType="end"/>
      </w:r>
      <w:bookmarkEnd w:id="14"/>
      <w:r>
        <w:rPr/>
        <w:t xml:space="preserve"> was provided by David Kohlstedt. Here we extend that work by examining site-specific dehydration behavior. The Kilauea Iki olivines were collected from scoria from the 1959 Episode 1 eruption of K</w:t>
      </w:r>
      <w:r>
        <w:rPr>
          <w:rFonts w:cs="Calibri" w:cstheme="minorHAnsi"/>
        </w:rPr>
        <w:t>i</w:t>
      </w:r>
      <w:r>
        <w:rPr/>
        <w:t>lauea Ik</w:t>
      </w:r>
      <w:r>
        <w:rPr>
          <w:rFonts w:cs="Calibri" w:cstheme="minorHAnsi"/>
        </w:rPr>
        <w:t>i</w:t>
      </w:r>
      <w:r>
        <w:rPr/>
        <w:t xml:space="preserve"> and have been described in detail by David Ferguson </w:t>
      </w:r>
      <w:r>
        <w:fldChar w:fldCharType="begin"/>
      </w:r>
      <w:r>
        <w:instrText>ADDIN ZOTERO_TEMP</w:instrText>
      </w:r>
      <w:r>
        <w:fldChar w:fldCharType="separate"/>
      </w:r>
      <w:bookmarkStart w:id="15" w:name="__Fieldmark__239_2212690323"/>
      <w:r>
        <w:rPr/>
      </w:r>
      <w:r>
        <w:rPr>
          <w:rFonts w:cs="Calibri"/>
        </w:rPr>
        <w:t>(Ferguson et al. 2016)</w:t>
      </w:r>
      <w:r>
        <w:rPr/>
      </w:r>
      <w:r>
        <w:fldChar w:fldCharType="end"/>
      </w:r>
      <w:bookmarkEnd w:id="15"/>
      <w:r>
        <w:rPr/>
        <w:t>, who provided the samples. The Kilauea Iki samples are of great interest because they provide the first direct experimental measurements of H diffusion in all 3 crystallographic directions of inclusion-free olivine phenocrysts.</w:t>
      </w:r>
    </w:p>
    <w:p>
      <w:pPr>
        <w:pStyle w:val="Normal"/>
        <w:rPr/>
      </w:pPr>
      <w:r>
        <w:rPr/>
        <w:t>A large crack and inclusion-free piece of San Carlos olivine, SC1 (IGSN: IEFERSCO1), was oriented by Laue camera at Cornell University and then cut into a series of smaller pieces approximately 2-3 mm long on each side using a diamond saw. One of the resulting sub-pieces, SC1-1 (IGSN: IEFERJAI3), was polished with 0.25 </w:t>
      </w:r>
      <w:r>
        <w:rPr>
          <w:rFonts w:cs="Calibri" w:cstheme="minorHAnsi"/>
        </w:rPr>
        <w:t>μ</w:t>
      </w:r>
      <w:r>
        <w:rPr/>
        <w:t>m diamond paste and used to estimate the initial water concentration by FTIR. Additional pieces of SC1 were used to test the hydration procedure, and pieces SC1-7 (IGSN: IEFERJAI9) and SC1-2 (IGSN: IEFERJAI4) were partially hydrated and then polished with 0.25 </w:t>
      </w:r>
      <w:r>
        <w:rPr>
          <w:rFonts w:cs="Calibri" w:cstheme="minorHAnsi"/>
        </w:rPr>
        <w:t>μ</w:t>
      </w:r>
      <w:r>
        <w:rPr/>
        <w:t xml:space="preserve">m diamond paste for FTIR. SC1-2 was then sequentially dehydrated with FTIR profiles measured after each dehydration step and afterwards analyzed by EMPA and SIMS.  </w:t>
      </w:r>
    </w:p>
    <w:p>
      <w:pPr>
        <w:pStyle w:val="Normal"/>
        <w:rPr/>
      </w:pPr>
      <w:r>
        <w:rPr/>
        <w:t>A large, relatively clear piece of the K</w:t>
      </w:r>
      <w:r>
        <w:rPr>
          <w:rFonts w:cs="Calibri" w:cstheme="minorHAnsi"/>
        </w:rPr>
        <w:t>i</w:t>
      </w:r>
      <w:r>
        <w:rPr/>
        <w:t xml:space="preserve">lauea Iki olivine, Kiki (IGSN: IEFERJAIC), was oriented based on morphology and polished into a block shape of dimensions 2 </w:t>
      </w:r>
      <w:r>
        <w:rPr>
          <w:rFonts w:cs="Calibri" w:cstheme="minorHAnsi"/>
        </w:rPr>
        <w:t>×</w:t>
      </w:r>
      <w:r>
        <w:rPr/>
        <w:t xml:space="preserve"> 1 </w:t>
      </w:r>
      <w:r>
        <w:rPr>
          <w:rFonts w:cs="Calibri" w:cstheme="minorHAnsi"/>
        </w:rPr>
        <w:t>×</w:t>
      </w:r>
      <w:r>
        <w:rPr/>
        <w:t xml:space="preserve"> 1.3 mm. The orientations were then confirmed by electron backscatter diffraction (EBSD) at the American Museum on Natural History (AMNH). The untreated Kiki sample was characterized by EMPA, SIMS, and polarized FTIR prior to dehydration. The sample was initially zoned in hydrogen, and the low hydrogen rims were polished off to create a homogeneous initial block.</w:t>
      </w:r>
    </w:p>
    <w:p>
      <w:pPr>
        <w:pStyle w:val="Normal"/>
        <w:rPr/>
      </w:pPr>
      <w:r>
        <w:rPr/>
        <w:t xml:space="preserve">Sample thicknesses in all three directions were measured with a digital micrometer accurate to within </w:t>
      </w:r>
      <w:r>
        <w:rPr>
          <w:rFonts w:cs="Calibri" w:cstheme="minorHAnsi"/>
        </w:rPr>
        <w:t>±</w:t>
      </w:r>
      <w:r>
        <w:rPr/>
        <w:t xml:space="preserve"> 5 </w:t>
      </w:r>
      <w:r>
        <w:rPr>
          <w:rFonts w:cs="Calibri" w:cstheme="minorHAnsi"/>
        </w:rPr>
        <w:t>μ</w:t>
      </w:r>
      <w:r>
        <w:rPr/>
        <w:t>m. Additional details for all samples, including images and sample dimensions, are available online at geosamples.org.</w:t>
      </w:r>
    </w:p>
    <w:p>
      <w:pPr>
        <w:pStyle w:val="Heading2"/>
        <w:rPr/>
      </w:pPr>
      <w:r>
        <w:rPr/>
        <w:t>Electron microprobe analysis</w:t>
      </w:r>
    </w:p>
    <w:p>
      <w:pPr>
        <w:pStyle w:val="Normal"/>
        <w:rPr/>
      </w:pPr>
      <w:r>
        <w:rPr/>
        <w:t xml:space="preserve">Major elements of SC1-2 and Kiki were analyzed by electron microprobe at AMNH along traverses parallel to those on which water measurements were made to confirm homogeneity of the samples. The beam current was 20 nA, and the accelerating voltage was 15 kV. </w:t>
      </w:r>
    </w:p>
    <w:p>
      <w:pPr>
        <w:pStyle w:val="Heading2"/>
        <w:rPr/>
      </w:pPr>
      <w:r>
        <w:rPr/>
        <w:t>Initial water concentrations</w:t>
      </w:r>
    </w:p>
    <w:p>
      <w:pPr>
        <w:pStyle w:val="Normal"/>
        <w:rPr/>
      </w:pPr>
      <w:r>
        <w:rPr/>
        <w:t>The initial water concentration in each olivine was estimated using both polarized FTIR and SIMS. Polarized FTIR measurements were performed at AMNH using the Thermo Nicolet Nexus 670 infrared spectrometer and Thermo Nicolet Continuum 15</w:t>
      </w:r>
      <w:r>
        <w:rPr>
          <w:rFonts w:cs="Calibri" w:cstheme="minorHAnsi"/>
        </w:rPr>
        <w:t>×</w:t>
      </w:r>
      <w:r>
        <w:rPr/>
        <w:t xml:space="preserve"> infrared microscope with a resolution of 4 cm</w:t>
      </w:r>
      <w:r>
        <w:rPr>
          <w:vertAlign w:val="superscript"/>
        </w:rPr>
        <w:t>-1</w:t>
      </w:r>
      <w:r>
        <w:rPr/>
        <w:t xml:space="preserve">, spot sizes of 100 </w:t>
      </w:r>
      <w:r>
        <w:rPr>
          <w:rFonts w:cs="Calibri" w:cstheme="minorHAnsi"/>
        </w:rPr>
        <w:t>×</w:t>
      </w:r>
      <w:r>
        <w:rPr/>
        <w:t xml:space="preserve"> 100 </w:t>
      </w:r>
      <w:r>
        <w:rPr>
          <w:rFonts w:cs="Calibri" w:cstheme="minorHAnsi"/>
        </w:rPr>
        <w:t>μ</w:t>
      </w:r>
      <w:r>
        <w:rPr/>
        <w:t xml:space="preserve">m, an average of 200 scans, and a ZnSe polarizer. Initial water concentrations were estimated from 3 orthogonal polarized measurements </w:t>
      </w:r>
      <w:r>
        <w:fldChar w:fldCharType="begin"/>
      </w:r>
      <w:r>
        <w:instrText>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w:instrText>
      </w:r>
      <w:r>
        <w:fldChar w:fldCharType="separate"/>
      </w:r>
      <w:bookmarkStart w:id="16" w:name="__Fieldmark__362_2212690323"/>
      <w:r>
        <w:rPr/>
      </w:r>
      <w:r>
        <w:rPr/>
        <w:t>(Libowitzky and Rossman 1996; Shuai and Yang 2017)</w:t>
      </w:r>
      <w:r>
        <w:rPr/>
      </w:r>
      <w:r>
        <w:fldChar w:fldCharType="end"/>
      </w:r>
      <w:bookmarkEnd w:id="16"/>
      <w:r>
        <w:rPr/>
        <w:t xml:space="preserve"> by applying the Bell and Withers calibrations </w:t>
      </w:r>
      <w:r>
        <w:fldChar w:fldCharType="begin"/>
      </w:r>
      <w:r>
        <w:instrText>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w:instrText>
      </w:r>
      <w:r>
        <w:fldChar w:fldCharType="separate"/>
      </w:r>
      <w:bookmarkStart w:id="17" w:name="__Fieldmark__370_2212690323"/>
      <w:r>
        <w:rPr/>
      </w:r>
      <w:r>
        <w:rPr/>
        <w:t>(Bell et al. 2003; Withers et al. 2012)</w:t>
      </w:r>
      <w:r>
        <w:rPr/>
      </w:r>
      <w:r>
        <w:fldChar w:fldCharType="end"/>
      </w:r>
      <w:bookmarkEnd w:id="17"/>
      <w:r>
        <w:rPr/>
        <w:t xml:space="preserve">. To account for the large error associated with baseline choice, 3 different baselines were drawn, and the resulting areas were averaged. Traverses along all three directions did not show significant zonation in bulk or peak-specific water in the untreated samples. </w:t>
      </w:r>
    </w:p>
    <w:p>
      <w:pPr>
        <w:pStyle w:val="Normal"/>
        <w:rPr/>
      </w:pPr>
      <w:r>
        <w:rPr/>
        <w:t>Erik Hauri measured the C, H, F, P, and Cl concentrations by nanoSIMS along traverses parallel to [001] in SC1-2 and parallel to [010] in Kiki as part of the CIDER workshop on electrical conductivity in hydrous olivine. SIMS measurements were made before Kiki was dehydrated but after the final dehydration heating step for SC1-2. The area under the O-H stretching peaks with the electric vector E || [100] is equal to that of both the untreated SC1-1 (7</w:t>
      </w:r>
      <w:r>
        <w:rPr>
          <w:rFonts w:cs="Calibri" w:cstheme="minorHAnsi"/>
        </w:rPr>
        <w:t>±</w:t>
      </w:r>
      <w:r>
        <w:rPr/>
        <w:t>5 cm</w:t>
      </w:r>
      <w:r>
        <w:rPr>
          <w:vertAlign w:val="superscript"/>
        </w:rPr>
        <w:t>-2</w:t>
      </w:r>
      <w:r>
        <w:rPr/>
        <w:t>) and of the partially hydrated and then dehydrated SC1-2 (7</w:t>
      </w:r>
      <w:r>
        <w:rPr>
          <w:rFonts w:cs="Calibri" w:cstheme="minorHAnsi"/>
        </w:rPr>
        <w:t>±</w:t>
      </w:r>
      <w:r>
        <w:rPr/>
        <w:t>6 cm</w:t>
      </w:r>
      <w:r>
        <w:rPr>
          <w:vertAlign w:val="superscript"/>
        </w:rPr>
        <w:t>-2</w:t>
      </w:r>
      <w:r>
        <w:rPr/>
        <w:t>). Therefore, the SIMS measurements of the hydrated and then dehydrated SC1-2 were taken as a reasonable estimate of the initial water concentration in SC1.</w:t>
      </w:r>
    </w:p>
    <w:p>
      <w:pPr>
        <w:pStyle w:val="Heading2"/>
        <w:rPr/>
      </w:pPr>
      <w:r>
        <w:rPr/>
        <w:t>Hydration of San Carlos olivine</w:t>
      </w:r>
    </w:p>
    <w:p>
      <w:pPr>
        <w:pStyle w:val="Normal"/>
        <w:rPr/>
      </w:pPr>
      <w:r>
        <w:rPr/>
        <w:t>Two pieces of previously oriented San Carlos olivine SC1, SC1-</w:t>
      </w:r>
      <w:r>
        <w:rPr/>
        <w:t>2</w:t>
      </w:r>
      <w:r>
        <w:rPr/>
        <w:t xml:space="preserve"> and SC1-</w:t>
      </w:r>
      <w:r>
        <w:rPr/>
        <w:t>7</w:t>
      </w:r>
      <w:r>
        <w:rPr/>
        <w:t>, were partially hydrated in a ¾” Boyd-type piston cylinder apparatus with a BaCO</w:t>
      </w:r>
      <w:r>
        <w:rPr>
          <w:vertAlign w:val="subscript"/>
        </w:rPr>
        <w:t>3</w:t>
      </w:r>
      <w:r>
        <w:rPr/>
        <w:t xml:space="preserve"> pressure medium using a procedure broadly similar to that of </w:t>
      </w:r>
      <w:r>
        <w:fldChar w:fldCharType="begin"/>
      </w:r>
      <w:r>
        <w:instrText>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w:instrText>
      </w:r>
      <w:r>
        <w:fldChar w:fldCharType="separate"/>
      </w:r>
      <w:bookmarkStart w:id="18" w:name="__Fieldmark__420_2212690323"/>
      <w:r>
        <w:rPr/>
      </w:r>
      <w:r>
        <w:rPr/>
        <w:t>Jollands et al. (2016)</w:t>
      </w:r>
      <w:r>
        <w:rPr/>
      </w:r>
      <w:r>
        <w:fldChar w:fldCharType="end"/>
      </w:r>
      <w:bookmarkEnd w:id="18"/>
      <w:r>
        <w:rPr/>
        <w:t>. Here the samples were placed in copper capsules and surrounded by liquid distilled H</w:t>
      </w:r>
      <w:r>
        <w:rPr>
          <w:vertAlign w:val="subscript"/>
        </w:rPr>
        <w:t>2</w:t>
      </w:r>
      <w:r>
        <w:rPr/>
        <w:t>O and a powdered mixture of Ni and NiO to control oxygen fugacity and San Carlos olivine and enstatite to control silica activity (</w:t>
      </w:r>
      <w:r>
        <w:rPr/>
        <w:fldChar w:fldCharType="begin"/>
      </w:r>
      <w:r>
        <w:instrText> REF _Ref477285918 \h </w:instrText>
      </w:r>
      <w:r>
        <w:fldChar w:fldCharType="separate"/>
      </w:r>
      <w:r>
        <w:t>Figure 1</w:t>
      </w:r>
      <w:r>
        <w:fldChar w:fldCharType="end"/>
      </w:r>
      <w:r>
        <w:rPr/>
        <w:t>). Temperatures were controlled with a</w:t>
      </w:r>
      <w:r>
        <w:rPr>
          <w:b/>
        </w:rPr>
        <w:t xml:space="preserve"> </w:t>
      </w:r>
      <w:r>
        <w:rPr/>
        <w:t>D-type (W3%Re-W25%Re) with control precision of ±2°C and probable accuracy of ±20°C. After rapid quenching followed by relatively slow decompression, the capsules were pierced with a drill to confirm water was still present and then dissolved overnight in a mixture of 1:1 H</w:t>
      </w:r>
      <w:r>
        <w:rPr>
          <w:vertAlign w:val="subscript"/>
        </w:rPr>
        <w:t>2</w:t>
      </w:r>
      <w:r>
        <w:rPr/>
        <w:t>O to HNO</w:t>
      </w:r>
      <w:r>
        <w:rPr>
          <w:vertAlign w:val="subscript"/>
        </w:rPr>
        <w:t>3</w:t>
      </w:r>
      <w:r>
        <w:rPr/>
        <w:t>. The rectangular parallelepiped samples were then mounted in CrystalBond, polished with 0.25 </w:t>
      </w:r>
      <w:r>
        <w:rPr>
          <w:rFonts w:cs="Calibri" w:cstheme="minorHAnsi"/>
        </w:rPr>
        <w:t>μ</w:t>
      </w:r>
      <w:r>
        <w:rPr/>
        <w:t xml:space="preserve">m diamond paste on all sides, and cleaned in acetone. </w:t>
      </w:r>
    </w:p>
    <w:p>
      <w:pPr>
        <w:pStyle w:val="Normal"/>
        <w:rPr/>
      </w:pPr>
      <w:r>
        <w:rPr/>
        <w:t xml:space="preserve">Sample </w:t>
      </w:r>
      <w:r>
        <w:rPr/>
        <w:t>SC1-2 was hydrated at a nominal temperature of 800 </w:t>
      </w:r>
      <w:r>
        <w:rPr>
          <w:rFonts w:cs="Calibri" w:cstheme="minorHAnsi"/>
        </w:rPr>
        <w:t>°</w:t>
      </w:r>
      <w:r>
        <w:rPr/>
        <w:t xml:space="preserve">C and 10 kbar pressure, which corresponds to a water fugacity of 1.6 GPa </w:t>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19" w:name="__Fieldmark__514_2212690323"/>
      <w:r>
        <w:rPr/>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r>
        <w:rPr/>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r>
        <w:rPr/>
      </w:r>
      <w:r>
        <w:rPr/>
        <w:t>(Withers 2013)</w:t>
      </w:r>
      <w:r>
        <w:rPr/>
      </w:r>
      <w:r>
        <w:fldChar w:fldCharType="end"/>
      </w:r>
      <w:r>
        <w:rPr/>
      </w:r>
      <w:r>
        <w:fldChar w:fldCharType="end"/>
      </w:r>
      <w:r>
        <w:rPr/>
      </w:r>
      <w:r>
        <w:fldChar w:fldCharType="end"/>
      </w:r>
      <w:bookmarkEnd w:id="19"/>
      <w:r>
        <w:rPr/>
        <w:t>, for 17.5 hours. That time was chosen in order to reach, but not pass, what Kohlstedt and Mackwell (1998) call “metastable equilibrium”, the point at which all of the initial Fe</w:t>
      </w:r>
      <w:r>
        <w:rPr>
          <w:vertAlign w:val="superscript"/>
        </w:rPr>
        <w:t>3+</w:t>
      </w:r>
      <w:r>
        <w:rPr/>
        <w:t xml:space="preserve"> is reduced as H</w:t>
      </w:r>
      <w:r>
        <w:rPr>
          <w:vertAlign w:val="superscript"/>
        </w:rPr>
        <w:t>+</w:t>
      </w:r>
      <w:r>
        <w:rPr/>
        <w:t xml:space="preserve"> diffuses into the sample following the proton-polaron mechanism. If the model used by Kohlstedt and Mackwell (1998) is correct, the hydrogen concentration in SC1-2 after the piston cylinder experiment should be homogeneous, and the concentration should be lower than the true solubility and presumably determined by the initial concentration of ferric iron. If the “metastable equilibrium” hydrogen concentration is both large enough to easily measure and homogeneous, then SC1-2 is a suitable starting material for step-wise dehydration experiments.</w:t>
      </w:r>
    </w:p>
    <w:p>
      <w:pPr>
        <w:pStyle w:val="Normal"/>
        <w:rPr/>
      </w:pPr>
      <w:r>
        <w:rPr/>
        <w:t xml:space="preserve">Sample </w:t>
      </w:r>
      <w:r>
        <w:rPr/>
        <w:t>SC1-7 was heated for 7 hours at 10 kbar and temperature readings of 1000</w:t>
      </w:r>
      <w:r>
        <w:rPr>
          <w:rFonts w:cs="Calibri" w:cstheme="minorHAnsi"/>
        </w:rPr>
        <w:t>°</w:t>
      </w:r>
      <w:r>
        <w:rPr/>
        <w:t xml:space="preserve">C, but the experiment ended when capsule began to melt, suggesting the true temperature in the capsule was closer to 1085°C, the melting point of copper or, more likely, the Cu was contaminated, perhaps with a small amount of oxygen, resulting in freezing point depression. This temperature range and pressure correspond to water fugacities of 1.9-2.0 GPa </w:t>
      </w:r>
      <w:r>
        <w:fldChar w:fldCharType="begin"/>
      </w:r>
      <w:r>
        <w:instrText>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20" w:name="__Fieldmark__487_2212690323"/>
      <w:r>
        <w:rPr/>
      </w:r>
      <w:r>
        <w:rPr/>
        <w:t>(Withers 2013)</w:t>
      </w:r>
      <w:r>
        <w:rPr/>
      </w:r>
      <w:r>
        <w:fldChar w:fldCharType="end"/>
      </w:r>
      <w:bookmarkEnd w:id="20"/>
      <w:r>
        <w:rPr/>
        <w:t xml:space="preserve">. Within this temperature range, given the dimensions of the sample and the diffusivities reported by Kohlstedt and Mackwell (1998), the experiment time of 7 hours should allow the completion of proton-polaron diffusion and enter into the stage of diffusion dominated by the slower proton-vacancy mechanism without fully saturating the sample. This experiment allows a direct comparison with previous work </w:t>
      </w:r>
      <w:r>
        <w:fldChar w:fldCharType="begin"/>
      </w:r>
      <w:r>
        <w:instrText>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w:instrText>
      </w:r>
      <w:r>
        <w:fldChar w:fldCharType="separate"/>
      </w:r>
      <w:bookmarkStart w:id="21" w:name="__Fieldmark__502_2212690323"/>
      <w:r>
        <w:rPr/>
      </w:r>
      <w:r>
        <w:rPr/>
        <w:t>(Kohlstedt and Mackwell 1998; Demouchy and Mackwell 2006)</w:t>
      </w:r>
      <w:r>
        <w:rPr/>
      </w:r>
      <w:r>
        <w:fldChar w:fldCharType="end"/>
      </w:r>
      <w:bookmarkEnd w:id="21"/>
      <w:r>
        <w:rPr/>
        <w:t xml:space="preserve">. </w:t>
      </w:r>
    </w:p>
    <w:p>
      <w:pPr>
        <w:pStyle w:val="Normal"/>
        <w:rPr/>
      </w:pPr>
      <w:r>
        <w:rPr/>
      </w:r>
    </w:p>
    <w:p>
      <w:pPr>
        <w:pStyle w:val="Heading2"/>
        <w:rPr/>
      </w:pPr>
      <w:r>
        <w:rPr/>
        <w:t xml:space="preserve">Dehydration </w:t>
      </w:r>
    </w:p>
    <w:p>
      <w:pPr>
        <w:pStyle w:val="Normal"/>
        <w:rPr>
          <w:rFonts w:ascii="Calibri" w:hAnsi="Calibri" w:cs="Calibri"/>
        </w:rPr>
      </w:pPr>
      <w:r>
        <w:rPr/>
        <w:t xml:space="preserve">Olivine samples SC1-2 (the same sample that was partially hydrated according to the procedure described above) and Kiki (untreated) were dehydrated in increments using the vertical furnace used in previous dehydration experiments </w:t>
      </w:r>
      <w:r>
        <w:rPr>
          <w:rFonts w:cs="Calibri"/>
        </w:rPr>
        <w:t>(Ferriss 2015), and oxygen fugacity was controlled with a mixture of CO and CO</w:t>
      </w:r>
      <w:r>
        <w:rPr>
          <w:rFonts w:cs="Calibri"/>
          <w:vertAlign w:val="subscript"/>
        </w:rPr>
        <w:t>2</w:t>
      </w:r>
      <w:r>
        <w:rPr>
          <w:rFonts w:cs="Calibri"/>
        </w:rPr>
        <w:t>. The partially hydrated sample SC1-2 was heated at 800 °C for 1, 3, 7, 13, 19, 43, and 68 hours at an oxygen fugacity 10</w:t>
      </w:r>
      <w:r>
        <w:rPr>
          <w:rFonts w:cs="Calibri"/>
          <w:vertAlign w:val="superscript"/>
        </w:rPr>
        <w:t>-16.5</w:t>
      </w:r>
      <w:r>
        <w:rPr>
          <w:rFonts w:cs="Calibri"/>
        </w:rPr>
        <w:t xml:space="preserve"> bars, equivalent to NNO-2.6, where NNO is the nickel-nickel oxide buffer. Kiki was heated at 800°C for 1 and 8 hours; then 3, 6, 7, and 8 hours at 1000°C. All heating steps for Kiki were conducted at oxygen fugacity of NNO-2.6 except for the final step at 1000°C, which was conducted at relatively oxidizing conditions, NNO+2.</w:t>
      </w:r>
    </w:p>
    <w:p>
      <w:pPr>
        <w:pStyle w:val="Heading2"/>
        <w:rPr/>
      </w:pPr>
      <w:r>
        <w:rPr/>
        <w:t>FTIR and diffusion modeling</w:t>
      </w:r>
    </w:p>
    <w:p>
      <w:pPr>
        <w:pStyle w:val="Normal"/>
        <w:rPr/>
      </w:pPr>
      <w:r>
        <w:rPr/>
        <w:t>Before heat treatment and in between each heating step, samples were analyzed by polarized FTIR along 3 orthogonal traverses parallel to the three crystallographic directions in the uncut crystal. These analyses use the same conditions described above for estimating the initial water and were in all cases conducted with polarized radiation with the electric vector E || [100]. Quadratic baselines were drawn based on the curve of the spectrum of the untreated and/or the dehydrated sample, with typical wavenumber ranges of 3200-3700 cm</w:t>
      </w:r>
      <w:r>
        <w:rPr>
          <w:vertAlign w:val="superscript"/>
        </w:rPr>
        <w:t>-1</w:t>
      </w:r>
      <w:r>
        <w:rPr/>
        <w:t xml:space="preserve">, and the resulting areas were scaled up to approximate hydrogen concentrations by comparison with the corresponding area measured in the same way in the untreated sample, for which hydrogen concentrations are known. </w:t>
      </w:r>
    </w:p>
    <w:p>
      <w:pPr>
        <w:pStyle w:val="Normal"/>
        <w:rPr/>
      </w:pPr>
      <w:r>
        <w:rPr/>
        <w:t xml:space="preserve"> </w:t>
      </w:r>
      <w:r>
        <w:rPr/>
        <w:t>Each profile was normalized to the initial measurements to produce a ratio of the final to initial area A/A</w:t>
      </w:r>
      <w:r>
        <w:rPr>
          <w:vertAlign w:val="subscript"/>
        </w:rPr>
        <w:t>0</w:t>
      </w:r>
      <w:r>
        <w:rPr/>
        <w:t xml:space="preserve"> and scaled up to a true concentration based on the initial concentrations, A</w:t>
      </w:r>
      <w:r>
        <w:rPr>
          <w:vertAlign w:val="subscript"/>
        </w:rPr>
        <w:t>0</w:t>
      </w:r>
      <w:r>
        <w:rPr/>
        <w:t xml:space="preserve">, determined above. These “whole-block” concentrations represent the average concentration through the entire path of the infrared beam, and the forward models used to determine hydrogen diffusivities in each direction are modified accordingly following the models described in </w:t>
      </w:r>
      <w:r>
        <w:fldChar w:fldCharType="begin"/>
      </w:r>
      <w:r>
        <w:instrText>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w:instrText>
      </w:r>
      <w:r>
        <w:fldChar w:fldCharType="separate"/>
      </w:r>
      <w:bookmarkStart w:id="22" w:name="__Fieldmark__632_2212690323"/>
      <w:r>
        <w:rPr/>
      </w:r>
      <w:r>
        <w:rPr/>
        <w:t>E. Ferriss et al. (2015) and Elizabeth Ferriss, Plank, and Walker (2016)</w:t>
      </w:r>
      <w:r>
        <w:rPr/>
      </w:r>
      <w:r>
        <w:fldChar w:fldCharType="end"/>
      </w:r>
      <w:bookmarkEnd w:id="22"/>
      <w:r>
        <w:rPr/>
        <w:t xml:space="preserve"> and implemented using the free, open-source software package pynams </w:t>
      </w:r>
      <w:r>
        <w:fldChar w:fldCharType="begin"/>
      </w:r>
      <w:r>
        <w:instrText>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w:instrText>
      </w:r>
      <w:r>
        <w:fldChar w:fldCharType="separate"/>
      </w:r>
      <w:bookmarkStart w:id="23" w:name="__Fieldmark__639_2212690323"/>
      <w:r>
        <w:rPr/>
      </w:r>
      <w:r>
        <w:rPr/>
        <w:t>(Ferriss 2015)</w:t>
      </w:r>
      <w:r>
        <w:rPr/>
      </w:r>
      <w:r>
        <w:fldChar w:fldCharType="end"/>
      </w:r>
      <w:bookmarkEnd w:id="23"/>
      <w:r>
        <w:rPr/>
        <w:t xml:space="preserve">. </w:t>
      </w:r>
    </w:p>
    <w:p>
      <w:pPr>
        <w:pStyle w:val="Normal"/>
        <w:rPr/>
      </w:pPr>
      <w:r>
        <w:rPr/>
        <w:t>To explore possible differences among various hydrogen incorporation mechanisms, the same normalization and fitting procedures were applied to individual peaks using the peak heights relative to the quadratic baseline. Particular emphasis was placed on peaks at the following 4 wavenumbers: 3600, 3525, 3356, and 3236 cm</w:t>
      </w:r>
      <w:r>
        <w:rPr>
          <w:vertAlign w:val="superscript"/>
        </w:rPr>
        <w:t>-1</w:t>
      </w:r>
      <w:r>
        <w:rPr/>
        <w:t>. The peak at 3600 cm</w:t>
      </w:r>
      <w:r>
        <w:rPr>
          <w:vertAlign w:val="superscript"/>
        </w:rPr>
        <w:t>-1</w:t>
      </w:r>
      <w:r>
        <w:rPr/>
        <w:t xml:space="preserve">, designated </w:t>
      </w:r>
      <w:r>
        <w:rPr>
          <w:rFonts w:cs="Calibri" w:cstheme="minorHAnsi"/>
        </w:rPr>
        <w:t>[Si-Fe</w:t>
      </w:r>
      <w:r>
        <w:rPr>
          <w:rFonts w:cs="Calibri" w:cstheme="minorHAnsi"/>
          <w:vertAlign w:val="superscript"/>
        </w:rPr>
        <w:t>2+</w:t>
      </w:r>
      <w:r>
        <w:rPr>
          <w:rFonts w:cs="Calibri" w:cstheme="minorHAnsi"/>
        </w:rPr>
        <w:t>],</w:t>
      </w:r>
      <w:r>
        <w:rPr/>
        <w:t xml:space="preserve"> is most likely 4H</w:t>
      </w:r>
      <w:r>
        <w:rPr>
          <w:vertAlign w:val="superscript"/>
        </w:rPr>
        <w:t>+</w:t>
      </w:r>
      <w:r>
        <w:rPr/>
        <w:t xml:space="preserve"> in a Si</w:t>
      </w:r>
      <w:r>
        <w:rPr>
          <w:vertAlign w:val="superscript"/>
        </w:rPr>
        <w:t>4+</w:t>
      </w:r>
      <w:r>
        <w:rPr/>
        <w:t xml:space="preserve"> vacancy with a nearby Fe</w:t>
      </w:r>
      <w:r>
        <w:rPr>
          <w:vertAlign w:val="superscript"/>
        </w:rPr>
        <w:t>2+</w:t>
      </w:r>
      <w:r>
        <w:rPr/>
        <w:t xml:space="preserve"> </w:t>
      </w:r>
      <w:r>
        <w:fldChar w:fldCharType="begin"/>
      </w:r>
      <w:r>
        <w:instrText>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24" w:name="__Fieldmark__681_2212690323"/>
      <w:r>
        <w:rPr/>
      </w:r>
      <w:r>
        <w:rPr/>
        <w:t>(Blanchard et al. 2017)</w:t>
      </w:r>
      <w:r>
        <w:rPr/>
      </w:r>
      <w:r>
        <w:fldChar w:fldCharType="end"/>
      </w:r>
      <w:bookmarkEnd w:id="24"/>
      <w:r>
        <w:rPr/>
        <w:t>. The peak at 3525 cm</w:t>
      </w:r>
      <w:r>
        <w:rPr>
          <w:vertAlign w:val="superscript"/>
        </w:rPr>
        <w:t>-1</w:t>
      </w:r>
      <w:r>
        <w:rPr/>
        <w:t>, designated [Ti-3525], is one of two prominent peaks produced by 2H</w:t>
      </w:r>
      <w:r>
        <w:rPr>
          <w:vertAlign w:val="superscript"/>
        </w:rPr>
        <w:t>+</w:t>
      </w:r>
      <w:r>
        <w:rPr/>
        <w:t xml:space="preserve"> coupled with a Si</w:t>
      </w:r>
      <w:r>
        <w:rPr>
          <w:vertAlign w:val="superscript"/>
        </w:rPr>
        <w:t>4+</w:t>
      </w:r>
      <w:r>
        <w:rPr/>
        <w:t xml:space="preserve"> vacancy and a Ti</w:t>
      </w:r>
      <w:r>
        <w:rPr>
          <w:vertAlign w:val="superscript"/>
        </w:rPr>
        <w:t>4+</w:t>
      </w:r>
      <w:r>
        <w:rPr/>
        <w:t xml:space="preserve"> on a metal site. We focus on this peak both to minimize interferences with nearby [Si] peaks and to more directly compare with the results of </w:t>
      </w:r>
      <w:r>
        <w:fldChar w:fldCharType="begin"/>
      </w:r>
      <w:r>
        <w:instrText>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25" w:name="__Fieldmark__697_2212690323"/>
      <w:r>
        <w:rPr/>
      </w:r>
      <w:r>
        <w:rPr>
          <w:rFonts w:cs="Times New Roman"/>
          <w:szCs w:val="24"/>
        </w:rPr>
        <w:t>Padrón-Navarta, Hermann, and O’Neill (2014)</w:t>
      </w:r>
      <w:r>
        <w:rPr/>
      </w:r>
      <w:r>
        <w:fldChar w:fldCharType="end"/>
      </w:r>
      <w:bookmarkEnd w:id="25"/>
      <w:r>
        <w:rPr>
          <w:rFonts w:cs="Calibri" w:cstheme="minorHAnsi"/>
        </w:rPr>
        <w:t xml:space="preserve">. The </w:t>
      </w:r>
      <w:r>
        <w:rPr/>
        <w:t>3356 cm</w:t>
      </w:r>
      <w:r>
        <w:rPr>
          <w:vertAlign w:val="superscript"/>
        </w:rPr>
        <w:t>-1</w:t>
      </w:r>
      <w:r>
        <w:rPr/>
        <w:t xml:space="preserve"> peak, designated </w:t>
      </w:r>
      <w:r>
        <w:rPr>
          <w:rFonts w:cs="Calibri" w:cstheme="minorHAnsi"/>
        </w:rPr>
        <w:t>[tri-Fe</w:t>
      </w:r>
      <w:r>
        <w:rPr>
          <w:rFonts w:cs="Calibri" w:cstheme="minorHAnsi"/>
          <w:vertAlign w:val="superscript"/>
        </w:rPr>
        <w:t>3+</w:t>
      </w:r>
      <w:r>
        <w:rPr>
          <w:rFonts w:cs="Calibri" w:cstheme="minorHAnsi"/>
        </w:rPr>
        <w:t>-3356], is</w:t>
      </w:r>
      <w:r>
        <w:rPr/>
        <w:t xml:space="preserve"> the most prominent peak in a doublet associated with a Mg</w:t>
      </w:r>
      <w:r>
        <w:rPr>
          <w:vertAlign w:val="superscript"/>
        </w:rPr>
        <w:t>2+</w:t>
      </w:r>
      <w:r>
        <w:rPr/>
        <w:t xml:space="preserve"> vacancy charge-balanced by H</w:t>
      </w:r>
      <w:r>
        <w:rPr>
          <w:vertAlign w:val="superscript"/>
        </w:rPr>
        <w:t>+</w:t>
      </w:r>
      <w:r>
        <w:rPr/>
        <w:t xml:space="preserve"> and Fe</w:t>
      </w:r>
      <w:r>
        <w:rPr>
          <w:vertAlign w:val="superscript"/>
        </w:rPr>
        <w:t>3+</w:t>
      </w:r>
      <w:r>
        <w:rPr/>
        <w:t xml:space="preserve"> substituting on a metal site </w:t>
      </w:r>
      <w:r>
        <w:fldChar w:fldCharType="begin"/>
      </w:r>
      <w:r>
        <w:instrText>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26" w:name="__Fieldmark__722_2212690323"/>
      <w:r>
        <w:rPr/>
      </w:r>
      <w:r>
        <w:rPr/>
        <w:t>(Blanchard et al. 2017)</w:t>
      </w:r>
      <w:r>
        <w:rPr/>
      </w:r>
      <w:r>
        <w:fldChar w:fldCharType="end"/>
      </w:r>
      <w:bookmarkEnd w:id="26"/>
      <w:r>
        <w:rPr/>
        <w:t>, and the 3236 cm</w:t>
      </w:r>
      <w:r>
        <w:rPr>
          <w:vertAlign w:val="superscript"/>
        </w:rPr>
        <w:t>-1</w:t>
      </w:r>
      <w:r>
        <w:rPr/>
        <w:t>, designated [Mg], is likely  2H</w:t>
      </w:r>
      <w:r>
        <w:rPr>
          <w:vertAlign w:val="superscript"/>
        </w:rPr>
        <w:t>+</w:t>
      </w:r>
      <w:r>
        <w:rPr/>
        <w:t xml:space="preserve"> charge-balanced by a Mg</w:t>
      </w:r>
      <w:r>
        <w:rPr>
          <w:vertAlign w:val="superscript"/>
        </w:rPr>
        <w:t>2+</w:t>
      </w:r>
      <w:r>
        <w:rPr/>
        <w:t xml:space="preserve"> vacancy </w:t>
      </w:r>
      <w:r>
        <w:fldChar w:fldCharType="begin"/>
      </w:r>
      <w:r>
        <w:instrText>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27" w:name="__Fieldmark__738_2212690323"/>
      <w:r>
        <w:rPr/>
      </w:r>
      <w:r>
        <w:rPr/>
        <w:t>(Berry et al. 2005)</w:t>
      </w:r>
      <w:r>
        <w:rPr/>
      </w:r>
      <w:r>
        <w:fldChar w:fldCharType="end"/>
      </w:r>
      <w:bookmarkEnd w:id="27"/>
      <w:r>
        <w:rPr/>
        <w:t xml:space="preserve">. </w:t>
      </w:r>
    </w:p>
    <w:p>
      <w:pPr>
        <w:pStyle w:val="Normal"/>
        <w:rPr/>
      </w:pPr>
      <w:r>
        <w:rPr/>
        <w:t>All of the raw FTIR spectra and computer code used to produce all calculations and figures reported in this paper will be made available on GitHub.</w:t>
      </w:r>
    </w:p>
    <w:p>
      <w:pPr>
        <w:pStyle w:val="Heading1"/>
        <w:rPr/>
      </w:pPr>
      <w:r>
        <w:rPr/>
        <w:t>Results</w:t>
      </w:r>
    </w:p>
    <w:p>
      <w:pPr>
        <w:pStyle w:val="Heading2"/>
        <w:rPr/>
      </w:pPr>
      <w:r>
        <w:rPr/>
        <w:t>Characterization of the starting material</w:t>
      </w:r>
    </w:p>
    <w:p>
      <w:pPr>
        <w:pStyle w:val="Normal"/>
        <w:rPr/>
      </w:pPr>
      <w:r>
        <w:rPr/>
        <w:t xml:space="preserve">Microprobe analysis did not reveal any significant zonation along the measured profiles and were generally consistent with previous work </w:t>
      </w:r>
      <w:r>
        <w:fldChar w:fldCharType="begin"/>
      </w:r>
      <w:r>
        <w:instrText>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w:instrText>
      </w:r>
      <w:r>
        <w:fldChar w:fldCharType="separate"/>
      </w:r>
      <w:bookmarkStart w:id="28" w:name="__Fieldmark__758_2212690323"/>
      <w:r>
        <w:rPr/>
      </w:r>
      <w:r>
        <w:rPr/>
        <w:t>(Ruprecht and Plank 2013; Ferguson et al. 2016)</w:t>
      </w:r>
      <w:r>
        <w:rPr/>
      </w:r>
      <w:r>
        <w:fldChar w:fldCharType="end"/>
      </w:r>
      <w:bookmarkEnd w:id="28"/>
      <w:r>
        <w:rPr/>
        <w:t xml:space="preserve"> with somewhat lower forsterite numbers: 87.7</w:t>
      </w:r>
      <w:r>
        <w:rPr>
          <w:rFonts w:cs="Calibri" w:cstheme="minorHAnsi"/>
        </w:rPr>
        <w:t>±</w:t>
      </w:r>
      <w:r>
        <w:rPr/>
        <w:t>0.2 in SC1-2 and 86.2</w:t>
      </w:r>
      <w:r>
        <w:rPr>
          <w:rFonts w:cs="Calibri" w:cstheme="minorHAnsi"/>
        </w:rPr>
        <w:t>±</w:t>
      </w:r>
      <w:r>
        <w:rPr/>
        <w:t xml:space="preserve">0.2 in Kiki. The San Carlos olivine used in previous H diffusion experiments had a reported approximate composition with forsterite number 91 </w:t>
      </w:r>
      <w:r>
        <w:fldChar w:fldCharType="begin"/>
      </w:r>
      <w:r>
        <w:instrText>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29" w:name="__Fieldmark__770_2212690323"/>
      <w:r>
        <w:rPr/>
      </w:r>
      <w:r>
        <w:rPr/>
        <w:t>(Mackwell and Kohlstedt 1990)</w:t>
      </w:r>
      <w:r>
        <w:rPr/>
      </w:r>
      <w:r>
        <w:fldChar w:fldCharType="end"/>
      </w:r>
      <w:bookmarkEnd w:id="29"/>
      <w:r>
        <w:rPr/>
        <w:t xml:space="preserve">. The initial water concentration was estimated from the polarized FTIR measurements and baselines shown in </w:t>
      </w:r>
      <w:r>
        <w:rPr/>
        <w:fldChar w:fldCharType="begin"/>
      </w:r>
      <w:r>
        <w:instrText> REF _Ref490060168 \h </w:instrText>
      </w:r>
      <w:r>
        <w:fldChar w:fldCharType="separate"/>
      </w:r>
      <w:r>
        <w:t>Figure 2</w:t>
      </w:r>
      <w:r>
        <w:fldChar w:fldCharType="end"/>
      </w:r>
      <w:r>
        <w:rPr/>
        <w:t xml:space="preserve"> using both the Bell calibration and the Withers calibration and also by nanoSIMS (</w:t>
      </w:r>
      <w:r>
        <w:rPr/>
        <w:fldChar w:fldCharType="begin"/>
      </w:r>
      <w:r>
        <w:instrText> REF _Ref482181791 \h </w:instrText>
      </w:r>
      <w:r>
        <w:fldChar w:fldCharType="separate"/>
      </w:r>
      <w:r>
        <w:t>Table 1</w:t>
      </w:r>
      <w:r>
        <w:fldChar w:fldCharType="end"/>
      </w:r>
      <w:r>
        <w:rPr/>
        <w:t>). These three estimates were averaged to produce initial water concentration estimates of 15</w:t>
      </w:r>
      <w:r>
        <w:rPr>
          <w:rFonts w:cs="Calibri" w:cstheme="minorHAnsi"/>
        </w:rPr>
        <w:t>±</w:t>
      </w:r>
      <w:r>
        <w:rPr/>
        <w:t>2 ppm H</w:t>
      </w:r>
      <w:r>
        <w:rPr>
          <w:vertAlign w:val="subscript"/>
        </w:rPr>
        <w:t>2</w:t>
      </w:r>
      <w:r>
        <w:rPr/>
        <w:t>O in the Kilauea Iki olivine and 4</w:t>
      </w:r>
      <w:r>
        <w:rPr>
          <w:rFonts w:cs="Calibri" w:cstheme="minorHAnsi"/>
        </w:rPr>
        <w:t>±</w:t>
      </w:r>
      <w:r>
        <w:rPr/>
        <w:t>1 ppm H</w:t>
      </w:r>
      <w:r>
        <w:rPr>
          <w:vertAlign w:val="subscript"/>
        </w:rPr>
        <w:t>2</w:t>
      </w:r>
      <w:r>
        <w:rPr/>
        <w:t xml:space="preserve">O in the San Carlos olivine. These low concentrations are consistent with previous work on San Carlos olivine </w:t>
      </w:r>
      <w:r>
        <w:fldChar w:fldCharType="begin"/>
      </w:r>
      <w:r>
        <w:instrText>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w:instrText>
      </w:r>
      <w:r>
        <w:fldChar w:fldCharType="separate"/>
      </w:r>
      <w:bookmarkStart w:id="30" w:name="__Fieldmark__799_2212690323"/>
      <w:r>
        <w:rPr/>
      </w:r>
      <w:r>
        <w:rPr/>
        <w:t>(Peslier and Luhr 2006; Kurosawa, Yurimoto, and Sueno 1997)</w:t>
      </w:r>
      <w:r>
        <w:rPr/>
      </w:r>
      <w:r>
        <w:fldChar w:fldCharType="end"/>
      </w:r>
      <w:bookmarkEnd w:id="30"/>
      <w:r>
        <w:rPr>
          <w:b/>
        </w:rPr>
        <w:t xml:space="preserve">. </w:t>
      </w:r>
      <w:r>
        <w:rPr/>
        <w:t xml:space="preserve">The hydrogen concentration in the Kilauea Iki sample, for which the low rims had been polished off to prepare the sample as a rectangular parallelepiped, was homogeneous by both SIMS and FTIR. </w:t>
      </w:r>
    </w:p>
    <w:p>
      <w:pPr>
        <w:pStyle w:val="Normal"/>
        <w:rPr/>
      </w:pPr>
      <w:r>
        <w:rPr/>
        <w:t>Several different O-H peaks were observed in the initial materials. The prominent peaks at wavenumbers 3525 and 3573 cm</w:t>
      </w:r>
      <w:r>
        <w:rPr>
          <w:vertAlign w:val="superscript"/>
        </w:rPr>
        <w:t>-1</w:t>
      </w:r>
      <w:r>
        <w:rPr/>
        <w:t xml:space="preserve"> oriented primarily || [100] in both Kilauea Iki and San Carlos olivine correspond to the [Ti] incorporation mechanism, and the high-wavenumber peaks that primarily appear as shoulders on the [Ti] peaks correspond to [Si] </w:t>
      </w:r>
      <w:r>
        <w:fldChar w:fldCharType="begin"/>
      </w:r>
      <w:r>
        <w:instrText>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31" w:name="__Fieldmark__817_2212690323"/>
      <w:r>
        <w:rPr/>
      </w:r>
      <w:r>
        <w:rPr/>
        <w:t>(Berry et al. 2005)</w:t>
      </w:r>
      <w:r>
        <w:rPr/>
      </w:r>
      <w:r>
        <w:fldChar w:fldCharType="end"/>
      </w:r>
      <w:bookmarkEnd w:id="31"/>
      <w:r>
        <w:rPr/>
        <w:t>. A very small peak at 3600 cm</w:t>
      </w:r>
      <w:r>
        <w:rPr>
          <w:vertAlign w:val="superscript"/>
        </w:rPr>
        <w:t>-1</w:t>
      </w:r>
      <w:r>
        <w:rPr/>
        <w:t xml:space="preserve"> present in both samples has been ascribed to [Si] with nearby Fe</w:t>
      </w:r>
      <w:r>
        <w:rPr>
          <w:vertAlign w:val="superscript"/>
        </w:rPr>
        <w:t>2+</w:t>
      </w:r>
      <w:r>
        <w:rPr/>
        <w:t xml:space="preserve"> </w:t>
      </w:r>
      <w:r>
        <w:fldChar w:fldCharType="begin"/>
      </w:r>
      <w:r>
        <w:instrText>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32" w:name="__Fieldmark__826_2212690323"/>
      <w:r>
        <w:rPr/>
      </w:r>
      <w:r>
        <w:rPr/>
        <w:t>(Blanchard et al. 2017)</w:t>
      </w:r>
      <w:r>
        <w:rPr/>
      </w:r>
      <w:r>
        <w:fldChar w:fldCharType="end"/>
      </w:r>
      <w:bookmarkEnd w:id="32"/>
      <w:r>
        <w:rPr/>
        <w:t>. Because of the association with Fe</w:t>
      </w:r>
      <w:r>
        <w:rPr>
          <w:vertAlign w:val="superscript"/>
        </w:rPr>
        <w:t>2+</w:t>
      </w:r>
      <w:r>
        <w:rPr/>
        <w:t>, we label this peak [Si-Fe</w:t>
      </w:r>
      <w:r>
        <w:rPr>
          <w:vertAlign w:val="superscript"/>
        </w:rPr>
        <w:t>2+</w:t>
      </w:r>
      <w:r>
        <w:rPr/>
        <w:t>]. The Kilauea Iki olivine, but not the untreated San Carlos olivine, contains prominent [tri] peaks. These peaks at 3356 and 3329 cm</w:t>
      </w:r>
      <w:r>
        <w:rPr>
          <w:vertAlign w:val="superscript"/>
        </w:rPr>
        <w:t>-1</w:t>
      </w:r>
      <w:r>
        <w:rPr/>
        <w:t xml:space="preserve"> correspond exactly to the peak locations that </w:t>
      </w:r>
      <w:r>
        <w:fldChar w:fldCharType="begin"/>
      </w:r>
      <w:r>
        <w:instrText>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33" w:name="__Fieldmark__843_2212690323"/>
      <w:r>
        <w:rPr/>
      </w:r>
      <w:r>
        <w:rPr/>
        <w:t>Blanchard et al. (2017)</w:t>
      </w:r>
      <w:r>
        <w:rPr/>
      </w:r>
      <w:r>
        <w:fldChar w:fldCharType="end"/>
      </w:r>
      <w:bookmarkEnd w:id="33"/>
      <w:r>
        <w:rPr/>
        <w:t xml:space="preserve"> associate with Fe</w:t>
      </w:r>
      <w:r>
        <w:rPr>
          <w:vertAlign w:val="superscript"/>
        </w:rPr>
        <w:t>3+</w:t>
      </w:r>
      <w:r>
        <w:rPr/>
        <w:t>, and which we therefore designate [tri-Fe</w:t>
      </w:r>
      <w:r>
        <w:rPr>
          <w:vertAlign w:val="superscript"/>
        </w:rPr>
        <w:t>3+</w:t>
      </w:r>
      <w:bookmarkStart w:id="34" w:name="_Ref477258465"/>
      <w:r>
        <w:rPr/>
        <w:t>]. No [Mg] peaks were present initially.</w:t>
      </w:r>
    </w:p>
    <w:p>
      <w:pPr>
        <w:pStyle w:val="Normal"/>
        <w:rPr/>
      </w:pPr>
      <w:r>
        <w:rPr/>
        <w:t xml:space="preserve"> </w:t>
      </w:r>
    </w:p>
    <w:p>
      <w:pPr>
        <w:pStyle w:val="Caption1"/>
        <w:rPr/>
      </w:pPr>
      <w:bookmarkStart w:id="35" w:name="_Ref482181791"/>
      <w:r>
        <w:rPr/>
        <w:t xml:space="preserve">Table </w:t>
      </w:r>
      <w:r>
        <w:rPr/>
        <w:fldChar w:fldCharType="begin"/>
      </w:r>
      <w:r>
        <w:instrText> SEQ Table \* ARABIC </w:instrText>
      </w:r>
      <w:r>
        <w:fldChar w:fldCharType="separate"/>
      </w:r>
      <w:r>
        <w:t>1</w:t>
      </w:r>
      <w:r>
        <w:fldChar w:fldCharType="end"/>
      </w:r>
      <w:bookmarkEnd w:id="34"/>
      <w:bookmarkEnd w:id="35"/>
      <w:r>
        <w:rPr/>
        <w:t>. Water concentration estimates for Kilauea Iki olivine and San Carlos olivine based on polarized FTIR areas (</w:t>
      </w:r>
      <w:r>
        <w:rPr/>
        <w:fldChar w:fldCharType="begin"/>
      </w:r>
      <w:r>
        <w:instrText> REF _Ref490060168 \h </w:instrText>
      </w:r>
      <w:r>
        <w:fldChar w:fldCharType="separate"/>
      </w:r>
      <w:r>
        <w:t>Figure 2</w:t>
      </w:r>
      <w:r>
        <w:fldChar w:fldCharType="end"/>
      </w:r>
      <w:r>
        <w:rPr/>
        <w:t xml:space="preserve"> and </w:t>
      </w:r>
      <w:r>
        <w:rPr/>
        <w:fldChar w:fldCharType="begin"/>
      </w:r>
      <w:r>
        <w:instrText> REF _Ref477446399 \h </w:instrText>
      </w:r>
      <w:r>
        <w:fldChar w:fldCharType="separate"/>
      </w:r>
      <w:r>
        <w:t>Figure 3</w:t>
      </w:r>
      <w:r>
        <w:fldChar w:fldCharType="end"/>
      </w:r>
      <w:r>
        <w:rPr/>
        <w:t>) and SIMS measurements.</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3094"/>
        <w:gridCol w:w="2480"/>
        <w:gridCol w:w="1260"/>
        <w:gridCol w:w="2515"/>
      </w:tblGrid>
      <w:tr>
        <w:trPr/>
        <w:tc>
          <w:tcPr>
            <w:tcW w:w="3094" w:type="dxa"/>
            <w:tcBorders/>
            <w:shd w:fill="auto" w:val="clear"/>
            <w:tcMar>
              <w:left w:w="108" w:type="dxa"/>
            </w:tcMar>
          </w:tcPr>
          <w:p>
            <w:pPr>
              <w:pStyle w:val="Normal"/>
              <w:spacing w:lineRule="auto" w:line="240" w:before="0" w:after="0"/>
              <w:ind w:hanging="0"/>
              <w:rPr/>
            </w:pPr>
            <w:r>
              <w:rPr/>
            </w:r>
          </w:p>
        </w:tc>
        <w:tc>
          <w:tcPr>
            <w:tcW w:w="2480" w:type="dxa"/>
            <w:tcBorders/>
            <w:shd w:fill="auto" w:val="clear"/>
            <w:tcMar>
              <w:left w:w="108" w:type="dxa"/>
            </w:tcMar>
          </w:tcPr>
          <w:p>
            <w:pPr>
              <w:pStyle w:val="Normal"/>
              <w:spacing w:lineRule="auto" w:line="240" w:before="0" w:after="0"/>
              <w:ind w:hanging="0"/>
              <w:rPr/>
            </w:pPr>
            <w:r>
              <w:rPr/>
              <w:t>Kilauea Iki olivine; Kiki</w:t>
            </w:r>
          </w:p>
        </w:tc>
        <w:tc>
          <w:tcPr>
            <w:tcW w:w="3775" w:type="dxa"/>
            <w:gridSpan w:val="2"/>
            <w:tcBorders/>
            <w:shd w:fill="auto" w:val="clear"/>
            <w:tcMar>
              <w:left w:w="108" w:type="dxa"/>
            </w:tcMar>
          </w:tcPr>
          <w:p>
            <w:pPr>
              <w:pStyle w:val="Normal"/>
              <w:spacing w:lineRule="auto" w:line="240" w:before="0" w:after="0"/>
              <w:ind w:hanging="0"/>
              <w:rPr/>
            </w:pPr>
            <w:r>
              <w:rPr/>
              <w:t>San Carlos olivine; sub-samples of SC1</w:t>
            </w:r>
          </w:p>
        </w:tc>
      </w:tr>
      <w:tr>
        <w:trPr/>
        <w:tc>
          <w:tcPr>
            <w:tcW w:w="3094" w:type="dxa"/>
            <w:tcBorders/>
            <w:shd w:fill="auto" w:val="clear"/>
            <w:tcMar>
              <w:left w:w="108" w:type="dxa"/>
            </w:tcMar>
          </w:tcPr>
          <w:p>
            <w:pPr>
              <w:pStyle w:val="Normal"/>
              <w:spacing w:lineRule="auto" w:line="240" w:before="0" w:after="0"/>
              <w:ind w:hanging="0"/>
              <w:rPr/>
            </w:pPr>
            <w:r>
              <w:rPr/>
              <w:t>FTIR area E || [100] (cm</w:t>
            </w:r>
            <w:r>
              <w:rPr>
                <w:vertAlign w:val="superscript"/>
              </w:rPr>
              <w:t>-2</w:t>
            </w:r>
            <w:r>
              <w:rPr/>
              <w:t>)</w:t>
            </w:r>
          </w:p>
        </w:tc>
        <w:tc>
          <w:tcPr>
            <w:tcW w:w="2480" w:type="dxa"/>
            <w:tcBorders/>
            <w:shd w:fill="auto" w:val="clear"/>
            <w:tcMar>
              <w:left w:w="108" w:type="dxa"/>
            </w:tcMar>
          </w:tcPr>
          <w:p>
            <w:pPr>
              <w:pStyle w:val="Normal"/>
              <w:spacing w:lineRule="auto" w:line="240" w:before="0" w:after="0"/>
              <w:ind w:hanging="0"/>
              <w:rPr/>
            </w:pPr>
            <w:r>
              <w:rPr/>
              <w:t>52+/-10</w:t>
            </w:r>
          </w:p>
        </w:tc>
        <w:tc>
          <w:tcPr>
            <w:tcW w:w="1260" w:type="dxa"/>
            <w:tcBorders/>
            <w:shd w:fill="auto" w:val="clear"/>
            <w:tcMar>
              <w:left w:w="108" w:type="dxa"/>
            </w:tcMar>
          </w:tcPr>
          <w:p>
            <w:pPr>
              <w:pStyle w:val="Normal"/>
              <w:spacing w:lineRule="auto" w:line="240" w:before="0" w:after="0"/>
              <w:ind w:hanging="0"/>
              <w:rPr/>
            </w:pPr>
            <w:r>
              <w:rPr/>
              <w:t xml:space="preserve">7+/-5 </w:t>
            </w:r>
          </w:p>
          <w:p>
            <w:pPr>
              <w:pStyle w:val="Normal"/>
              <w:spacing w:lineRule="auto" w:line="240" w:before="0" w:after="0"/>
              <w:ind w:hanging="0"/>
              <w:rPr/>
            </w:pPr>
            <w:r>
              <w:rPr/>
              <w:t xml:space="preserve">55+/-17 </w:t>
            </w:r>
          </w:p>
          <w:p>
            <w:pPr>
              <w:pStyle w:val="Normal"/>
              <w:spacing w:lineRule="auto" w:line="240" w:before="0" w:after="0"/>
              <w:ind w:hanging="0"/>
              <w:rPr/>
            </w:pPr>
            <w:r>
              <w:rPr/>
              <w:t xml:space="preserve">24+/-8 </w:t>
            </w:r>
          </w:p>
          <w:p>
            <w:pPr>
              <w:pStyle w:val="Normal"/>
              <w:spacing w:lineRule="auto" w:line="240" w:before="0" w:after="0"/>
              <w:ind w:hanging="0"/>
              <w:rPr/>
            </w:pPr>
            <w:r>
              <w:rPr/>
              <w:t xml:space="preserve">7+/-6 </w:t>
            </w:r>
          </w:p>
        </w:tc>
        <w:tc>
          <w:tcPr>
            <w:tcW w:w="2515" w:type="dxa"/>
            <w:tcBorders/>
            <w:shd w:fill="auto" w:val="clear"/>
            <w:tcMar>
              <w:left w:w="108" w:type="dxa"/>
            </w:tcMar>
          </w:tcPr>
          <w:p>
            <w:pPr>
              <w:pStyle w:val="Normal"/>
              <w:spacing w:lineRule="auto" w:line="240" w:before="0" w:after="0"/>
              <w:ind w:hanging="0"/>
              <w:rPr/>
            </w:pPr>
            <w:r>
              <w:rPr/>
              <w:t>untreated SC1-1</w:t>
            </w:r>
          </w:p>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p>
            <w:pPr>
              <w:pStyle w:val="Normal"/>
              <w:spacing w:lineRule="auto" w:line="240" w:before="0" w:after="0"/>
              <w:ind w:hanging="0"/>
              <w:rPr/>
            </w:pPr>
            <w:r>
              <w:rPr/>
              <w:t>dehydrated SC1-2</w:t>
            </w:r>
          </w:p>
        </w:tc>
      </w:tr>
      <w:tr>
        <w:trPr/>
        <w:tc>
          <w:tcPr>
            <w:tcW w:w="3094" w:type="dxa"/>
            <w:tcBorders/>
            <w:shd w:fill="auto" w:val="clear"/>
            <w:tcMar>
              <w:left w:w="108" w:type="dxa"/>
            </w:tcMar>
          </w:tcPr>
          <w:p>
            <w:pPr>
              <w:pStyle w:val="Normal"/>
              <w:spacing w:lineRule="auto" w:line="240" w:before="0" w:after="0"/>
              <w:ind w:hanging="0"/>
              <w:rPr/>
            </w:pPr>
            <w:r>
              <w:rPr/>
              <w:t>FTIR area E || [010] (cm</w:t>
            </w:r>
            <w:r>
              <w:rPr>
                <w:vertAlign w:val="superscript"/>
              </w:rPr>
              <w:t>-2</w:t>
            </w:r>
            <w:r>
              <w:rPr/>
              <w:t>)</w:t>
            </w:r>
          </w:p>
        </w:tc>
        <w:tc>
          <w:tcPr>
            <w:tcW w:w="2480" w:type="dxa"/>
            <w:tcBorders/>
            <w:shd w:fill="auto" w:val="clear"/>
            <w:tcMar>
              <w:left w:w="108" w:type="dxa"/>
            </w:tcMar>
          </w:tcPr>
          <w:p>
            <w:pPr>
              <w:pStyle w:val="Normal"/>
              <w:spacing w:lineRule="auto" w:line="240" w:before="0" w:after="0"/>
              <w:ind w:hanging="0"/>
              <w:rPr/>
            </w:pPr>
            <w:r>
              <w:rPr/>
              <w:t>31+/-13</w:t>
            </w:r>
          </w:p>
        </w:tc>
        <w:tc>
          <w:tcPr>
            <w:tcW w:w="1260" w:type="dxa"/>
            <w:tcBorders/>
            <w:shd w:fill="auto" w:val="clear"/>
            <w:tcMar>
              <w:left w:w="108" w:type="dxa"/>
            </w:tcMar>
          </w:tcPr>
          <w:p>
            <w:pPr>
              <w:pStyle w:val="Normal"/>
              <w:spacing w:lineRule="auto" w:line="240" w:before="0" w:after="0"/>
              <w:ind w:hanging="0"/>
              <w:rPr/>
            </w:pPr>
            <w:r>
              <w:rPr/>
              <w:t>8+/-5</w:t>
            </w:r>
          </w:p>
        </w:tc>
        <w:tc>
          <w:tcPr>
            <w:tcW w:w="2515" w:type="dxa"/>
            <w:tcBorders/>
            <w:shd w:fill="auto" w:val="clear"/>
            <w:tcMar>
              <w:left w:w="108" w:type="dxa"/>
            </w:tcMar>
          </w:tcPr>
          <w:p>
            <w:pPr>
              <w:pStyle w:val="Normal"/>
              <w:spacing w:lineRule="auto" w:line="240" w:before="0" w:after="0"/>
              <w:ind w:hanging="0"/>
              <w:rPr/>
            </w:pPr>
            <w:r>
              <w:rPr/>
              <w:t>untreated SC1-1</w:t>
            </w:r>
          </w:p>
        </w:tc>
      </w:tr>
      <w:tr>
        <w:trPr/>
        <w:tc>
          <w:tcPr>
            <w:tcW w:w="3094" w:type="dxa"/>
            <w:tcBorders/>
            <w:shd w:fill="auto" w:val="clear"/>
            <w:tcMar>
              <w:left w:w="108" w:type="dxa"/>
            </w:tcMar>
          </w:tcPr>
          <w:p>
            <w:pPr>
              <w:pStyle w:val="Normal"/>
              <w:spacing w:lineRule="auto" w:line="240" w:before="0" w:after="0"/>
              <w:ind w:hanging="0"/>
              <w:rPr/>
            </w:pPr>
            <w:r>
              <w:rPr/>
              <w:t>FTIR area E || [001] (cm</w:t>
            </w:r>
            <w:r>
              <w:rPr>
                <w:vertAlign w:val="superscript"/>
              </w:rPr>
              <w:t>-2</w:t>
            </w:r>
            <w:r>
              <w:rPr/>
              <w:t>)</w:t>
            </w:r>
          </w:p>
        </w:tc>
        <w:tc>
          <w:tcPr>
            <w:tcW w:w="2480" w:type="dxa"/>
            <w:tcBorders/>
            <w:shd w:fill="auto" w:val="clear"/>
            <w:tcMar>
              <w:left w:w="108" w:type="dxa"/>
            </w:tcMar>
          </w:tcPr>
          <w:p>
            <w:pPr>
              <w:pStyle w:val="Normal"/>
              <w:spacing w:lineRule="auto" w:line="240" w:before="0" w:after="0"/>
              <w:ind w:hanging="0"/>
              <w:rPr/>
            </w:pPr>
            <w:r>
              <w:rPr/>
              <w:t>18+/-9</w:t>
            </w:r>
          </w:p>
        </w:tc>
        <w:tc>
          <w:tcPr>
            <w:tcW w:w="1260" w:type="dxa"/>
            <w:tcBorders/>
            <w:shd w:fill="auto" w:val="clear"/>
            <w:tcMar>
              <w:left w:w="108" w:type="dxa"/>
            </w:tcMar>
          </w:tcPr>
          <w:p>
            <w:pPr>
              <w:pStyle w:val="Normal"/>
              <w:spacing w:lineRule="auto" w:line="240" w:before="0" w:after="0"/>
              <w:ind w:hanging="0"/>
              <w:rPr/>
            </w:pPr>
            <w:r>
              <w:rPr/>
              <w:t>9+/-4</w:t>
            </w:r>
          </w:p>
        </w:tc>
        <w:tc>
          <w:tcPr>
            <w:tcW w:w="2515" w:type="dxa"/>
            <w:tcBorders/>
            <w:shd w:fill="auto" w:val="clear"/>
            <w:tcMar>
              <w:left w:w="108" w:type="dxa"/>
            </w:tcMar>
          </w:tcPr>
          <w:p>
            <w:pPr>
              <w:pStyle w:val="Normal"/>
              <w:spacing w:lineRule="auto" w:line="240" w:before="0" w:after="0"/>
              <w:ind w:hanging="0"/>
              <w:rPr/>
            </w:pPr>
            <w:r>
              <w:rPr/>
              <w:t>untreated SC1-1</w:t>
            </w:r>
          </w:p>
        </w:tc>
      </w:tr>
      <w:tr>
        <w:trPr/>
        <w:tc>
          <w:tcPr>
            <w:tcW w:w="3094" w:type="dxa"/>
            <w:tcBorders/>
            <w:shd w:fill="auto" w:val="clear"/>
            <w:tcMar>
              <w:left w:w="108" w:type="dxa"/>
            </w:tcMar>
          </w:tcPr>
          <w:p>
            <w:pPr>
              <w:pStyle w:val="Normal"/>
              <w:spacing w:lineRule="auto" w:line="240" w:before="0" w:after="0"/>
              <w:ind w:hanging="0"/>
              <w:rPr/>
            </w:pPr>
            <w:r>
              <w:rPr/>
              <w:t>FTIR area summed over 3 directions (cm</w:t>
            </w:r>
            <w:r>
              <w:rPr>
                <w:vertAlign w:val="superscript"/>
              </w:rPr>
              <w:t>-2</w:t>
            </w:r>
            <w:r>
              <w:rPr/>
              <w:t>)</w:t>
            </w:r>
          </w:p>
        </w:tc>
        <w:tc>
          <w:tcPr>
            <w:tcW w:w="2480" w:type="dxa"/>
            <w:tcBorders/>
            <w:shd w:fill="auto" w:val="clear"/>
            <w:tcMar>
              <w:left w:w="108" w:type="dxa"/>
            </w:tcMar>
          </w:tcPr>
          <w:p>
            <w:pPr>
              <w:pStyle w:val="Normal"/>
              <w:spacing w:lineRule="auto" w:line="240" w:before="0" w:after="0"/>
              <w:ind w:hanging="0"/>
              <w:rPr/>
            </w:pPr>
            <w:r>
              <w:rPr/>
              <w:t>101+/-19</w:t>
            </w:r>
          </w:p>
        </w:tc>
        <w:tc>
          <w:tcPr>
            <w:tcW w:w="1260" w:type="dxa"/>
            <w:tcBorders/>
            <w:shd w:fill="auto" w:val="clear"/>
            <w:tcMar>
              <w:left w:w="108" w:type="dxa"/>
            </w:tcMar>
          </w:tcPr>
          <w:p>
            <w:pPr>
              <w:pStyle w:val="Normal"/>
              <w:spacing w:lineRule="auto" w:line="240" w:before="0" w:after="0"/>
              <w:ind w:hanging="0"/>
              <w:rPr/>
            </w:pPr>
            <w:r>
              <w:rPr/>
              <w:t>24+/-8</w:t>
            </w:r>
          </w:p>
        </w:tc>
        <w:tc>
          <w:tcPr>
            <w:tcW w:w="2515" w:type="dxa"/>
            <w:tcBorders/>
            <w:shd w:fill="auto" w:val="clear"/>
            <w:tcMar>
              <w:left w:w="108" w:type="dxa"/>
            </w:tcMar>
          </w:tcPr>
          <w:p>
            <w:pPr>
              <w:pStyle w:val="Normal"/>
              <w:spacing w:lineRule="auto" w:line="240" w:before="0" w:after="0"/>
              <w:ind w:hanging="0"/>
              <w:rPr/>
            </w:pPr>
            <w:r>
              <w:rPr/>
              <w:t>untreated SC1-1</w:t>
            </w:r>
          </w:p>
        </w:tc>
      </w:tr>
      <w:tr>
        <w:trPr/>
        <w:tc>
          <w:tcPr>
            <w:tcW w:w="3094" w:type="dxa"/>
            <w:tcBorders/>
            <w:shd w:fill="auto" w:val="clear"/>
            <w:tcMar>
              <w:left w:w="108" w:type="dxa"/>
            </w:tcMar>
          </w:tcPr>
          <w:p>
            <w:pPr>
              <w:pStyle w:val="Normal"/>
              <w:spacing w:lineRule="auto" w:line="240" w:before="0" w:after="0"/>
              <w:ind w:hanging="0"/>
              <w:rPr/>
            </w:pPr>
            <w:r>
              <w:rPr/>
              <w:t>Water, Bell calibration (ppm H</w:t>
            </w:r>
            <w:r>
              <w:rPr>
                <w:vertAlign w:val="subscript"/>
              </w:rPr>
              <w:t>2</w:t>
            </w:r>
            <w:r>
              <w:rPr/>
              <w:t>O)</w:t>
            </w:r>
          </w:p>
        </w:tc>
        <w:tc>
          <w:tcPr>
            <w:tcW w:w="2480" w:type="dxa"/>
            <w:tcBorders/>
            <w:shd w:fill="auto" w:val="clear"/>
            <w:tcMar>
              <w:left w:w="108" w:type="dxa"/>
            </w:tcMar>
          </w:tcPr>
          <w:p>
            <w:pPr>
              <w:pStyle w:val="Normal"/>
              <w:spacing w:lineRule="auto" w:line="240" w:before="0" w:after="0"/>
              <w:ind w:hanging="0"/>
              <w:rPr/>
            </w:pPr>
            <w:r>
              <w:rPr/>
              <w:t>19+/-4</w:t>
            </w:r>
          </w:p>
        </w:tc>
        <w:tc>
          <w:tcPr>
            <w:tcW w:w="1260" w:type="dxa"/>
            <w:tcBorders/>
            <w:shd w:fill="auto" w:val="clear"/>
            <w:tcMar>
              <w:left w:w="108" w:type="dxa"/>
            </w:tcMar>
          </w:tcPr>
          <w:p>
            <w:pPr>
              <w:pStyle w:val="Normal"/>
              <w:spacing w:lineRule="auto" w:line="240" w:before="0" w:after="0"/>
              <w:ind w:hanging="0"/>
              <w:rPr/>
            </w:pPr>
            <w:r>
              <w:rPr/>
              <w:t>4.5+/-1.5</w:t>
            </w:r>
          </w:p>
        </w:tc>
        <w:tc>
          <w:tcPr>
            <w:tcW w:w="2515" w:type="dxa"/>
            <w:tcBorders/>
            <w:shd w:fill="auto" w:val="clear"/>
            <w:tcMar>
              <w:left w:w="108"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4" w:type="dxa"/>
            <w:tcBorders/>
            <w:shd w:fill="auto" w:val="clear"/>
            <w:tcMar>
              <w:left w:w="108" w:type="dxa"/>
            </w:tcMar>
          </w:tcPr>
          <w:p>
            <w:pPr>
              <w:pStyle w:val="Normal"/>
              <w:spacing w:lineRule="auto" w:line="240" w:before="0" w:after="0"/>
              <w:ind w:hanging="0"/>
              <w:rPr/>
            </w:pPr>
            <w:r>
              <w:rPr/>
              <w:t>Water, Withers calibration (ppm H</w:t>
            </w:r>
            <w:r>
              <w:rPr>
                <w:vertAlign w:val="subscript"/>
              </w:rPr>
              <w:t>2</w:t>
            </w:r>
            <w:r>
              <w:rPr/>
              <w:t>O)</w:t>
            </w:r>
          </w:p>
        </w:tc>
        <w:tc>
          <w:tcPr>
            <w:tcW w:w="2480" w:type="dxa"/>
            <w:tcBorders/>
            <w:shd w:fill="auto" w:val="clear"/>
            <w:tcMar>
              <w:left w:w="108" w:type="dxa"/>
            </w:tcMar>
          </w:tcPr>
          <w:p>
            <w:pPr>
              <w:pStyle w:val="Normal"/>
              <w:spacing w:lineRule="auto" w:line="240" w:before="0" w:after="0"/>
              <w:ind w:hanging="0"/>
              <w:rPr/>
            </w:pPr>
            <w:r>
              <w:rPr/>
              <w:t>12+/-2</w:t>
            </w:r>
          </w:p>
        </w:tc>
        <w:tc>
          <w:tcPr>
            <w:tcW w:w="1260" w:type="dxa"/>
            <w:tcBorders/>
            <w:shd w:fill="auto" w:val="clear"/>
            <w:tcMar>
              <w:left w:w="108" w:type="dxa"/>
            </w:tcMar>
          </w:tcPr>
          <w:p>
            <w:pPr>
              <w:pStyle w:val="Normal"/>
              <w:spacing w:lineRule="auto" w:line="240" w:before="0" w:after="0"/>
              <w:ind w:hanging="0"/>
              <w:rPr/>
            </w:pPr>
            <w:r>
              <w:rPr/>
              <w:t>3+/-1</w:t>
            </w:r>
          </w:p>
        </w:tc>
        <w:tc>
          <w:tcPr>
            <w:tcW w:w="2515" w:type="dxa"/>
            <w:tcBorders/>
            <w:shd w:fill="auto" w:val="clear"/>
            <w:tcMar>
              <w:left w:w="108"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4" w:type="dxa"/>
            <w:tcBorders/>
            <w:shd w:fill="auto" w:val="clear"/>
            <w:tcMar>
              <w:left w:w="108" w:type="dxa"/>
            </w:tcMar>
          </w:tcPr>
          <w:p>
            <w:pPr>
              <w:pStyle w:val="Normal"/>
              <w:spacing w:lineRule="auto" w:line="240" w:before="0" w:after="0"/>
              <w:ind w:hanging="0"/>
              <w:rPr/>
            </w:pPr>
            <w:r>
              <w:rPr/>
              <w:t>Water, SIMS (ppm H</w:t>
            </w:r>
            <w:r>
              <w:rPr>
                <w:vertAlign w:val="subscript"/>
              </w:rPr>
              <w:t>2</w:t>
            </w:r>
            <w:r>
              <w:rPr/>
              <w:t>O)</w:t>
            </w:r>
          </w:p>
        </w:tc>
        <w:tc>
          <w:tcPr>
            <w:tcW w:w="2480" w:type="dxa"/>
            <w:tcBorders/>
            <w:shd w:fill="auto" w:val="clear"/>
            <w:tcMar>
              <w:left w:w="108" w:type="dxa"/>
            </w:tcMar>
          </w:tcPr>
          <w:p>
            <w:pPr>
              <w:pStyle w:val="Normal"/>
              <w:spacing w:lineRule="auto" w:line="240" w:before="0" w:after="0"/>
              <w:ind w:hanging="0"/>
              <w:rPr/>
            </w:pPr>
            <w:r>
              <w:rPr/>
              <w:t>14+/-1</w:t>
            </w:r>
          </w:p>
        </w:tc>
        <w:tc>
          <w:tcPr>
            <w:tcW w:w="1260" w:type="dxa"/>
            <w:tcBorders/>
            <w:shd w:fill="auto" w:val="clear"/>
            <w:tcMar>
              <w:left w:w="108" w:type="dxa"/>
            </w:tcMar>
          </w:tcPr>
          <w:p>
            <w:pPr>
              <w:pStyle w:val="Normal"/>
              <w:spacing w:lineRule="auto" w:line="240" w:before="0" w:after="0"/>
              <w:ind w:hanging="0"/>
              <w:rPr/>
            </w:pPr>
            <w:r>
              <w:rPr/>
              <w:t>5+/1</w:t>
            </w:r>
          </w:p>
        </w:tc>
        <w:tc>
          <w:tcPr>
            <w:tcW w:w="2515" w:type="dxa"/>
            <w:tcBorders/>
            <w:shd w:fill="auto" w:val="clear"/>
            <w:tcMar>
              <w:left w:w="108" w:type="dxa"/>
            </w:tcMar>
          </w:tcPr>
          <w:p>
            <w:pPr>
              <w:pStyle w:val="Normal"/>
              <w:spacing w:lineRule="auto" w:line="240" w:before="0" w:after="0"/>
              <w:ind w:hanging="0"/>
              <w:rPr/>
            </w:pPr>
            <w:r>
              <w:rPr/>
              <w:t>dehydrated SC1-2</w:t>
            </w:r>
          </w:p>
        </w:tc>
      </w:tr>
      <w:tr>
        <w:trPr/>
        <w:tc>
          <w:tcPr>
            <w:tcW w:w="3094" w:type="dxa"/>
            <w:tcBorders/>
            <w:shd w:fill="auto" w:val="clear"/>
            <w:tcMar>
              <w:left w:w="108" w:type="dxa"/>
            </w:tcMar>
          </w:tcPr>
          <w:p>
            <w:pPr>
              <w:pStyle w:val="Normal"/>
              <w:spacing w:lineRule="auto" w:line="240" w:before="0" w:after="0"/>
              <w:ind w:hanging="0"/>
              <w:rPr/>
            </w:pPr>
            <w:r>
              <w:rPr/>
              <w:t>Average initial water (ppm H</w:t>
            </w:r>
            <w:r>
              <w:rPr>
                <w:vertAlign w:val="subscript"/>
              </w:rPr>
              <w:t>2</w:t>
            </w:r>
            <w:r>
              <w:rPr/>
              <w:t>O)</w:t>
            </w:r>
          </w:p>
        </w:tc>
        <w:tc>
          <w:tcPr>
            <w:tcW w:w="2480" w:type="dxa"/>
            <w:tcBorders/>
            <w:shd w:fill="auto" w:val="clear"/>
            <w:tcMar>
              <w:left w:w="108" w:type="dxa"/>
            </w:tcMar>
          </w:tcPr>
          <w:p>
            <w:pPr>
              <w:pStyle w:val="Normal"/>
              <w:spacing w:lineRule="auto" w:line="240" w:before="0" w:after="0"/>
              <w:ind w:hanging="0"/>
              <w:rPr/>
            </w:pPr>
            <w:r>
              <w:rPr/>
              <w:t>15+/-2</w:t>
            </w:r>
          </w:p>
        </w:tc>
        <w:tc>
          <w:tcPr>
            <w:tcW w:w="1260" w:type="dxa"/>
            <w:tcBorders/>
            <w:shd w:fill="auto" w:val="clear"/>
            <w:tcMar>
              <w:left w:w="108" w:type="dxa"/>
            </w:tcMar>
          </w:tcPr>
          <w:p>
            <w:pPr>
              <w:pStyle w:val="Normal"/>
              <w:spacing w:lineRule="auto" w:line="240" w:before="0" w:after="0"/>
              <w:ind w:hanging="0"/>
              <w:rPr/>
            </w:pPr>
            <w:r>
              <w:rPr/>
              <w:t>4+/-1</w:t>
            </w:r>
          </w:p>
        </w:tc>
        <w:tc>
          <w:tcPr>
            <w:tcW w:w="2515" w:type="dxa"/>
            <w:tcBorders/>
            <w:shd w:fill="auto" w:val="clear"/>
            <w:tcMar>
              <w:left w:w="108" w:type="dxa"/>
            </w:tcMar>
          </w:tcPr>
          <w:p>
            <w:pPr>
              <w:pStyle w:val="Normal"/>
              <w:spacing w:lineRule="auto" w:line="240" w:before="0" w:after="0"/>
              <w:ind w:hanging="0"/>
              <w:rPr/>
            </w:pPr>
            <w:r>
              <w:rPr/>
              <w:t>SC1</w:t>
            </w:r>
          </w:p>
        </w:tc>
      </w:tr>
      <w:tr>
        <w:trPr/>
        <w:tc>
          <w:tcPr>
            <w:tcW w:w="3094" w:type="dxa"/>
            <w:tcBorders/>
            <w:shd w:fill="auto" w:val="clear"/>
            <w:tcMar>
              <w:left w:w="108" w:type="dxa"/>
            </w:tcMar>
          </w:tcPr>
          <w:p>
            <w:pPr>
              <w:pStyle w:val="Normal"/>
              <w:spacing w:lineRule="auto" w:line="240" w:before="0" w:after="0"/>
              <w:ind w:hanging="0"/>
              <w:rPr/>
            </w:pPr>
            <w:r>
              <w:rPr/>
              <w:t>Ratio of water in ppm H</w:t>
            </w:r>
            <w:r>
              <w:rPr>
                <w:vertAlign w:val="subscript"/>
              </w:rPr>
              <w:t>2</w:t>
            </w:r>
            <w:r>
              <w:rPr/>
              <w:t>O to area in cm</w:t>
            </w:r>
            <w:r>
              <w:rPr>
                <w:vertAlign w:val="superscript"/>
              </w:rPr>
              <w:t>-2</w:t>
            </w:r>
            <w:r>
              <w:rPr/>
              <w:t xml:space="preserve"> with E || [100]</w:t>
            </w:r>
          </w:p>
        </w:tc>
        <w:tc>
          <w:tcPr>
            <w:tcW w:w="2480" w:type="dxa"/>
            <w:tcBorders/>
            <w:shd w:fill="auto" w:val="clear"/>
            <w:tcMar>
              <w:left w:w="108" w:type="dxa"/>
            </w:tcMar>
          </w:tcPr>
          <w:p>
            <w:pPr>
              <w:pStyle w:val="Normal"/>
              <w:spacing w:lineRule="auto" w:line="240" w:before="0" w:after="0"/>
              <w:ind w:hanging="0"/>
              <w:rPr/>
            </w:pPr>
            <w:r>
              <w:rPr/>
              <w:t>0.3</w:t>
            </w:r>
          </w:p>
        </w:tc>
        <w:tc>
          <w:tcPr>
            <w:tcW w:w="1260" w:type="dxa"/>
            <w:tcBorders/>
            <w:shd w:fill="auto" w:val="clear"/>
            <w:tcMar>
              <w:left w:w="108" w:type="dxa"/>
            </w:tcMar>
          </w:tcPr>
          <w:p>
            <w:pPr>
              <w:pStyle w:val="Normal"/>
              <w:spacing w:lineRule="auto" w:line="240" w:before="0" w:after="0"/>
              <w:ind w:hanging="0"/>
              <w:rPr/>
            </w:pPr>
            <w:r>
              <w:rPr/>
              <w:t>0.6</w:t>
            </w:r>
          </w:p>
        </w:tc>
        <w:tc>
          <w:tcPr>
            <w:tcW w:w="2515" w:type="dxa"/>
            <w:tcBorders/>
            <w:shd w:fill="auto" w:val="clear"/>
            <w:tcMar>
              <w:left w:w="108" w:type="dxa"/>
            </w:tcMar>
          </w:tcPr>
          <w:p>
            <w:pPr>
              <w:pStyle w:val="Normal"/>
              <w:spacing w:lineRule="auto" w:line="240" w:before="0" w:after="0"/>
              <w:ind w:hanging="0"/>
              <w:rPr/>
            </w:pPr>
            <w:r>
              <w:rPr/>
              <w:t>SC1-1</w:t>
            </w:r>
          </w:p>
        </w:tc>
      </w:tr>
      <w:tr>
        <w:trPr/>
        <w:tc>
          <w:tcPr>
            <w:tcW w:w="3094" w:type="dxa"/>
            <w:tcBorders/>
            <w:shd w:fill="auto" w:val="clear"/>
            <w:tcMar>
              <w:left w:w="108" w:type="dxa"/>
            </w:tcMar>
          </w:tcPr>
          <w:p>
            <w:pPr>
              <w:pStyle w:val="Normal"/>
              <w:spacing w:lineRule="auto" w:line="240" w:before="0" w:after="0"/>
              <w:ind w:hanging="0"/>
              <w:rPr/>
            </w:pPr>
            <w:r>
              <w:rPr/>
              <w:t>Average water (ppm H</w:t>
            </w:r>
            <w:r>
              <w:rPr>
                <w:vertAlign w:val="subscript"/>
              </w:rPr>
              <w:t>2</w:t>
            </w:r>
            <w:r>
              <w:rPr/>
              <w:t>O) after piston cylinder experiment</w:t>
            </w:r>
          </w:p>
        </w:tc>
        <w:tc>
          <w:tcPr>
            <w:tcW w:w="2480" w:type="dxa"/>
            <w:tcBorders/>
            <w:shd w:fill="auto" w:val="clear"/>
            <w:tcMar>
              <w:left w:w="108" w:type="dxa"/>
            </w:tcMar>
          </w:tcPr>
          <w:p>
            <w:pPr>
              <w:pStyle w:val="Normal"/>
              <w:spacing w:lineRule="auto" w:line="240" w:before="0" w:after="0"/>
              <w:ind w:hanging="0"/>
              <w:rPr/>
            </w:pPr>
            <w:r>
              <w:rPr/>
              <w:t>Not treated with pressure</w:t>
            </w:r>
          </w:p>
        </w:tc>
        <w:tc>
          <w:tcPr>
            <w:tcW w:w="1260" w:type="dxa"/>
            <w:tcBorders/>
            <w:shd w:fill="auto" w:val="clear"/>
            <w:tcMar>
              <w:left w:w="108" w:type="dxa"/>
            </w:tcMar>
          </w:tcPr>
          <w:p>
            <w:pPr>
              <w:pStyle w:val="Normal"/>
              <w:spacing w:lineRule="auto" w:line="240" w:before="0" w:after="0"/>
              <w:ind w:hanging="0"/>
              <w:rPr/>
            </w:pPr>
            <w:r>
              <w:rPr/>
              <w:t xml:space="preserve">32+/-23 </w:t>
            </w:r>
          </w:p>
          <w:p>
            <w:pPr>
              <w:pStyle w:val="Normal"/>
              <w:spacing w:lineRule="auto" w:line="240" w:before="0" w:after="0"/>
              <w:ind w:hanging="0"/>
              <w:rPr/>
            </w:pPr>
            <w:r>
              <w:rPr/>
              <w:t xml:space="preserve">14+/-10 </w:t>
            </w:r>
          </w:p>
        </w:tc>
        <w:tc>
          <w:tcPr>
            <w:tcW w:w="2515" w:type="dxa"/>
            <w:tcBorders/>
            <w:shd w:fill="auto" w:val="clear"/>
            <w:tcMar>
              <w:left w:w="108" w:type="dxa"/>
            </w:tcMar>
          </w:tcPr>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tc>
      </w:tr>
    </w:tbl>
    <w:p>
      <w:pPr>
        <w:pStyle w:val="Heading2"/>
        <w:rPr/>
      </w:pPr>
      <w:r>
        <w:rPr/>
        <w:t>Hydration</w:t>
      </w:r>
    </w:p>
    <w:p>
      <w:pPr>
        <w:pStyle w:val="Caption1"/>
        <w:ind w:firstLine="432"/>
        <w:rPr/>
      </w:pPr>
      <w:r>
        <w:rPr/>
        <w:t>Changes in FTIR absorbance indicate that hydrogen was successfully incorporated into San Carlos olivine samples SC1-7 and SC1-2 (</w:t>
      </w:r>
      <w:r>
        <w:rPr/>
        <w:fldChar w:fldCharType="begin"/>
      </w:r>
      <w:r>
        <w:instrText> REF _Ref477446399 \h </w:instrText>
      </w:r>
      <w:r>
        <w:fldChar w:fldCharType="separate"/>
      </w:r>
      <w:r>
        <w:t>Figure 3</w:t>
      </w:r>
      <w:r>
        <w:fldChar w:fldCharType="end"/>
      </w:r>
      <w:r>
        <w:rPr/>
        <w:t xml:space="preserve">A). To construct hydrogen profiles, quadratic baselines were drawn to match both the curve of the spectrum of the untreated sample and the middle baselines used to determine the initial water concentration in </w:t>
      </w:r>
      <w:r>
        <w:rPr/>
        <w:fldChar w:fldCharType="begin"/>
      </w:r>
      <w:r>
        <w:instrText> REF _Ref490060168 \h </w:instrText>
      </w:r>
      <w:r>
        <w:fldChar w:fldCharType="separate"/>
      </w:r>
      <w:r>
        <w:t>Figure 2</w:t>
      </w:r>
      <w:r>
        <w:fldChar w:fldCharType="end"/>
      </w:r>
      <w:r>
        <w:rPr/>
        <w:t xml:space="preserve">. Typical baselines are illustrated in </w:t>
      </w:r>
      <w:r>
        <w:rPr/>
        <w:fldChar w:fldCharType="begin"/>
      </w:r>
      <w:r>
        <w:instrText> REF _Ref477446399 \h </w:instrText>
      </w:r>
      <w:r>
        <w:fldChar w:fldCharType="separate"/>
      </w:r>
      <w:r>
        <w:t>Figure 3</w:t>
      </w:r>
      <w:r>
        <w:fldChar w:fldCharType="end"/>
      </w:r>
      <w:r>
        <w:rPr/>
        <w:t xml:space="preserve">B and C, and all spectra and baselines are shown in the supplement. The area under each curve was determined and scaled to an estimated H concentration by multiplying by 0.6, following the ratio of concentration to area with E || [100] reported for San Carlos olivine in </w:t>
      </w:r>
      <w:r>
        <w:rPr/>
        <w:fldChar w:fldCharType="begin"/>
      </w:r>
      <w:r>
        <w:instrText> REF _Ref482181791 \h </w:instrText>
      </w:r>
      <w:r>
        <w:fldChar w:fldCharType="separate"/>
      </w:r>
      <w:r>
        <w:t>Table 1</w:t>
      </w:r>
      <w:r>
        <w:fldChar w:fldCharType="end"/>
      </w:r>
      <w:r>
        <w:rPr/>
        <w:t>.</w:t>
      </w:r>
    </w:p>
    <w:p>
      <w:pPr>
        <w:pStyle w:val="Normal"/>
        <w:rPr/>
      </w:pPr>
      <w:r>
        <w:rPr>
          <w:rFonts w:cs="Calibri" w:cstheme="minorHAnsi"/>
        </w:rPr>
        <w:t>The partially hydrated sample SC1-2 was sufficiently homogeneous for both bulk H and individual peaks to serve as a reasonable starting material for subsequent dehydration experiments (</w:t>
      </w:r>
      <w:r>
        <w:rPr>
          <w:rFonts w:cs="Calibri" w:cstheme="minorHAnsi"/>
        </w:rPr>
        <w:fldChar w:fldCharType="begin"/>
      </w:r>
      <w:r>
        <w:instrText> REF _Ref481414335 \h </w:instrText>
      </w:r>
      <w:r>
        <w:fldChar w:fldCharType="separate"/>
      </w:r>
      <w:r>
        <w:t>Figure 4</w:t>
      </w:r>
      <w:r>
        <w:fldChar w:fldCharType="end"/>
      </w:r>
      <w:r>
        <w:rPr>
          <w:rFonts w:cs="Calibri" w:cstheme="minorHAnsi"/>
        </w:rPr>
        <w:t xml:space="preserve">). If we ignore the uncertainties associated with baseline choice and use only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C, the water concentration across hydrated SC1-2 is 15±1 ppm H</w:t>
      </w:r>
      <w:r>
        <w:rPr>
          <w:rFonts w:cs="Calibri" w:cstheme="minorHAnsi"/>
          <w:vertAlign w:val="subscript"/>
        </w:rPr>
        <w:t>2</w:t>
      </w:r>
      <w:r>
        <w:rPr>
          <w:rFonts w:cs="Calibri" w:cstheme="minorHAnsi"/>
        </w:rPr>
        <w:t>O. Although there is a small increase in area around the [tri] peaks, the large majority of the hydrogen in the hydrated SC1-2 is incorporated as [Ti] and [Si], and these profiles are also homogeneous.</w:t>
      </w:r>
    </w:p>
    <w:p>
      <w:pPr>
        <w:pStyle w:val="Normal"/>
        <w:rPr/>
      </w:pPr>
      <w:r>
        <w:rPr>
          <w:rFonts w:cs="Calibri" w:cstheme="minorHAnsi"/>
        </w:rPr>
        <w:t>In contrast, hydrogen zonation in SC1-7 is clearly observed, with water concentrations of 38±7 ppm H</w:t>
      </w:r>
      <w:r>
        <w:rPr>
          <w:rFonts w:cs="Calibri" w:cstheme="minorHAnsi"/>
          <w:vertAlign w:val="subscript"/>
        </w:rPr>
        <w:t>2</w:t>
      </w:r>
      <w:r>
        <w:rPr>
          <w:rFonts w:cs="Calibri" w:cstheme="minorHAnsi"/>
        </w:rPr>
        <w:t xml:space="preserve">O using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 xml:space="preserve">B. The variations in concentration are most apparent || [001], consistent with previously work showing [001] is the fast direction during proton-vacancy mechanism diffusion </w:t>
      </w:r>
      <w:r>
        <w:fldChar w:fldCharType="begin"/>
      </w:r>
      <w:r>
        <w:instrText>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36" w:name="__Fieldmark__1156_2212690323"/>
      <w:r>
        <w:rPr>
          <w:rFonts w:cs="Calibri" w:cstheme="minorHAnsi"/>
        </w:rPr>
      </w:r>
      <w:r>
        <w:rPr>
          <w:rFonts w:cs="Calibri" w:cstheme="minorHAnsi"/>
        </w:rPr>
        <w:t>(Kohlstedt and Mackwell 1998; Demouchy and Mackwell 2006)</w:t>
      </w:r>
      <w:r>
        <w:rPr>
          <w:rFonts w:cs="Calibri" w:cstheme="minorHAnsi"/>
        </w:rPr>
      </w:r>
      <w:r>
        <w:fldChar w:fldCharType="end"/>
      </w:r>
      <w:bookmarkEnd w:id="36"/>
      <w:r>
        <w:rPr>
          <w:rFonts w:cs="Calibri" w:cstheme="minorHAnsi"/>
        </w:rPr>
        <w:t xml:space="preserve">. </w:t>
      </w:r>
    </w:p>
    <w:p>
      <w:pPr>
        <w:pStyle w:val="Normal"/>
        <w:rPr/>
      </w:pPr>
      <w:r>
        <w:rPr>
          <w:rFonts w:cs="Calibri" w:cstheme="minorHAnsi"/>
        </w:rPr>
        <w:t>Quantifying the diffusivities in SC1-7 requires major assumptions about both the solubility and metastable equilibrium concentrations. Here we assume a metastable equilibrium concentration of 15±1 ppm H</w:t>
      </w:r>
      <w:r>
        <w:rPr>
          <w:rFonts w:cs="Calibri" w:cstheme="minorHAnsi"/>
          <w:vertAlign w:val="subscript"/>
        </w:rPr>
        <w:t>2</w:t>
      </w:r>
      <w:r>
        <w:rPr>
          <w:rFonts w:cs="Calibri" w:cstheme="minorHAnsi"/>
        </w:rPr>
        <w:t>O, the observed concentration in SC1-2 after hydrating to saturate the pp mechanism. This value is much higher than the 0.4 ppm H</w:t>
      </w:r>
      <w:r>
        <w:rPr>
          <w:rFonts w:cs="Calibri" w:cstheme="minorHAnsi"/>
          <w:vertAlign w:val="subscript"/>
        </w:rPr>
        <w:t>2</w:t>
      </w:r>
      <w:r>
        <w:rPr>
          <w:rFonts w:cs="Calibri" w:cstheme="minorHAnsi"/>
        </w:rPr>
        <w:t>O (7 H/10</w:t>
      </w:r>
      <w:r>
        <w:rPr>
          <w:rFonts w:cs="Calibri" w:cstheme="minorHAnsi"/>
          <w:vertAlign w:val="superscript"/>
        </w:rPr>
        <w:t>6</w:t>
      </w:r>
      <w:r>
        <w:rPr>
          <w:rFonts w:cs="Calibri" w:cstheme="minorHAnsi"/>
        </w:rPr>
        <w:t xml:space="preserve">Si) reported by </w:t>
      </w:r>
      <w:r>
        <w:fldChar w:fldCharType="begin"/>
      </w:r>
      <w:r>
        <w:instrText>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37" w:name="__Fieldmark__1189_2212690323"/>
      <w:r>
        <w:rPr>
          <w:rFonts w:cs="Calibri" w:cstheme="minorHAnsi"/>
        </w:rPr>
      </w:r>
      <w:r>
        <w:rPr>
          <w:rFonts w:cs="Calibri" w:cstheme="minorHAnsi"/>
        </w:rPr>
        <w:t>Kohlstedt and Mackwell (1998)</w:t>
      </w:r>
      <w:r>
        <w:rPr>
          <w:rFonts w:cs="Calibri" w:cstheme="minorHAnsi"/>
        </w:rPr>
      </w:r>
      <w:r>
        <w:fldChar w:fldCharType="end"/>
      </w:r>
      <w:bookmarkEnd w:id="37"/>
      <w:r>
        <w:rPr>
          <w:rFonts w:cs="Calibri" w:cstheme="minorHAnsi"/>
        </w:rPr>
        <w:t>, possibly because of differences in the calibrations used to determine H concentrations from FTIR spectra in the two studies. The accepted values for the pv mechanism (</w:t>
      </w:r>
      <w:r>
        <w:rPr>
          <w:rFonts w:cs="Calibri" w:cstheme="minorHAnsi"/>
        </w:rPr>
        <w:fldChar w:fldCharType="begin"/>
      </w:r>
      <w:r>
        <w:instrText> REF _Ref490059122 \h </w:instrText>
      </w:r>
      <w:r>
        <w:fldChar w:fldCharType="separate"/>
      </w:r>
      <w:r>
        <w:t>Table 2</w:t>
      </w:r>
      <w:r>
        <w:fldChar w:fldCharType="end"/>
      </w:r>
      <w:r>
        <w:rPr>
          <w:rFonts w:cs="Calibri" w:cstheme="minorHAnsi"/>
        </w:rPr>
        <w:t>) fit our data reasonably well if we assume a final solubility of 150 ppm H</w:t>
      </w:r>
      <w:r>
        <w:rPr>
          <w:rFonts w:cs="Calibri" w:cstheme="minorHAnsi"/>
          <w:vertAlign w:val="subscript"/>
        </w:rPr>
        <w:t>2</w:t>
      </w:r>
      <w:r>
        <w:rPr>
          <w:rFonts w:cs="Calibri" w:cstheme="minorHAnsi"/>
        </w:rPr>
        <w:t xml:space="preserve">O, which is possible, particularly given the still large uncertainties on the solubility of H in olivine </w:t>
      </w:r>
      <w:r>
        <w:fldChar w:fldCharType="begin"/>
      </w:r>
      <w:r>
        <w:instrText>ADDIN ZOTERO_ITEM CSL_CITATION {"citationID":"lU2dr3vj","properties":{"formattedCitation":"(Tollan et al. 2017:20; Zhao, Ginsberg, and Kohstedt 2004; Mosenfelder et al. 2006)","plainCitation":"(Tollan et al. 2017:20; Zhao, Ginsberg, and Kohstedt 2004; Mosenfelder et al. 2006)"},"citationItems":[{"id":2949,"uris":["http://zotero.org/users/3117169/items/A8P7HQIN"],"uri":["http://zotero.org/users/3117169/items/A8P7HQIN"],"itemData":{"id":2949,"type":"article-journal","title":"The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∝\n                      \n                        a\n                        \n                          \n                            H\n                            2\n                          \n                          O\n                        \n                      \n                    \n                  \n                  $$ {C}_{{\\mathrm{H}}_2\\mathrm{O}}\\propto {a}_{{\\mathrm{H}}_2\\mathrm{O}} $$\n                 and a 1:1 relationship of molar H2O and TiO2 in these experiments. Sc-doped, enstatite-buffered experiments display a main absorption band at 3355 cm−1 with \n                  \n                    \n                  \n                  \n                    \n                      \n                        C\n                        \n                          \n                            H\n                            2\n                          \n                          O\n                        \n                      \n                      ∝\n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locator":"20"},{"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w:instrText>
      </w:r>
      <w:r>
        <w:fldChar w:fldCharType="separate"/>
      </w:r>
      <w:bookmarkStart w:id="38" w:name="__Fieldmark__1212_2212690323"/>
      <w:r>
        <w:rPr>
          <w:rFonts w:cs="Calibri" w:cstheme="minorHAnsi"/>
        </w:rPr>
      </w:r>
      <w:r>
        <w:rPr>
          <w:rFonts w:cs="Calibri" w:cstheme="minorHAnsi"/>
        </w:rPr>
        <w:t>(Tollan et al. 2017:20; Zhao, Ginsberg, and Kohstedt 2004; Mosenfelder et al. 2006)</w:t>
      </w:r>
      <w:r>
        <w:rPr>
          <w:rFonts w:cs="Calibri" w:cstheme="minorHAnsi"/>
        </w:rPr>
      </w:r>
      <w:r>
        <w:fldChar w:fldCharType="end"/>
      </w:r>
      <w:bookmarkEnd w:id="38"/>
      <w:r>
        <w:rPr>
          <w:rFonts w:cs="Calibri" w:cstheme="minorHAnsi"/>
        </w:rPr>
        <w:t xml:space="preserve">. </w:t>
      </w:r>
      <w:r>
        <w:rPr>
          <w:rFonts w:cs="Calibri" w:cstheme="minorHAnsi"/>
        </w:rPr>
        <w:fldChar w:fldCharType="begin"/>
      </w:r>
      <w:r>
        <w:instrText> REF _Ref481414335 \h </w:instrText>
      </w:r>
      <w:r>
        <w:fldChar w:fldCharType="separate"/>
      </w:r>
      <w:r>
        <w:t>Figure 4</w:t>
      </w:r>
      <w:r>
        <w:fldChar w:fldCharType="end"/>
      </w:r>
      <w:r>
        <w:rPr>
          <w:rFonts w:cs="Calibri" w:cstheme="minorHAnsi"/>
        </w:rPr>
        <w:t xml:space="preserve"> shows a fit to our whole-block SC1-7 data that assumes a final concentration equal to the maximum observed concentration of 58 ppm H</w:t>
      </w:r>
      <w:r>
        <w:rPr>
          <w:rFonts w:cs="Calibri" w:cstheme="minorHAnsi"/>
          <w:vertAlign w:val="subscript"/>
        </w:rPr>
        <w:t>2</w:t>
      </w:r>
      <w:r>
        <w:rPr>
          <w:rFonts w:cs="Calibri" w:cstheme="minorHAnsi"/>
        </w:rPr>
        <w:t xml:space="preserve">O. The fast direction is [001] for all mechanisms, consistent with previous work on the pv mechanism </w:t>
      </w:r>
      <w:r>
        <w:fldChar w:fldCharType="begin"/>
      </w:r>
      <w:r>
        <w:instrText>ADDIN ZOTERO_ITEM CSL_CITATION {"citationID":"8m5Ss65f","properties":{"formattedCitation":"(Kohlstedt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w:instrText>
      </w:r>
      <w:r>
        <w:fldChar w:fldCharType="separate"/>
      </w:r>
      <w:bookmarkStart w:id="39" w:name="__Fieldmark__1232_2212690323"/>
      <w:r>
        <w:rPr>
          <w:rFonts w:cs="Calibri" w:cstheme="minorHAnsi"/>
        </w:rPr>
      </w:r>
      <w:r>
        <w:rPr>
          <w:rFonts w:cs="Calibri" w:cstheme="minorHAnsi"/>
        </w:rPr>
        <w:t>(Kohlstedt and Mackwell 1998; Demouchy and Mackwell 2006)</w:t>
      </w:r>
      <w:r>
        <w:rPr>
          <w:rFonts w:cs="Calibri" w:cstheme="minorHAnsi"/>
        </w:rPr>
      </w:r>
      <w:r>
        <w:fldChar w:fldCharType="end"/>
      </w:r>
      <w:bookmarkEnd w:id="39"/>
      <w:r>
        <w:rPr>
          <w:rFonts w:cs="Calibri" w:cstheme="minorHAnsi"/>
        </w:rPr>
        <w:t xml:space="preserve">. Observed bulk H diffusivities higher along [010] than [100] were unexpected but not entirely without precedent </w:t>
      </w:r>
      <w:r>
        <w:fldChar w:fldCharType="begin"/>
      </w:r>
      <w:r>
        <w:instrText>ADDIN ZOTERO_ITEM CSL_CITATION {"citationID":"aphv8fsreh","properties":{"custom":"(e.g., Demouchy et al. 2016; Demouchy and Mackwell 2003)","formattedCitation":"(e.g., Demouchy et al. 2016; Demouchy and Mackwell 2003)","plainCitation":"(e.g., Demouchy et al. 2016; Demouchy and Mackwell 2003)"},"citationItems":[{"id":2884,"uris":["http://zotero.org/users/3117169/items/PM2ERSPV"],"uri":["http://zotero.org/users/3117169/items/PM2ERSPV"],"itemData":{"id":2884,"type":"article-journal","title":"Diffusivity of hydrogen in iron-bearing olivine at 3 GPa","container-title":"Physics of the Earth and Planetary Interiors","page":"1-13","volume":"260","abstract":"Abstract\nThe kinetics of hydrogenation of dry iron-bearing olivine single crystals was determined by performing hydration experiments under hydrothermal conditions at high pressure. The experiments were performed in a multi-anvil press at 3 GPa, for a temperature range between 900 and 1200 °C and for various durations. The oxygen fugacity was buffered along Ni-NiO joint. Polarized Fourier transform infrared spectroscopy and recent empirical calibration were used to quantify the hydroxyl distributions in the samples along crystallographic axes after the experiments. The chemical diffusion coefficients are similar (barely slower) than in olivine hydrated at lower pressure (0.2 and 0.3 GPa) for the same diffusion mechanism. Under the given experimental conditions, the anisotropy of diffusion is the same as for proton-vacancy mechanism, with diffusion along the [0 0 1] axis faster than along the [1 0 0]. However, the anisotropy at 3 GPa is weaker compared to measurements at lower pressures and the analysis of concentration profiles using 3D models shows that an isotropic solution could also be relevant. Fits of the diffusion data to an Arrhenius law yield activation energies for the slightly faster [0 0 1] axis of the crystallographic axes around 198 ± 5 kJ mol−1, a value only slightly lower than the results from previous experimental studies for natural iron-bearing olivine hydrogenated at lower confining pressure. At 3 GPa, hydrogenation can be well approximated by a single mechanism controlled by coupled diffusion of protons and octahedral vacancies (di- and tri-valent ions). The diffusion rates are fast enough to alter hydrogen concentration within olivine in xenoliths ascending from the mantle or experiencing hydrogen-rich metasomatism events, but too slow to permit complete homogenization of hydrogen in olivine-rich rocks at kilometer scale in less than one My.","DOI":"10.1016/j.pepi.2016.08.005","ISSN":"0031-9201","journalAbbreviation":"Physics of the Earth and Planetary Interiors","author":[{"family":"Demouchy","given":"Sylvie"},{"family":"Thoraval","given":"Catherine"},{"family":"Bolfan-Casanova","given":"Nathalie"},{"family":"Manthilake","given":"Geeth"}],"issued":{"date-parts":[["2016",11]]}},"label":"page"},{"id":1772,"uris":["http://zotero.org/users/3117169/items/XRFQ5IHF"],"uri":["http://zotero.org/users/3117169/items/XRFQ5IHF"],"itemData":{"id":1772,"type":"article-journal","title":"Water diffusion in synthetic iron-free forsterite","container-title":"Physics and Chemistry of Minerals","page":"486-494","volume":"30","issue":"8","archive_location":"WOS:000185964900006","abstract":"The kinetics of hydrogenation of dry synthetic forsterite single crystals was determined by performing experiments under hydrothermal conditions. The experiments were performed at 1.5 GPa, 1000 degreesC for 3 h in a piston-cylinder apparatus, or at 0.2 GPa, 900-1110 degreesC, for 3-20 h in TZM cold-seal vessels. The oxygen fugacity was buffered using Fe-FeO or Ni-NiO powders. Polarized Fourier transform infrared spectroscopy was utilized to quantify the hydroxyl distributions in the samples after the experiments. Hydrogenation rates were measured parallel to the three crystallographic axes from profiles of water content as a function of position in the samples. The chemical diffusion coefficients are marginally slower than in natural iron-bearing olivine for the same diffusion process, but the anisotropy of diffusion is the same, with the [001] axis the fastest direction of diffusion and [100] the slowest. Fits of the diffusion data to an Arrhenius law yield similar activation energies for each of the crystallographic axes; a global fit to all the diffusion data gave 211 +/- 18 kJ mol(-1), in reasonable agreement with the previous results for natural olivine. Thus hydrogenation most likely occurs by coupled diffusion of protons and octahedrally coordinated metal vacancies. The diffusion rates are fast enough to modify water contents within xenoliths ascending from the mantle, but probably too slow to permit a total equilibration of forsterite or olivine crystals.","DOI":"10.1007/s00269-003-0342-2","ISSN":"0342-1791","shortTitle":"Water diffusion in synthetic iron-free forsterite","journalAbbreviation":"Phys. Chem. Miner.","language":"English","author":[{"family":"Demouchy","given":"S."},{"family":"Mackwell","given":"S."}],"issued":{"date-parts":[["2003",9]]}},"label":"page"}],"schema":"https://github.com/citation-style-language/schema/raw/master/csl-citation.json"}</w:instrText>
      </w:r>
      <w:r>
        <w:fldChar w:fldCharType="separate"/>
      </w:r>
      <w:bookmarkStart w:id="40" w:name="__Fieldmark__1246_2212690323"/>
      <w:r>
        <w:rPr>
          <w:rFonts w:cs="Calibri" w:cstheme="minorHAnsi"/>
        </w:rPr>
      </w:r>
      <w:r>
        <w:rPr>
          <w:rFonts w:cs="Calibri" w:cstheme="minorHAnsi"/>
        </w:rPr>
        <w:t>(e.g., Demouchy et al. 2016; Demouchy and Mackwell 2003)</w:t>
      </w:r>
      <w:r>
        <w:rPr>
          <w:rFonts w:cs="Calibri" w:cstheme="minorHAnsi"/>
        </w:rPr>
      </w:r>
      <w:r>
        <w:fldChar w:fldCharType="end"/>
      </w:r>
      <w:bookmarkEnd w:id="40"/>
      <w:r>
        <w:rPr>
          <w:rFonts w:cs="Calibri" w:cstheme="minorHAnsi"/>
        </w:rPr>
        <w:t>. This relatively fast movement || [010] can be attributed entirely to the diffusive anisotropy of the low-wavenumber peaks associated with Mg vacancies, [Mg] and [tri-Fe</w:t>
      </w:r>
      <w:r>
        <w:rPr>
          <w:rFonts w:cs="Calibri" w:cstheme="minorHAnsi"/>
          <w:vertAlign w:val="superscript"/>
        </w:rPr>
        <w:t>3+</w:t>
      </w:r>
      <w:r>
        <w:rPr>
          <w:rFonts w:cs="Calibri" w:cstheme="minorHAnsi"/>
        </w:rPr>
        <w:t>]. The [Ti] peak at 3525 cm</w:t>
      </w:r>
      <w:r>
        <w:rPr>
          <w:rFonts w:cs="Calibri" w:cstheme="minorHAnsi"/>
          <w:vertAlign w:val="superscript"/>
        </w:rPr>
        <w:t>-1</w:t>
      </w:r>
      <w:r>
        <w:rPr>
          <w:rFonts w:cs="Calibri" w:cstheme="minorHAnsi"/>
        </w:rPr>
        <w:t xml:space="preserve"> and the [Si] peak at 3600 cm</w:t>
      </w:r>
      <w:r>
        <w:rPr>
          <w:rFonts w:cs="Calibri" w:cstheme="minorHAnsi"/>
          <w:vertAlign w:val="superscript"/>
        </w:rPr>
        <w:t>-1</w:t>
      </w:r>
      <w:r>
        <w:rPr>
          <w:rFonts w:cs="Calibri" w:cstheme="minorHAnsi"/>
        </w:rPr>
        <w:t xml:space="preserve"> could be fit well using the same low diffusivity in [100] as in [010]. </w:t>
      </w:r>
    </w:p>
    <w:p>
      <w:pPr>
        <w:pStyle w:val="Normal"/>
        <w:rPr>
          <w:rFonts w:cs="Calibri" w:cstheme="minorHAnsi"/>
        </w:rPr>
      </w:pPr>
      <w:r>
        <w:rPr>
          <w:rFonts w:cs="Calibri" w:cstheme="minorHAnsi"/>
        </w:rPr>
        <w:t>All calculated diffusivities for both hydration and dehydration are provided in a supplementary table.</w:t>
      </w:r>
    </w:p>
    <w:p>
      <w:pPr>
        <w:pStyle w:val="Heading2"/>
        <w:rPr/>
      </w:pPr>
      <w:r>
        <w:rPr/>
        <w:t>Dehydration</w:t>
      </w:r>
    </w:p>
    <w:p>
      <w:pPr>
        <w:pStyle w:val="Normal"/>
        <w:rPr/>
      </w:pPr>
      <w:r>
        <w:rPr/>
        <w:t>SC1-2 and Kiki, two homogeneous blocks of olivine with similar initial starting hydrogen concentrations but very different histories, compositions, and distributions of hydrogen, were sequentially dehydrated in a gas-mixing furnace (</w:t>
      </w:r>
      <w:r>
        <w:rPr/>
        <w:fldChar w:fldCharType="begin"/>
      </w:r>
      <w:r>
        <w:instrText> REF _Ref480967392 \h </w:instrText>
      </w:r>
      <w:r>
        <w:fldChar w:fldCharType="separate"/>
      </w:r>
      <w:r>
        <w:t>Figure 5</w:t>
      </w:r>
      <w:r>
        <w:fldChar w:fldCharType="end"/>
      </w:r>
      <w:r>
        <w:rPr/>
        <w:t xml:space="preserve">). Most spectra and quadratic baselines are similar to those shown in </w:t>
      </w:r>
      <w:r>
        <w:rPr/>
        <w:fldChar w:fldCharType="begin"/>
      </w:r>
      <w:r>
        <w:instrText> REF _Ref480967392 \h </w:instrText>
      </w:r>
      <w:r>
        <w:fldChar w:fldCharType="separate"/>
      </w:r>
      <w:r>
        <w:t>Figure 5</w:t>
      </w:r>
      <w:r>
        <w:fldChar w:fldCharType="end"/>
      </w:r>
      <w:r>
        <w:rPr/>
        <w:t xml:space="preserve"> and described during the initial characterization of the materials, but some SC1-2 spectra show [tri-Fe</w:t>
      </w:r>
      <w:r>
        <w:rPr>
          <w:vertAlign w:val="superscript"/>
        </w:rPr>
        <w:t>3+</w:t>
      </w:r>
      <w:r>
        <w:rPr/>
        <w:t>] peaks and distorted baselines after heating (</w:t>
      </w:r>
      <w:r>
        <w:rPr/>
        <w:fldChar w:fldCharType="begin"/>
      </w:r>
      <w:r>
        <w:instrText> REF _Ref490209229 \h </w:instrText>
      </w:r>
      <w:r>
        <w:fldChar w:fldCharType="separate"/>
      </w:r>
      <w:r>
        <w:t>Figure 6</w:t>
      </w:r>
      <w:r>
        <w:fldChar w:fldCharType="end"/>
      </w:r>
      <w:r>
        <w:rPr/>
        <w:t>). This [tri-Fe</w:t>
      </w:r>
      <w:r>
        <w:rPr>
          <w:vertAlign w:val="superscript"/>
        </w:rPr>
        <w:t>3+</w:t>
      </w:r>
      <w:r>
        <w:rPr/>
        <w:t>] appears intermittently near all edges of SC1-2 (see supplementary pdf). All profiles were normalized to the initial (Kiki) or hydrated (SC1-2) profiles, and p</w:t>
      </w:r>
      <w:r>
        <w:rPr>
          <w:rFonts w:cs="Calibri" w:cstheme="minorHAnsi"/>
        </w:rPr>
        <w:t>ath-integrated 3-dimensional diffusion modeling was performed to estimate the rate of hydrogen movement after each heating step.</w:t>
      </w:r>
      <w:r>
        <w:rPr/>
        <w:t xml:space="preserve"> </w:t>
      </w:r>
    </w:p>
    <w:p>
      <w:pPr>
        <w:pStyle w:val="Normal"/>
        <w:rPr/>
      </w:pPr>
      <w:r>
        <w:rPr/>
        <w:t>Much of the resulting data for bulk H, [Ti], and [Si] show H</w:t>
      </w:r>
      <w:r>
        <w:rPr>
          <w:vertAlign w:val="superscript"/>
        </w:rPr>
        <w:t>+</w:t>
      </w:r>
      <w:r>
        <w:rPr/>
        <w:t xml:space="preserve"> loss rates that are </w:t>
      </w:r>
      <w:r>
        <w:rPr>
          <w:i/>
        </w:rPr>
        <w:t>intermediate</w:t>
      </w:r>
      <w:r>
        <w:rPr/>
        <w:t xml:space="preserve"> between pp and pv mechanism diffusivities, and diffusivities for these mechanisms could be fit reasonably well using the following constraint: all H</w:t>
      </w:r>
      <w:r>
        <w:rPr>
          <w:vertAlign w:val="superscript"/>
        </w:rPr>
        <w:t>+</w:t>
      </w:r>
      <w:r>
        <w:rPr/>
        <w:t xml:space="preserve"> loss profiles are assumed to represent a linear mixture of pp and pv end-members. These end-member diffusivities are calculated using the standard equation D = D</w:t>
      </w:r>
      <w:r>
        <w:rPr>
          <w:vertAlign w:val="subscript"/>
        </w:rPr>
        <w:t>0</w:t>
      </w:r>
      <w:r>
        <w:rPr/>
        <w:t>exp(-E</w:t>
      </w:r>
      <w:r>
        <w:rPr>
          <w:vertAlign w:val="subscript"/>
        </w:rPr>
        <w:t>a</w:t>
      </w:r>
      <w:r>
        <w:rPr/>
        <w:t>/RT), where D is the diffusivity, D</w:t>
      </w:r>
      <w:r>
        <w:rPr>
          <w:vertAlign w:val="subscript"/>
        </w:rPr>
        <w:t>0</w:t>
      </w:r>
      <w:r>
        <w:rPr/>
        <w:t xml:space="preserve"> is the pre-exponential factor, E</w:t>
      </w:r>
      <w:r>
        <w:rPr>
          <w:vertAlign w:val="subscript"/>
        </w:rPr>
        <w:t>a</w:t>
      </w:r>
      <w:r>
        <w:rPr/>
        <w:t xml:space="preserve"> is the activation energy, R is the gas constant, and T is the temperature. For the pp mechanism diffusivity, D</w:t>
      </w:r>
      <w:r>
        <w:rPr>
          <w:vertAlign w:val="subscript"/>
        </w:rPr>
        <w:t>pp</w:t>
      </w:r>
      <w:r>
        <w:rPr/>
        <w:t>, the D</w:t>
      </w:r>
      <w:r>
        <w:rPr>
          <w:vertAlign w:val="subscript"/>
        </w:rPr>
        <w:t>0</w:t>
      </w:r>
      <w:r>
        <w:rPr/>
        <w:t xml:space="preserve"> and E</w:t>
      </w:r>
      <w:r>
        <w:rPr>
          <w:vertAlign w:val="subscript"/>
        </w:rPr>
        <w:t>a</w:t>
      </w:r>
      <w:r>
        <w:rPr/>
        <w:t xml:space="preserve"> were calculated from data in Kohlstedt and Mackwell (1998) and Demouchy and Mackwell (2006), and for the pv mechanism diffusivity, D</w:t>
      </w:r>
      <w:r>
        <w:rPr>
          <w:vertAlign w:val="subscript"/>
        </w:rPr>
        <w:t>pv</w:t>
      </w:r>
      <w:r>
        <w:rPr/>
        <w:t>, we use the values reported by Demouchy and Mackwell (2006) (</w:t>
      </w:r>
      <w:r>
        <w:rPr/>
        <w:fldChar w:fldCharType="begin"/>
      </w:r>
      <w:r>
        <w:instrText> REF _Ref490059122 \h </w:instrText>
      </w:r>
      <w:r>
        <w:fldChar w:fldCharType="separate"/>
      </w:r>
      <w:r>
        <w:t>Table 2</w:t>
      </w:r>
      <w:r>
        <w:fldChar w:fldCharType="end"/>
      </w:r>
      <w:r>
        <w:rPr/>
        <w:t>). The diffusivity in any given direction x was then allowed to vary with the percentage of pv, %pv following Eq 1. A single number, %pv, was then fit for each set of data.</w:t>
      </w:r>
    </w:p>
    <w:tbl>
      <w:tblPr>
        <w:tblStyle w:val="TableGrid"/>
        <w:tblW w:w="9812" w:type="dxa"/>
        <w:jc w:val="left"/>
        <w:tblInd w:w="0" w:type="dxa"/>
        <w:tblCellMar>
          <w:top w:w="0" w:type="dxa"/>
          <w:left w:w="108" w:type="dxa"/>
          <w:bottom w:w="0" w:type="dxa"/>
          <w:right w:w="108" w:type="dxa"/>
        </w:tblCellMar>
        <w:tblLook w:firstRow="1" w:noVBand="1" w:lastRow="0" w:firstColumn="1" w:lastColumn="0" w:noHBand="0" w:val="04a0"/>
      </w:tblPr>
      <w:tblGrid>
        <w:gridCol w:w="8477"/>
        <w:gridCol w:w="1334"/>
      </w:tblGrid>
      <w:tr>
        <w:trPr/>
        <w:tc>
          <w:tcPr>
            <w:tcW w:w="8477" w:type="dxa"/>
            <w:tcBorders/>
            <w:shd w:fill="auto" w:val="clear"/>
            <w:tcMar>
              <w:left w:w="108" w:type="dxa"/>
            </w:tcMar>
          </w:tcPr>
          <w:p>
            <w:pPr>
              <w:pStyle w:val="Normal"/>
              <w:spacing w:lineRule="auto" w:line="240" w:before="0" w:after="0"/>
              <w:ind w:hanging="0"/>
              <w:rPr/>
            </w:pPr>
            <w:r>
              <w:rPr/>
              <w:t>D = (D</w:t>
            </w:r>
            <w:r>
              <w:rPr>
                <w:vertAlign w:val="subscript"/>
              </w:rPr>
              <w:t>pv</w:t>
            </w:r>
            <w:r>
              <w:rPr/>
              <w:t xml:space="preserve"> * %pv/100) + (D</w:t>
            </w:r>
            <w:r>
              <w:rPr>
                <w:vertAlign w:val="subscript"/>
              </w:rPr>
              <w:t>pp</w:t>
            </w:r>
            <w:r>
              <w:rPr/>
              <w:t xml:space="preserve"> * (1 - %pv/100))</w:t>
            </w:r>
          </w:p>
        </w:tc>
        <w:tc>
          <w:tcPr>
            <w:tcW w:w="1334" w:type="dxa"/>
            <w:tcBorders/>
            <w:shd w:fill="auto" w:val="clear"/>
            <w:tcMar>
              <w:left w:w="108" w:type="dxa"/>
            </w:tcMar>
          </w:tcPr>
          <w:p>
            <w:pPr>
              <w:pStyle w:val="Caption1"/>
              <w:spacing w:lineRule="auto" w:line="240" w:before="0" w:after="0"/>
              <w:rPr/>
            </w:pPr>
            <w:r>
              <w:rPr/>
              <w:t xml:space="preserve">(Eq. </w:t>
            </w:r>
            <w:r>
              <w:rPr/>
              <w:fldChar w:fldCharType="begin"/>
            </w:r>
            <w:r>
              <w:instrText> SEQ ( \* ARABIC </w:instrText>
            </w:r>
            <w:r>
              <w:fldChar w:fldCharType="separate"/>
            </w:r>
            <w:r>
              <w:t>0</w:t>
            </w:r>
            <w:r>
              <w:fldChar w:fldCharType="end"/>
            </w:r>
            <w:r>
              <w:rPr/>
              <w:t xml:space="preserve"> )</w:t>
            </w:r>
          </w:p>
        </w:tc>
      </w:tr>
    </w:tbl>
    <w:p>
      <w:pPr>
        <w:pStyle w:val="Normal"/>
        <w:ind w:hanging="0"/>
        <w:rPr/>
      </w:pPr>
      <w:r>
        <w:rPr/>
      </w:r>
    </w:p>
    <w:p>
      <w:pPr>
        <w:pStyle w:val="Normal"/>
        <w:rPr/>
      </w:pPr>
      <w:r>
        <w:rPr/>
        <w:t>Unlike bulk H, [Si], or [Ti], the [tri-Fe</w:t>
      </w:r>
      <w:r>
        <w:rPr>
          <w:vertAlign w:val="superscript"/>
        </w:rPr>
        <w:t>3+</w:t>
      </w:r>
      <w:r>
        <w:rPr/>
        <w:t>] dehydration data in Kilauea Iki could not be easily fit using any combination of the pp or pv mechanisms. These data appear closer to isotropic and do not have a clear, consistent fast direction.</w:t>
      </w:r>
    </w:p>
    <w:p>
      <w:pPr>
        <w:pStyle w:val="Normal"/>
        <w:ind w:hanging="0"/>
        <w:rPr/>
      </w:pPr>
      <w:r>
        <w:rPr/>
      </w:r>
    </w:p>
    <w:p>
      <w:pPr>
        <w:pStyle w:val="Caption1"/>
        <w:rPr/>
      </w:pPr>
      <w:bookmarkStart w:id="41" w:name="_Ref490059122"/>
      <w:r>
        <w:rPr/>
        <w:t xml:space="preserve">Table </w:t>
      </w:r>
      <w:r>
        <w:rPr/>
        <w:fldChar w:fldCharType="begin"/>
      </w:r>
      <w:r>
        <w:instrText> SEQ Table \* ARABIC </w:instrText>
      </w:r>
      <w:r>
        <w:fldChar w:fldCharType="separate"/>
      </w:r>
      <w:r>
        <w:t>2</w:t>
      </w:r>
      <w:r>
        <w:fldChar w:fldCharType="end"/>
      </w:r>
      <w:bookmarkEnd w:id="41"/>
      <w:r>
        <w:rPr/>
        <w:t>. Activation energies (E</w:t>
      </w:r>
      <w:r>
        <w:rPr>
          <w:vertAlign w:val="subscript"/>
        </w:rPr>
        <w:t>a</w:t>
      </w:r>
      <w:r>
        <w:rPr/>
        <w:t>) and pre-exponential factors (D</w:t>
      </w:r>
      <w:r>
        <w:rPr>
          <w:vertAlign w:val="subscript"/>
        </w:rPr>
        <w:t>0</w:t>
      </w:r>
      <w:r>
        <w:rPr/>
        <w:t>) for “pp” and “pv” bulk H diffusion.</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261"/>
        <w:gridCol w:w="1364"/>
        <w:gridCol w:w="1365"/>
        <w:gridCol w:w="1365"/>
        <w:gridCol w:w="1366"/>
        <w:gridCol w:w="1366"/>
        <w:gridCol w:w="1262"/>
      </w:tblGrid>
      <w:tr>
        <w:trPr/>
        <w:tc>
          <w:tcPr>
            <w:tcW w:w="1261" w:type="dxa"/>
            <w:tcBorders/>
            <w:shd w:fill="auto" w:val="clear"/>
            <w:tcMar>
              <w:left w:w="108" w:type="dxa"/>
            </w:tcMar>
          </w:tcPr>
          <w:p>
            <w:pPr>
              <w:pStyle w:val="Normal"/>
              <w:spacing w:lineRule="auto" w:line="240" w:before="0" w:after="0"/>
              <w:ind w:hanging="0"/>
              <w:rPr/>
            </w:pPr>
            <w:r>
              <w:rPr/>
            </w:r>
          </w:p>
        </w:tc>
        <w:tc>
          <w:tcPr>
            <w:tcW w:w="1364" w:type="dxa"/>
            <w:tcBorders/>
            <w:shd w:fill="auto" w:val="clear"/>
            <w:tcMar>
              <w:left w:w="108" w:type="dxa"/>
            </w:tcMar>
          </w:tcPr>
          <w:p>
            <w:pPr>
              <w:pStyle w:val="Normal"/>
              <w:spacing w:lineRule="auto" w:line="240" w:before="0" w:after="0"/>
              <w:ind w:hanging="0"/>
              <w:rPr/>
            </w:pPr>
            <w:r>
              <w:rPr/>
              <w:t>E</w:t>
            </w:r>
            <w:r>
              <w:rPr>
                <w:vertAlign w:val="subscript"/>
              </w:rPr>
              <w:t>a</w:t>
            </w:r>
            <w:r>
              <w:rPr/>
              <w:t xml:space="preserve"> || [100]</w:t>
            </w:r>
          </w:p>
        </w:tc>
        <w:tc>
          <w:tcPr>
            <w:tcW w:w="1365" w:type="dxa"/>
            <w:tcBorders/>
            <w:shd w:fill="auto" w:val="clear"/>
            <w:tcMar>
              <w:left w:w="108" w:type="dxa"/>
            </w:tcMar>
          </w:tcPr>
          <w:p>
            <w:pPr>
              <w:pStyle w:val="Normal"/>
              <w:spacing w:lineRule="auto" w:line="240" w:before="0" w:after="0"/>
              <w:ind w:hanging="0"/>
              <w:rPr/>
            </w:pPr>
            <w:r>
              <w:rPr/>
              <w:t>E</w:t>
            </w:r>
            <w:r>
              <w:rPr>
                <w:vertAlign w:val="subscript"/>
              </w:rPr>
              <w:t>a</w:t>
            </w:r>
            <w:r>
              <w:rPr/>
              <w:t xml:space="preserve"> || [010]</w:t>
            </w:r>
          </w:p>
        </w:tc>
        <w:tc>
          <w:tcPr>
            <w:tcW w:w="1365" w:type="dxa"/>
            <w:tcBorders/>
            <w:shd w:fill="auto" w:val="clear"/>
            <w:tcMar>
              <w:left w:w="108" w:type="dxa"/>
            </w:tcMar>
          </w:tcPr>
          <w:p>
            <w:pPr>
              <w:pStyle w:val="Normal"/>
              <w:spacing w:lineRule="auto" w:line="240" w:before="0" w:after="0"/>
              <w:ind w:hanging="0"/>
              <w:rPr/>
            </w:pPr>
            <w:r>
              <w:rPr/>
              <w:t>E</w:t>
            </w:r>
            <w:r>
              <w:rPr>
                <w:vertAlign w:val="subscript"/>
              </w:rPr>
              <w:t>a</w:t>
            </w:r>
            <w:r>
              <w:rPr/>
              <w:t xml:space="preserve"> || [001]</w:t>
            </w:r>
          </w:p>
        </w:tc>
        <w:tc>
          <w:tcPr>
            <w:tcW w:w="1366" w:type="dxa"/>
            <w:tcBorders/>
            <w:shd w:fill="auto" w:val="clear"/>
            <w:tcMar>
              <w:left w:w="108" w:type="dxa"/>
            </w:tcMar>
          </w:tcPr>
          <w:p>
            <w:pPr>
              <w:pStyle w:val="Normal"/>
              <w:spacing w:lineRule="auto" w:line="240" w:before="0" w:after="0"/>
              <w:ind w:hanging="0"/>
              <w:rPr/>
            </w:pPr>
            <w:r>
              <w:rPr/>
              <w:t>D</w:t>
            </w:r>
            <w:r>
              <w:rPr>
                <w:vertAlign w:val="subscript"/>
              </w:rPr>
              <w:t>0</w:t>
            </w:r>
            <w:r>
              <w:rPr/>
              <w:t xml:space="preserve"> || [100]</w:t>
            </w:r>
          </w:p>
        </w:tc>
        <w:tc>
          <w:tcPr>
            <w:tcW w:w="1366" w:type="dxa"/>
            <w:tcBorders/>
            <w:shd w:fill="auto" w:val="clear"/>
            <w:tcMar>
              <w:left w:w="108" w:type="dxa"/>
            </w:tcMar>
          </w:tcPr>
          <w:p>
            <w:pPr>
              <w:pStyle w:val="Normal"/>
              <w:spacing w:lineRule="auto" w:line="240" w:before="0" w:after="0"/>
              <w:ind w:hanging="0"/>
              <w:rPr/>
            </w:pPr>
            <w:r>
              <w:rPr/>
              <w:t>D</w:t>
            </w:r>
            <w:r>
              <w:rPr>
                <w:vertAlign w:val="subscript"/>
              </w:rPr>
              <w:t>0</w:t>
            </w:r>
            <w:r>
              <w:rPr/>
              <w:t xml:space="preserve"> || [010]</w:t>
            </w:r>
          </w:p>
        </w:tc>
        <w:tc>
          <w:tcPr>
            <w:tcW w:w="1262" w:type="dxa"/>
            <w:tcBorders/>
            <w:shd w:fill="auto" w:val="clear"/>
            <w:tcMar>
              <w:left w:w="108" w:type="dxa"/>
            </w:tcMar>
          </w:tcPr>
          <w:p>
            <w:pPr>
              <w:pStyle w:val="Normal"/>
              <w:spacing w:lineRule="auto" w:line="240" w:before="0" w:after="0"/>
              <w:ind w:hanging="0"/>
              <w:rPr/>
            </w:pPr>
            <w:r>
              <w:rPr/>
              <w:t>D</w:t>
            </w:r>
            <w:r>
              <w:rPr>
                <w:vertAlign w:val="subscript"/>
              </w:rPr>
              <w:t>0</w:t>
            </w:r>
            <w:r>
              <w:rPr/>
              <w:t xml:space="preserve"> || [001]</w:t>
            </w:r>
          </w:p>
        </w:tc>
      </w:tr>
      <w:tr>
        <w:trPr/>
        <w:tc>
          <w:tcPr>
            <w:tcW w:w="1261" w:type="dxa"/>
            <w:tcBorders/>
            <w:shd w:fill="auto" w:val="clear"/>
            <w:tcMar>
              <w:left w:w="108" w:type="dxa"/>
            </w:tcMar>
          </w:tcPr>
          <w:p>
            <w:pPr>
              <w:pStyle w:val="Normal"/>
              <w:spacing w:lineRule="auto" w:line="240" w:before="0" w:after="0"/>
              <w:ind w:hanging="0"/>
              <w:rPr/>
            </w:pPr>
            <w:r>
              <w:rPr/>
              <w:t>“</w:t>
            </w:r>
            <w:r>
              <w:rPr/>
              <w:t>pp”</w:t>
            </w:r>
          </w:p>
        </w:tc>
        <w:tc>
          <w:tcPr>
            <w:tcW w:w="1364" w:type="dxa"/>
            <w:tcBorders/>
            <w:shd w:fill="auto" w:val="clear"/>
            <w:tcMar>
              <w:left w:w="108" w:type="dxa"/>
            </w:tcMar>
          </w:tcPr>
          <w:p>
            <w:pPr>
              <w:pStyle w:val="Normal"/>
              <w:spacing w:lineRule="auto" w:line="240" w:before="0" w:after="0"/>
              <w:ind w:hanging="0"/>
              <w:rPr/>
            </w:pPr>
            <w:r>
              <w:rPr/>
              <w:t>143</w:t>
            </w:r>
          </w:p>
        </w:tc>
        <w:tc>
          <w:tcPr>
            <w:tcW w:w="1365" w:type="dxa"/>
            <w:tcBorders/>
            <w:shd w:fill="auto" w:val="clear"/>
            <w:tcMar>
              <w:left w:w="108" w:type="dxa"/>
            </w:tcMar>
          </w:tcPr>
          <w:p>
            <w:pPr>
              <w:pStyle w:val="Normal"/>
              <w:spacing w:lineRule="auto" w:line="240" w:before="0" w:after="0"/>
              <w:ind w:hanging="0"/>
              <w:rPr/>
            </w:pPr>
            <w:r>
              <w:rPr/>
              <w:t>180</w:t>
            </w:r>
          </w:p>
        </w:tc>
        <w:tc>
          <w:tcPr>
            <w:tcW w:w="1365" w:type="dxa"/>
            <w:tcBorders/>
            <w:shd w:fill="auto" w:val="clear"/>
            <w:tcMar>
              <w:left w:w="108" w:type="dxa"/>
            </w:tcMar>
          </w:tcPr>
          <w:p>
            <w:pPr>
              <w:pStyle w:val="Normal"/>
              <w:spacing w:lineRule="auto" w:line="240" w:before="0" w:after="0"/>
              <w:ind w:hanging="0"/>
              <w:rPr/>
            </w:pPr>
            <w:r>
              <w:rPr/>
              <w:t>109</w:t>
            </w:r>
          </w:p>
        </w:tc>
        <w:tc>
          <w:tcPr>
            <w:tcW w:w="1366" w:type="dxa"/>
            <w:tcBorders/>
            <w:shd w:fill="auto" w:val="clear"/>
            <w:tcMar>
              <w:left w:w="108" w:type="dxa"/>
            </w:tcMar>
          </w:tcPr>
          <w:p>
            <w:pPr>
              <w:pStyle w:val="Normal"/>
              <w:spacing w:lineRule="auto" w:line="240" w:before="0" w:after="0"/>
              <w:ind w:hanging="0"/>
              <w:rPr/>
            </w:pPr>
            <w:r>
              <w:rPr/>
              <w:t>1E-4</w:t>
            </w:r>
          </w:p>
        </w:tc>
        <w:tc>
          <w:tcPr>
            <w:tcW w:w="1366" w:type="dxa"/>
            <w:tcBorders/>
            <w:shd w:fill="auto" w:val="clear"/>
            <w:tcMar>
              <w:left w:w="108" w:type="dxa"/>
            </w:tcMar>
          </w:tcPr>
          <w:p>
            <w:pPr>
              <w:pStyle w:val="Normal"/>
              <w:spacing w:lineRule="auto" w:line="240" w:before="0" w:after="0"/>
              <w:ind w:hanging="0"/>
              <w:rPr/>
            </w:pPr>
            <w:r>
              <w:rPr/>
              <w:t>2E-4</w:t>
            </w:r>
          </w:p>
        </w:tc>
        <w:tc>
          <w:tcPr>
            <w:tcW w:w="1262" w:type="dxa"/>
            <w:tcBorders/>
            <w:shd w:fill="auto" w:val="clear"/>
            <w:tcMar>
              <w:left w:w="108" w:type="dxa"/>
            </w:tcMar>
          </w:tcPr>
          <w:p>
            <w:pPr>
              <w:pStyle w:val="Normal"/>
              <w:spacing w:lineRule="auto" w:line="240" w:before="0" w:after="0"/>
              <w:ind w:hanging="0"/>
              <w:rPr/>
            </w:pPr>
            <w:r>
              <w:rPr/>
              <w:t>1E-7</w:t>
            </w:r>
          </w:p>
        </w:tc>
      </w:tr>
      <w:tr>
        <w:trPr/>
        <w:tc>
          <w:tcPr>
            <w:tcW w:w="1261" w:type="dxa"/>
            <w:tcBorders/>
            <w:shd w:fill="auto" w:val="clear"/>
            <w:tcMar>
              <w:left w:w="108" w:type="dxa"/>
            </w:tcMar>
          </w:tcPr>
          <w:p>
            <w:pPr>
              <w:pStyle w:val="Normal"/>
              <w:spacing w:lineRule="auto" w:line="240" w:before="0" w:after="0"/>
              <w:ind w:hanging="0"/>
              <w:rPr/>
            </w:pPr>
            <w:r>
              <w:rPr/>
              <w:t>“</w:t>
            </w:r>
            <w:r>
              <w:rPr/>
              <w:t>pv”</w:t>
            </w:r>
          </w:p>
        </w:tc>
        <w:tc>
          <w:tcPr>
            <w:tcW w:w="1364" w:type="dxa"/>
            <w:tcBorders/>
            <w:shd w:fill="auto" w:val="clear"/>
            <w:tcMar>
              <w:left w:w="108" w:type="dxa"/>
            </w:tcMar>
          </w:tcPr>
          <w:p>
            <w:pPr>
              <w:pStyle w:val="Normal"/>
              <w:spacing w:lineRule="auto" w:line="240" w:before="0" w:after="0"/>
              <w:ind w:hanging="0"/>
              <w:rPr/>
            </w:pPr>
            <w:r>
              <w:rPr/>
              <w:t>204</w:t>
            </w:r>
          </w:p>
        </w:tc>
        <w:tc>
          <w:tcPr>
            <w:tcW w:w="1365" w:type="dxa"/>
            <w:tcBorders/>
            <w:shd w:fill="auto" w:val="clear"/>
            <w:tcMar>
              <w:left w:w="108" w:type="dxa"/>
            </w:tcMar>
          </w:tcPr>
          <w:p>
            <w:pPr>
              <w:pStyle w:val="Normal"/>
              <w:spacing w:lineRule="auto" w:line="240" w:before="0" w:after="0"/>
              <w:ind w:hanging="0"/>
              <w:rPr/>
            </w:pPr>
            <w:r>
              <w:rPr/>
              <w:t>204</w:t>
            </w:r>
          </w:p>
        </w:tc>
        <w:tc>
          <w:tcPr>
            <w:tcW w:w="1365" w:type="dxa"/>
            <w:tcBorders/>
            <w:shd w:fill="auto" w:val="clear"/>
            <w:tcMar>
              <w:left w:w="108" w:type="dxa"/>
            </w:tcMar>
          </w:tcPr>
          <w:p>
            <w:pPr>
              <w:pStyle w:val="Normal"/>
              <w:spacing w:lineRule="auto" w:line="240" w:before="0" w:after="0"/>
              <w:ind w:hanging="0"/>
              <w:rPr/>
            </w:pPr>
            <w:r>
              <w:rPr/>
              <w:t>258</w:t>
            </w:r>
          </w:p>
        </w:tc>
        <w:tc>
          <w:tcPr>
            <w:tcW w:w="1366" w:type="dxa"/>
            <w:tcBorders/>
            <w:shd w:fill="auto" w:val="clear"/>
            <w:tcMar>
              <w:left w:w="108" w:type="dxa"/>
            </w:tcMar>
          </w:tcPr>
          <w:p>
            <w:pPr>
              <w:pStyle w:val="Normal"/>
              <w:spacing w:lineRule="auto" w:line="240" w:before="0" w:after="0"/>
              <w:ind w:hanging="0"/>
              <w:rPr/>
            </w:pPr>
            <w:r>
              <w:rPr/>
              <w:t>3E-5</w:t>
            </w:r>
          </w:p>
        </w:tc>
        <w:tc>
          <w:tcPr>
            <w:tcW w:w="1366" w:type="dxa"/>
            <w:tcBorders/>
            <w:shd w:fill="auto" w:val="clear"/>
            <w:tcMar>
              <w:left w:w="108" w:type="dxa"/>
            </w:tcMar>
          </w:tcPr>
          <w:p>
            <w:pPr>
              <w:pStyle w:val="Normal"/>
              <w:spacing w:lineRule="auto" w:line="240" w:before="0" w:after="0"/>
              <w:ind w:hanging="0"/>
              <w:rPr/>
            </w:pPr>
            <w:r>
              <w:rPr/>
              <w:t>3E-5</w:t>
            </w:r>
          </w:p>
        </w:tc>
        <w:tc>
          <w:tcPr>
            <w:tcW w:w="1262" w:type="dxa"/>
            <w:tcBorders/>
            <w:shd w:fill="auto" w:val="clear"/>
            <w:tcMar>
              <w:left w:w="108" w:type="dxa"/>
            </w:tcMar>
          </w:tcPr>
          <w:p>
            <w:pPr>
              <w:pStyle w:val="Normal"/>
              <w:spacing w:lineRule="auto" w:line="240" w:before="0" w:after="0"/>
              <w:ind w:hanging="0"/>
              <w:rPr/>
            </w:pPr>
            <w:r>
              <w:rPr/>
              <w:t>4E-2</w:t>
            </w:r>
          </w:p>
        </w:tc>
      </w:tr>
    </w:tbl>
    <w:p>
      <w:pPr>
        <w:pStyle w:val="Heading3"/>
        <w:rPr/>
      </w:pPr>
      <w:r>
        <w:rPr/>
        <w:t>Dehydration of San Carlos olivine</w:t>
      </w:r>
    </w:p>
    <w:p>
      <w:pPr>
        <w:pStyle w:val="Normal"/>
        <w:rPr/>
      </w:pPr>
      <w:r>
        <w:rPr/>
        <w:t>We determined diffusivities for bulk H, [Si-Fe</w:t>
      </w:r>
      <w:r>
        <w:rPr>
          <w:vertAlign w:val="superscript"/>
        </w:rPr>
        <w:t>2+</w:t>
      </w:r>
      <w:r>
        <w:rPr/>
        <w:t>] at 3600 cm</w:t>
      </w:r>
      <w:r>
        <w:rPr>
          <w:vertAlign w:val="superscript"/>
        </w:rPr>
        <w:t>-1</w:t>
      </w:r>
      <w:r>
        <w:rPr/>
        <w:t>, and [Ti-3525] in San Carlos SC1-2. The other [Ti] peak and [Si] peaks profiles in SC1-2 are similar to [Ti-3525]. The [Si-Fe</w:t>
      </w:r>
      <w:r>
        <w:rPr>
          <w:vertAlign w:val="superscript"/>
        </w:rPr>
        <w:t>2+</w:t>
      </w:r>
      <w:r>
        <w:rPr/>
        <w:t>] peak is clearly slower than the rest of the peaks and was essentially immobile for the first 5 heating steps. After 43 hours, when the large majority of the initial H had left the crystal and the bulk of the remaining H was present in the [Si-Fe</w:t>
      </w:r>
      <w:r>
        <w:rPr>
          <w:vertAlign w:val="superscript"/>
        </w:rPr>
        <w:t>2+</w:t>
      </w:r>
      <w:r>
        <w:rPr/>
        <w:t xml:space="preserve"> peak], clear H-loss profiles could be observed, with apparent diffusivities that were relatively fast compared to the initial stages and with a fast direction || [100]. These [Si-Fe</w:t>
      </w:r>
      <w:r>
        <w:rPr>
          <w:vertAlign w:val="superscript"/>
        </w:rPr>
        <w:t>2+</w:t>
      </w:r>
      <w:r>
        <w:rPr/>
        <w:t>] loss profiles also differ from the majority of profiles observed in this study in that they did not appear to approach zero near the edges, but rather to ended around 40% of the initial, which was the final concentration used when modeling the diffusivities. Because this peak does not go to zero, the bulk H also cannot go to zero. Consequently, the final bulk H concentration was modeled as 15% of the initial homogeneous partially hydrated concentration.</w:t>
      </w:r>
    </w:p>
    <w:p>
      <w:pPr>
        <w:pStyle w:val="Normal"/>
        <w:rPr/>
      </w:pPr>
      <w:r>
        <w:rPr/>
        <w:t>While the [Si-Fe</w:t>
      </w:r>
      <w:r>
        <w:rPr>
          <w:vertAlign w:val="superscript"/>
        </w:rPr>
        <w:t>2+</w:t>
      </w:r>
      <w:r>
        <w:rPr/>
        <w:t>] peak sped up, the [Ti-3525] peak began slowing down after about 7 hours. (The two mechanisms eventually come close to converging, but the [Ti-3525] pea k is always slightly faster than the [Si-Fe</w:t>
      </w:r>
      <w:r>
        <w:rPr>
          <w:vertAlign w:val="superscript"/>
        </w:rPr>
        <w:t>2+</w:t>
      </w:r>
      <w:r>
        <w:rPr/>
        <w:t>]. The disordered [tri] peaks occasionally observed near the edge of SC1-2 (see supplement), were so uncommon that no diffusivities could be determined.</w:t>
      </w:r>
    </w:p>
    <w:p>
      <w:pPr>
        <w:pStyle w:val="Heading3"/>
        <w:rPr/>
      </w:pPr>
      <w:r>
        <w:rPr/>
        <w:t>Dehydration of Kilauea Iki olivine</w:t>
      </w:r>
    </w:p>
    <w:p>
      <w:pPr>
        <w:pStyle w:val="Normal"/>
        <w:rPr/>
      </w:pPr>
      <w:r>
        <w:rPr/>
        <w:t xml:space="preserve"> </w:t>
      </w:r>
      <w:r>
        <w:rPr/>
        <w:t>Experimentation on the Kilauea Iki sample took place in multiple stages. First, the sample was treated the same way as SC1-2 during dehydration: heated for 1 and then a total of 8 hours at 800°C in a gas-mixing furnace at QFM-2. This procedure resulted in some redistribution of the H, primarily from [tri-Fe</w:t>
      </w:r>
      <w:r>
        <w:rPr>
          <w:vertAlign w:val="superscript"/>
        </w:rPr>
        <w:t>3+</w:t>
      </w:r>
      <w:r>
        <w:rPr/>
        <w:t>] to [Si] (see profiles in supplement) but did not produce clear H loss in bulk H like what was observed in the partially hydrated SC1-2 treated the same way. This difference between the two olivines is most apparent in the comparison between clear loss in the [Ti-3525] peak from SC1-2 after 7 hours of heating at 800°C compared to essentially no movement of the same peak in the similarly-sized Kilauea Iki sample after 8 hours of heating at the same temperature and oxygen fugacity (</w:t>
      </w:r>
      <w:r>
        <w:rPr/>
        <w:fldChar w:fldCharType="begin"/>
      </w:r>
      <w:r>
        <w:instrText> REF _Ref490823372 \h </w:instrText>
      </w:r>
      <w:r>
        <w:fldChar w:fldCharType="separate"/>
      </w:r>
      <w:r>
        <w:t>Figure 7</w:t>
      </w:r>
      <w:r>
        <w:fldChar w:fldCharType="end"/>
      </w:r>
      <w:r>
        <w:rPr/>
        <w:t>). The temperature was therefore raised to 1000°C, and the resulting H loss profiles (see supplement) after 3, 6, 7, and 8 hours of total heating time at 1000°C were compared to the H profiles measured after 8 hours of heating at 800°C rather than the true initial profiles. All heating steps were carried out at NNO-2.6 except for a final step in which the Kilauea Iki sample was heated for 1 hour at NNO+1.9.</w:t>
      </w:r>
    </w:p>
    <w:p>
      <w:pPr>
        <w:pStyle w:val="Normal"/>
        <w:rPr>
          <w:rFonts w:cs="Calibri" w:cstheme="minorHAnsi"/>
        </w:rPr>
      </w:pPr>
      <w:r>
        <w:rPr/>
        <w:t xml:space="preserve">Upon heating at 1000°C, clear H loss profiles could be distinguished in the Kilauea Iki olivine for </w:t>
      </w:r>
      <w:r>
        <w:rPr>
          <w:rFonts w:cs="Calibri" w:cstheme="minorHAnsi"/>
        </w:rPr>
        <w:t>the two peaks [Ti-3525] and [Si-Fe</w:t>
      </w:r>
      <w:r>
        <w:rPr>
          <w:rFonts w:cs="Calibri" w:cstheme="minorHAnsi"/>
          <w:vertAlign w:val="superscript"/>
        </w:rPr>
        <w:t>2+</w:t>
      </w:r>
      <w:r>
        <w:rPr>
          <w:rFonts w:cs="Calibri" w:cstheme="minorHAnsi"/>
        </w:rPr>
        <w:t>], and, like the same peaks in SC1-2, these data were well fit using diffusivities intermediate between the pp and pv mechanisms. The [tri-Fe</w:t>
      </w:r>
      <w:r>
        <w:rPr>
          <w:rFonts w:cs="Calibri" w:cstheme="minorHAnsi"/>
          <w:vertAlign w:val="superscript"/>
        </w:rPr>
        <w:t>3+</w:t>
      </w:r>
      <w:r>
        <w:rPr>
          <w:rFonts w:cs="Calibri" w:cstheme="minorHAnsi"/>
        </w:rPr>
        <w:t>] peak, like the same peak in SC1-7, was not well described by that approach and did not show a clear fast direction. The final oxidation step did not show any significant difference in these trends, likely because most of the H</w:t>
      </w:r>
      <w:r>
        <w:rPr>
          <w:rFonts w:cs="Calibri" w:cstheme="minorHAnsi"/>
          <w:vertAlign w:val="superscript"/>
        </w:rPr>
        <w:t>+</w:t>
      </w:r>
      <w:r>
        <w:rPr>
          <w:rFonts w:cs="Calibri" w:cstheme="minorHAnsi"/>
        </w:rPr>
        <w:t xml:space="preserve"> had already left the crystal</w:t>
      </w:r>
      <w:bookmarkStart w:id="42" w:name="_GoBack"/>
      <w:bookmarkEnd w:id="42"/>
      <w:r>
        <w:rPr>
          <w:rFonts w:cs="Calibri" w:cstheme="minorHAnsi"/>
        </w:rPr>
        <w:t>.</w:t>
      </w:r>
    </w:p>
    <w:p>
      <w:pPr>
        <w:pStyle w:val="Heading1"/>
        <w:rPr/>
      </w:pPr>
      <w:r>
        <w:br w:type="column"/>
      </w:r>
      <w:r>
        <w:rPr/>
        <w:t>Figures</w:t>
      </w:r>
    </w:p>
    <w:p>
      <w:pPr>
        <w:pStyle w:val="Caption1"/>
        <w:rPr/>
      </w:pPr>
      <w:bookmarkStart w:id="43" w:name="_Ref477259778"/>
      <w:bookmarkStart w:id="44" w:name="_Ref477285918"/>
      <w:r>
        <w:rPr/>
        <w:t xml:space="preserve">Figure </w:t>
      </w:r>
      <w:r>
        <w:rPr/>
        <w:fldChar w:fldCharType="begin"/>
      </w:r>
      <w:r>
        <w:instrText> SEQ Figure \* ARABIC </w:instrText>
      </w:r>
      <w:r>
        <w:fldChar w:fldCharType="separate"/>
      </w:r>
      <w:r>
        <w:t>1</w:t>
      </w:r>
      <w:r>
        <w:fldChar w:fldCharType="end"/>
      </w:r>
      <w:bookmarkEnd w:id="44"/>
      <w:r>
        <w:rPr/>
        <w:t>.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pPr>
        <w:pStyle w:val="Caption1"/>
        <w:rPr/>
      </w:pPr>
      <w:r>
        <w:rPr/>
      </w:r>
    </w:p>
    <w:p>
      <w:pPr>
        <w:pStyle w:val="Caption1"/>
        <w:rPr/>
      </w:pPr>
      <w:bookmarkStart w:id="45" w:name="_Ref490060168"/>
      <w:r>
        <w:rPr/>
        <w:t xml:space="preserve">Figure </w:t>
      </w:r>
      <w:r>
        <w:rPr/>
        <w:fldChar w:fldCharType="begin"/>
      </w:r>
      <w:r>
        <w:instrText> SEQ Figure \* ARABIC </w:instrText>
      </w:r>
      <w:r>
        <w:fldChar w:fldCharType="separate"/>
      </w:r>
      <w:r>
        <w:t>2</w:t>
      </w:r>
      <w:r>
        <w:fldChar w:fldCharType="end"/>
      </w:r>
      <w:bookmarkEnd w:id="43"/>
      <w:bookmarkEnd w:id="45"/>
      <w:r>
        <w:rPr/>
        <w:t xml:space="preserve">. Polarized FTIR spectra (thick blue) and baselines (black) used to estimate the water concentrations of Kilauea Iki olivine (Kiki) and San Carlos olivine (SC1-1 and SC1-2) reported in </w:t>
      </w:r>
      <w:r>
        <w:rPr/>
        <w:fldChar w:fldCharType="begin"/>
      </w:r>
      <w:r>
        <w:instrText> REF _Ref482181791 \h </w:instrText>
      </w:r>
      <w:r>
        <w:fldChar w:fldCharType="separate"/>
      </w:r>
      <w:r>
        <w:t>Table 1</w:t>
      </w:r>
      <w:r>
        <w:fldChar w:fldCharType="end"/>
      </w:r>
      <w:r>
        <w:rPr/>
        <w:t>.</w:t>
      </w:r>
    </w:p>
    <w:p>
      <w:pPr>
        <w:pStyle w:val="Normal"/>
        <w:keepNext/>
        <w:ind w:hanging="0"/>
        <w:rPr/>
      </w:pPr>
      <w:r>
        <w:rPr/>
      </w:r>
    </w:p>
    <w:p>
      <w:pPr>
        <w:pStyle w:val="Caption1"/>
        <w:rPr/>
      </w:pPr>
      <w:bookmarkStart w:id="46" w:name="_Ref477446399"/>
      <w:r>
        <w:rPr/>
        <w:t xml:space="preserve">Figure </w:t>
      </w:r>
      <w:r>
        <w:rPr/>
        <w:fldChar w:fldCharType="begin"/>
      </w:r>
      <w:r>
        <w:instrText> SEQ Figure \* ARABIC </w:instrText>
      </w:r>
      <w:r>
        <w:fldChar w:fldCharType="separate"/>
      </w:r>
      <w:r>
        <w:t>3</w:t>
      </w:r>
      <w:r>
        <w:fldChar w:fldCharType="end"/>
      </w:r>
      <w:bookmarkEnd w:id="46"/>
      <w:r>
        <w:rP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Calibri" w:cstheme="minorHAnsi"/>
        </w:rPr>
        <w:t>°</w:t>
      </w:r>
      <w:r>
        <w:rPr/>
        <w:t>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w:t>
      </w:r>
    </w:p>
    <w:p>
      <w:pPr>
        <w:pStyle w:val="Normal"/>
        <w:keepNext/>
        <w:ind w:hanging="0"/>
        <w:rPr/>
      </w:pPr>
      <w:r>
        <w:rPr/>
      </w:r>
    </w:p>
    <w:p>
      <w:pPr>
        <w:pStyle w:val="Caption1"/>
        <w:rPr/>
      </w:pPr>
      <w:bookmarkStart w:id="47" w:name="_Ref481414335"/>
      <w:r>
        <w:rPr/>
        <w:t xml:space="preserve">Figure </w:t>
      </w:r>
      <w:r>
        <w:rPr/>
        <w:fldChar w:fldCharType="begin"/>
      </w:r>
      <w:r>
        <w:instrText> SEQ Figure \* ARABIC </w:instrText>
      </w:r>
      <w:r>
        <w:fldChar w:fldCharType="separate"/>
      </w:r>
      <w:r>
        <w:t>4</w:t>
      </w:r>
      <w:r>
        <w:fldChar w:fldCharType="end"/>
      </w:r>
      <w:bookmarkEnd w:id="47"/>
      <w:r>
        <w:rPr/>
        <w:t xml:space="preserve">. Concentration profiles across San Carlos olivine samples SC1-2 and SC1-7 after partial hydration in a piston cylinder as measured through the uncut block. R is the ray path of the infrared beam, and the electric vector E of the polarized infrared beam is in all cases || a. Hydrogen concentrations are estimated from polarized FTIR spectra based using the areas under the baselines shown in </w:t>
      </w:r>
      <w:r>
        <w:rPr/>
        <w:fldChar w:fldCharType="begin"/>
      </w:r>
      <w:r>
        <w:instrText> REF _Ref477446399 \h </w:instrText>
      </w:r>
      <w:r>
        <w:fldChar w:fldCharType="separate"/>
      </w:r>
      <w:r>
        <w:t>Figure 3</w:t>
      </w:r>
      <w:r>
        <w:fldChar w:fldCharType="end"/>
      </w:r>
      <w:r>
        <w:rPr/>
        <w:t xml:space="preserve"> and initial hydrogen contents from </w:t>
      </w:r>
      <w:r>
        <w:rPr/>
        <w:fldChar w:fldCharType="begin"/>
      </w:r>
      <w:r>
        <w:instrText> REF _Ref482181791 \h </w:instrText>
      </w:r>
      <w:r>
        <w:fldChar w:fldCharType="separate"/>
      </w:r>
      <w:r>
        <w:t>Table 1</w:t>
      </w:r>
      <w:r>
        <w:fldChar w:fldCharType="end"/>
      </w:r>
      <w:r>
        <w:rPr/>
        <w:t>. Profiles constructed with alternative baselines are provided in the supplement. Grey curves show the expected diffusion curves based on the diffusivities (D) for the proton-vacancy (pv) mechanism diffusion at 1000°C (D</w:t>
      </w:r>
      <w:r>
        <w:rPr>
          <w:vertAlign w:val="subscript"/>
        </w:rPr>
        <w:t>||a</w:t>
      </w:r>
      <w:r>
        <w:rPr/>
        <w:t>=10</w:t>
      </w:r>
      <w:r>
        <w:rPr>
          <w:vertAlign w:val="superscript"/>
        </w:rPr>
        <w:t>-12.8</w:t>
      </w:r>
      <w:r>
        <w:rPr/>
        <w:t xml:space="preserve"> m</w:t>
      </w:r>
      <w:r>
        <w:rPr>
          <w:vertAlign w:val="superscript"/>
        </w:rPr>
        <w:t>2</w:t>
      </w:r>
      <w:r>
        <w:rPr/>
        <w:t>/s; D</w:t>
      </w:r>
      <w:r>
        <w:rPr>
          <w:vertAlign w:val="subscript"/>
        </w:rPr>
        <w:t>||b</w:t>
      </w:r>
      <w:r>
        <w:rPr/>
        <w:t>=-10</w:t>
      </w:r>
      <w:r>
        <w:rPr>
          <w:vertAlign w:val="superscript"/>
        </w:rPr>
        <w:t>-13.2</w:t>
      </w:r>
      <w:r>
        <w:rPr/>
        <w:t xml:space="preserve"> m</w:t>
      </w:r>
      <w:r>
        <w:rPr>
          <w:vertAlign w:val="superscript"/>
        </w:rPr>
        <w:t>2</w:t>
      </w:r>
      <w:r>
        <w:rPr/>
        <w:t>/s; D</w:t>
      </w:r>
      <w:r>
        <w:rPr>
          <w:vertAlign w:val="subscript"/>
        </w:rPr>
        <w:t>||c</w:t>
      </w:r>
      <w:r>
        <w:rPr/>
        <w:t>=10</w:t>
      </w:r>
      <w:r>
        <w:rPr>
          <w:vertAlign w:val="superscript"/>
        </w:rPr>
        <w:t>-11.8</w:t>
      </w:r>
      <w:r>
        <w:rPr/>
        <w:t xml:space="preserve"> m</w:t>
      </w:r>
      <w:r>
        <w:rPr>
          <w:vertAlign w:val="superscript"/>
        </w:rPr>
        <w:t>2</w:t>
      </w:r>
      <w:r>
        <w:rPr/>
        <w:t>/s), an initial “metastable equilibrium” concentration equal to the mean concentration or peak height in the hydrated SC1-2 (dotted green lines, where all diffusion possible by the proton-polaron, or p.p., mechanism has been completed) and final concentration equal to the expected solubility of 112 ppm H</w:t>
      </w:r>
      <w:r>
        <w:rPr>
          <w:vertAlign w:val="subscript"/>
        </w:rPr>
        <w:t>2</w:t>
      </w:r>
      <w:r>
        <w:rPr/>
        <w:t>O. Thin orange lines show estimated diffusivities changed || c to better fit the data.</w:t>
      </w:r>
    </w:p>
    <w:p>
      <w:pPr>
        <w:pStyle w:val="Normal"/>
        <w:rPr/>
      </w:pPr>
      <w:r>
        <w:rPr/>
      </w:r>
    </w:p>
    <w:p>
      <w:pPr>
        <w:pStyle w:val="Caption1"/>
        <w:rPr/>
      </w:pPr>
      <w:r>
        <w:br w:type="column"/>
      </w:r>
      <w:bookmarkStart w:id="48" w:name="_Ref480967392"/>
      <w:r>
        <w:rPr/>
        <w:t xml:space="preserve">Figure </w:t>
      </w:r>
      <w:r>
        <w:rPr/>
        <w:fldChar w:fldCharType="begin"/>
      </w:r>
      <w:r>
        <w:instrText> SEQ Figure \* ARABIC </w:instrText>
      </w:r>
      <w:r>
        <w:fldChar w:fldCharType="separate"/>
      </w:r>
      <w:r>
        <w:t>5</w:t>
      </w:r>
      <w:r>
        <w:fldChar w:fldCharType="end"/>
      </w:r>
      <w:bookmarkEnd w:id="48"/>
      <w:r>
        <w:rPr/>
        <w:t xml:space="preserve">. Averaged polarized FTIR spectra with electric vector E || [100] of Kilauea Iki olivine (offset for clarity) and partially hydrated San Carlos olivine SC1-2 before and after heating in a gas-mixing furnace. </w:t>
      </w:r>
    </w:p>
    <w:p>
      <w:pPr>
        <w:pStyle w:val="Normal"/>
        <w:rPr/>
      </w:pPr>
      <w:r>
        <w:rPr/>
      </w:r>
    </w:p>
    <w:p>
      <w:pPr>
        <w:pStyle w:val="Caption1"/>
        <w:rPr/>
      </w:pPr>
      <w:bookmarkStart w:id="49" w:name="_Ref490209229"/>
      <w:r>
        <w:rPr/>
        <w:t xml:space="preserve">Figure </w:t>
      </w:r>
      <w:r>
        <w:rPr/>
        <w:fldChar w:fldCharType="begin"/>
      </w:r>
      <w:r>
        <w:instrText> SEQ Figure \* ARABIC </w:instrText>
      </w:r>
      <w:r>
        <w:fldChar w:fldCharType="separate"/>
      </w:r>
      <w:r>
        <w:t>6</w:t>
      </w:r>
      <w:r>
        <w:fldChar w:fldCharType="end"/>
      </w:r>
      <w:bookmarkEnd w:id="49"/>
      <w:r>
        <w:rPr/>
        <w:t>. An FTIR spectrum measured near the edge of the (001) face of San Carlos olivine SC1-2.</w:t>
      </w:r>
    </w:p>
    <w:p>
      <w:pPr>
        <w:pStyle w:val="Normal"/>
        <w:rPr/>
      </w:pPr>
      <w:r>
        <w:rPr/>
      </w:r>
    </w:p>
    <w:p>
      <w:pPr>
        <w:pStyle w:val="Caption1"/>
        <w:rPr/>
      </w:pPr>
      <w:bookmarkStart w:id="50" w:name="_Ref490823372"/>
      <w:r>
        <w:rPr/>
        <w:t xml:space="preserve">Figure </w:t>
      </w:r>
      <w:r>
        <w:rPr/>
        <w:fldChar w:fldCharType="begin"/>
      </w:r>
      <w:r>
        <w:instrText> SEQ Figure \* ARABIC </w:instrText>
      </w:r>
      <w:r>
        <w:fldChar w:fldCharType="separate"/>
      </w:r>
      <w:r>
        <w:t>7</w:t>
      </w:r>
      <w:r>
        <w:fldChar w:fldCharType="end"/>
      </w:r>
      <w:bookmarkEnd w:id="50"/>
      <w:r>
        <w:rPr/>
        <w:t>. Profiles of the [Ti] mechanism peak at 3525 cm</w:t>
      </w:r>
      <w:r>
        <w:rPr>
          <w:vertAlign w:val="superscript"/>
        </w:rPr>
        <w:t>-1</w:t>
      </w:r>
      <w:r>
        <w:rPr/>
        <w:t xml:space="preserve"> in Kilauea Iki olivine (top, purple) and San Carlos olivine SC1-2 (green) showing the peak height (H) relative to the initial peak height (H</w:t>
      </w:r>
      <w:r>
        <w:rPr>
          <w:vertAlign w:val="subscript"/>
        </w:rPr>
        <w:t>0</w:t>
      </w:r>
      <w:r>
        <w:rPr/>
        <w:t xml:space="preserve">) of the initial (Kilauea Iki) or partially hydrated crystal (San Carlos; see </w:t>
      </w:r>
      <w:r>
        <w:rPr/>
        <w:fldChar w:fldCharType="begin"/>
      </w:r>
      <w:r>
        <w:instrText> REF _Ref481414335 \h </w:instrText>
      </w:r>
      <w:r>
        <w:fldChar w:fldCharType="separate"/>
      </w:r>
      <w:r>
        <w:t>Figure 4</w:t>
      </w:r>
      <w:r>
        <w:fldChar w:fldCharType="end"/>
      </w:r>
      <w:r>
        <w:rPr/>
        <w:t>) measured through the uncut block in each direction after different heating times at 800°C. The black curves show calculated profiles expected for pp, the proton-polaron mechanism, which has diffusivities of 10</w:t>
      </w:r>
      <w:r>
        <w:rPr>
          <w:vertAlign w:val="superscript"/>
        </w:rPr>
        <w:t>-10.9</w:t>
      </w:r>
      <w:r>
        <w:rPr/>
        <w:t xml:space="preserve"> m</w:t>
      </w:r>
      <w:r>
        <w:rPr>
          <w:vertAlign w:val="superscript"/>
        </w:rPr>
        <w:t>2</w:t>
      </w:r>
      <w:r>
        <w:rPr/>
        <w:t>/s || [100], 10</w:t>
      </w:r>
      <w:r>
        <w:rPr>
          <w:vertAlign w:val="superscript"/>
        </w:rPr>
        <w:t>-12.6</w:t>
      </w:r>
      <w:r>
        <w:rPr/>
        <w:t xml:space="preserve"> m</w:t>
      </w:r>
      <w:r>
        <w:rPr>
          <w:vertAlign w:val="superscript"/>
        </w:rPr>
        <w:t>2</w:t>
      </w:r>
      <w:r>
        <w:rPr/>
        <w:t>/s || [010], and 10</w:t>
      </w:r>
      <w:r>
        <w:rPr>
          <w:vertAlign w:val="superscript"/>
        </w:rPr>
        <w:t>-12.2</w:t>
      </w:r>
      <w:r>
        <w:rPr/>
        <w:t xml:space="preserve"> m</w:t>
      </w:r>
      <w:r>
        <w:rPr>
          <w:vertAlign w:val="superscript"/>
        </w:rPr>
        <w:t>2</w:t>
      </w:r>
      <w:r>
        <w:rPr/>
        <w:t>/s || [001] at 800°C. This peak has essentially not moved in the Kilauea Iki olivine after 8 hours (top), whereas the 7 hour San Carlos data match the expected fast pp profiles reasonably well (middle), although by 19 hours, the H</w:t>
      </w:r>
      <w:r>
        <w:rPr>
          <w:vertAlign w:val="superscript"/>
        </w:rPr>
        <w:t>+</w:t>
      </w:r>
      <w:r>
        <w:rPr/>
        <w:t xml:space="preserve"> loss from this peak has noticeably slowed down (bottom). </w:t>
      </w:r>
    </w:p>
    <w:p>
      <w:pPr>
        <w:pStyle w:val="Caption1"/>
        <w:rPr/>
      </w:pPr>
      <w:r>
        <w:rPr/>
      </w:r>
    </w:p>
    <w:p>
      <w:pPr>
        <w:pStyle w:val="Caption1"/>
        <w:rPr/>
      </w:pPr>
      <w:r>
        <w:rPr/>
      </w:r>
    </w:p>
    <w:p>
      <w:pPr>
        <w:pStyle w:val="Normal"/>
        <w:rPr/>
      </w:pPr>
      <w:r>
        <w:rPr/>
      </w:r>
    </w:p>
    <w:p>
      <w:pPr>
        <w:pStyle w:val="Normal"/>
        <w:rPr/>
      </w:pPr>
      <w:r>
        <w:rPr/>
      </w:r>
    </w:p>
    <w:p>
      <w:pPr>
        <w:pStyle w:val="ListParagraph"/>
        <w:numPr>
          <w:ilvl w:val="0"/>
          <w:numId w:val="0"/>
        </w:numPr>
        <w:ind w:left="720" w:firstLine="432"/>
        <w:rPr/>
      </w:pPr>
      <w:r>
        <w:rPr/>
      </w:r>
    </w:p>
    <w:p>
      <w:pPr>
        <w:pStyle w:val="ListParagraph"/>
        <w:numPr>
          <w:ilvl w:val="0"/>
          <w:numId w:val="0"/>
        </w:numPr>
        <w:ind w:left="720" w:firstLine="432"/>
        <w:rPr/>
      </w:pPr>
      <w:bookmarkStart w:id="51" w:name="_Ref482272329"/>
      <w:bookmarkStart w:id="52" w:name="_Ref482092687"/>
      <w:bookmarkStart w:id="53" w:name="_Ref482272329"/>
      <w:bookmarkStart w:id="54" w:name="_Ref482092687"/>
      <w:bookmarkEnd w:id="53"/>
      <w:bookmarkEnd w:id="54"/>
      <w:r>
        <w:rPr/>
      </w:r>
    </w:p>
    <w:p>
      <w:pPr>
        <w:pStyle w:val="Heading1"/>
        <w:rPr/>
      </w:pPr>
      <w:r>
        <w:br w:type="column"/>
      </w:r>
      <w:r>
        <w:rPr/>
        <w:t>Bibliography</w:t>
      </w:r>
    </w:p>
    <w:p>
      <w:pPr>
        <w:pStyle w:val="Bibliography"/>
        <w:rPr/>
      </w:pPr>
      <w:r>
        <w:fldChar w:fldCharType="begin"/>
      </w:r>
      <w:r>
        <w:instrText>ADDIN ZOTERO_BIBL {"custom":[]} CSL_BIBLIOGRAPHY</w:instrText>
      </w:r>
      <w:r>
        <w:fldChar w:fldCharType="separate"/>
      </w:r>
      <w:bookmarkStart w:id="55" w:name="__Fieldmark__1763_2212690323"/>
      <w:r>
        <w:rPr/>
      </w:r>
      <w:r>
        <w:rPr/>
        <w:br/>
        <w:t>Bell, D. R., and G. R. Rossman</w:t>
        <w:br/>
        <w:t xml:space="preserve"> 1992</w:t>
        <w:tab/>
        <w:t>Water in Earth’s Mantle: The Role of Nominally Anhydrous Minerals. Science 255(5050). WOS:A1992HH74400043: 1391–1397.</w:t>
      </w:r>
      <w:bookmarkEnd w:id="55"/>
      <w:r>
        <w:rPr/>
      </w:r>
      <w:r>
        <w:fldChar w:fldCharType="end"/>
      </w:r>
    </w:p>
    <w:p>
      <w:pPr>
        <w:pStyle w:val="Bibliography"/>
        <w:rPr>
          <w:rFonts w:ascii="Calibri" w:hAnsi="Calibri"/>
        </w:rPr>
      </w:pPr>
      <w:r>
        <w:rPr/>
        <w:br/>
        <w:t>Bell, D. R., G. R. Rossman, J. Maldener, D. Endisch, and F. Rauch</w:t>
        <w:br/>
        <w:t xml:space="preserve"> 2003</w:t>
        <w:tab/>
        <w:t>Hydroxide in Olivine: A Quantitative Determination of the Absolute Amount and Calibration of the IR Spectrum. Journal of Geophysical Research-Solid Earth 108(B2). WOS:000181985400002. ://WOS:000181985400002.</w:t>
      </w:r>
    </w:p>
    <w:p>
      <w:pPr>
        <w:pStyle w:val="Bibliography"/>
        <w:rPr>
          <w:rFonts w:ascii="Calibri" w:hAnsi="Calibri"/>
        </w:rPr>
      </w:pPr>
      <w:r>
        <w:rPr/>
        <w:br/>
        <w:t>Berry, A. J., J. Hermann, H. S. C. O’Neill, and G. J. Foran</w:t>
        <w:br/>
        <w:t xml:space="preserve"> 2005</w:t>
        <w:tab/>
        <w:t>Fingerprinting the Water Site in Mantle Olivine. Geology 33(11). WOS:000233059000008: 869–872.</w:t>
      </w:r>
    </w:p>
    <w:p>
      <w:pPr>
        <w:pStyle w:val="Bibliography"/>
        <w:rPr>
          <w:rFonts w:ascii="Calibri" w:hAnsi="Calibri"/>
        </w:rPr>
      </w:pPr>
      <w:r>
        <w:rPr/>
        <w:br/>
        <w:t>Berry, A. J., A. M. Walker, J. Hermann, et al.</w:t>
        <w:br/>
        <w:t xml:space="preserve"> 2007</w:t>
        <w:tab/>
        <w:t>Titanium Substitution Mechanisms in Forsterite. Chemical Geology 242(1–2). WOS:000248433400010: 176–186.</w:t>
      </w:r>
    </w:p>
    <w:p>
      <w:pPr>
        <w:pStyle w:val="Bibliography"/>
        <w:rPr>
          <w:rFonts w:ascii="Calibri" w:hAnsi="Calibri"/>
        </w:rPr>
      </w:pPr>
      <w:r>
        <w:rPr/>
        <w:br/>
        <w:t>Blanchard, Marc, Jannick Ingrin, Etienne Balan, István Kovács, and Anthony C. Withers</w:t>
        <w:br/>
        <w:t xml:space="preserve"> 2017</w:t>
        <w:tab/>
        <w:t>Effect of Iron and Trivalent Cations on OH Defects in Olivine. American Mineralogist 102(2): 302–311.</w:t>
      </w:r>
    </w:p>
    <w:p>
      <w:pPr>
        <w:pStyle w:val="Bibliography"/>
        <w:rPr>
          <w:rFonts w:ascii="Calibri" w:hAnsi="Calibri"/>
        </w:rPr>
      </w:pPr>
      <w:r>
        <w:rPr/>
        <w:br/>
        <w:t>Chen, Y., A. Provost, P. Schiano, and N. Cluzel</w:t>
        <w:br/>
        <w:t xml:space="preserve"> 2011</w:t>
        <w:tab/>
        <w:t>The Rate of Water Loss from Olivine-Hosted Melt Inclusions. Contributions to Mineralogy and Petrology 162(3). WOS:000294216500011: 625–636.</w:t>
      </w:r>
    </w:p>
    <w:p>
      <w:pPr>
        <w:pStyle w:val="Bibliography"/>
        <w:rPr>
          <w:rFonts w:ascii="Calibri" w:hAnsi="Calibri"/>
        </w:rPr>
      </w:pPr>
      <w:r>
        <w:rPr/>
        <w:br/>
        <w:t>Demouchy, S., and S. Mackwell</w:t>
        <w:br/>
        <w:t xml:space="preserve"> 2003</w:t>
        <w:tab/>
        <w:t>Water Diffusion in Synthetic Iron-Free Forsterite. Physics and Chemistry of Minerals 30(8). WOS:000185964900006: 486–494.</w:t>
      </w:r>
    </w:p>
    <w:p>
      <w:pPr>
        <w:pStyle w:val="Bibliography"/>
        <w:rPr>
          <w:rFonts w:ascii="Calibri" w:hAnsi="Calibri"/>
        </w:rPr>
      </w:pPr>
      <w:r>
        <w:rPr/>
        <w:t xml:space="preserve"> </w:t>
      </w:r>
      <w:r>
        <w:rPr/>
        <w:t>2006</w:t>
        <w:tab/>
        <w:t>Mechanisms of Hydrogen Incorporation and Diffusion in Iron-Bearing Olivine. Physics and Chemistry of Minerals 33(5). WOS:000240439000005: 347–355.</w:t>
      </w:r>
    </w:p>
    <w:p>
      <w:pPr>
        <w:pStyle w:val="Bibliography"/>
        <w:rPr>
          <w:rFonts w:ascii="Calibri" w:hAnsi="Calibri"/>
        </w:rPr>
      </w:pPr>
      <w:r>
        <w:rPr/>
        <w:br/>
        <w:t>Demouchy, Sylvie, and Nathalie Bolfan-Casanova</w:t>
        <w:br/>
        <w:t xml:space="preserve"> 2016</w:t>
        <w:tab/>
        <w:t>Distribution and Transport of Hydrogen in the Lithospheric Mantle: A Review. Lithos 240: 402–425.</w:t>
      </w:r>
    </w:p>
    <w:p>
      <w:pPr>
        <w:pStyle w:val="Bibliography"/>
        <w:rPr>
          <w:rFonts w:ascii="Calibri" w:hAnsi="Calibri"/>
        </w:rPr>
      </w:pPr>
      <w:r>
        <w:rPr/>
        <w:br/>
        <w:t>Demouchy, Sylvie, Catherine Thoraval, Nathalie Bolfan-Casanova, and Geeth Manthilake</w:t>
        <w:br/>
        <w:t xml:space="preserve"> 2016</w:t>
        <w:tab/>
        <w:t>Diffusivity of Hydrogen in Iron-Bearing Olivine at 3 GPa. Physics of the Earth and Planetary Interiors 260: 1–13.</w:t>
      </w:r>
    </w:p>
    <w:p>
      <w:pPr>
        <w:pStyle w:val="Bibliography"/>
        <w:rPr>
          <w:rFonts w:ascii="Calibri" w:hAnsi="Calibri"/>
        </w:rPr>
      </w:pPr>
      <w:r>
        <w:rPr/>
        <w:br/>
        <w:t>Faul, Ulrich H., Christopher J. Cline II, Emmanuel C. David, Andrew J. Berry, and Ian Jackson</w:t>
        <w:br/>
        <w:t xml:space="preserve"> 2016</w:t>
        <w:tab/>
        <w:t>Titanium-Hydroxyl Defect-Controlled Rheology of the Earth’s Upper Mantle. Earth and Planetary Science Letters 452: 227–237.</w:t>
      </w:r>
    </w:p>
    <w:p>
      <w:pPr>
        <w:pStyle w:val="Bibliography"/>
        <w:rPr>
          <w:rFonts w:ascii="Calibri" w:hAnsi="Calibri"/>
        </w:rPr>
      </w:pPr>
      <w:r>
        <w:rPr/>
        <w:br/>
        <w:t>Ferguson, David J., Helge M. Gonnermann, Philipp Ruprecht, et al.</w:t>
        <w:br/>
        <w:t xml:space="preserve"> 2016</w:t>
        <w:tab/>
        <w:t>Magma Decompression Rates during Explosive Eruptions of Kīlauea Volcano, Hawaii, Recorded by Melt Embayments. Bulletin of Volcanology 78(10): 71.</w:t>
      </w:r>
    </w:p>
    <w:p>
      <w:pPr>
        <w:pStyle w:val="Bibliography"/>
        <w:rPr>
          <w:rFonts w:ascii="Calibri" w:hAnsi="Calibri"/>
        </w:rPr>
      </w:pPr>
      <w:r>
        <w:rPr/>
        <w:br/>
        <w:t>Ferriss, E.</w:t>
        <w:br/>
        <w:t xml:space="preserve"> 2015</w:t>
        <w:tab/>
        <w:t>Pynams: A Python Package for Interpreting FTIR Spectra of Nominally Anhydrous Minerals (NAMs). New York. https://github.com/EFerriss/pynams.</w:t>
      </w:r>
    </w:p>
    <w:p>
      <w:pPr>
        <w:pStyle w:val="Bibliography"/>
        <w:rPr>
          <w:rFonts w:ascii="Calibri" w:hAnsi="Calibri"/>
        </w:rPr>
      </w:pPr>
      <w:r>
        <w:rPr/>
        <w:br/>
        <w:t>Ferriss, E., T. Plank, D. Walker, and M. Nettles</w:t>
        <w:br/>
        <w:t xml:space="preserve"> 2015</w:t>
        <w:tab/>
        <w:t>The Whole-Block Approach to Measuring Hydrogen Diffusivity in Nominally Anhydrous Minerals. American Mineralogist 100(4). WOS:000352175700017: 837–851.</w:t>
      </w:r>
    </w:p>
    <w:p>
      <w:pPr>
        <w:pStyle w:val="Bibliography"/>
        <w:rPr>
          <w:rFonts w:ascii="Calibri" w:hAnsi="Calibri"/>
        </w:rPr>
      </w:pPr>
      <w:r>
        <w:rPr/>
        <w:br/>
        <w:t>Ferriss, Elizabeth, Terry Plank, and David Walker</w:t>
        <w:br/>
        <w:t xml:space="preserve"> 2016</w:t>
        <w:tab/>
        <w:t>Site-Specific Hydrogen Diffusion Rates during Clinopyroxene Dehydration. Contributions to Mineralogy and Petrology 171(6): 1–24.</w:t>
      </w:r>
    </w:p>
    <w:p>
      <w:pPr>
        <w:pStyle w:val="Bibliography"/>
        <w:rPr>
          <w:rFonts w:ascii="Calibri" w:hAnsi="Calibri"/>
        </w:rPr>
      </w:pPr>
      <w:r>
        <w:rPr/>
        <w:br/>
        <w:t>Gaetani, G. A., J. A. O’Leary, N. Shimizu, Claire E. Bucholz, and Matthew Newville</w:t>
        <w:br/>
        <w:t xml:space="preserve"> 2012</w:t>
        <w:tab/>
        <w:t>Rapid Reequilibration of H2O and Oxygen Fugacity in Olivine-Hosted Melt Inclusions. Geology 40(10): 915–918.</w:t>
      </w:r>
    </w:p>
    <w:p>
      <w:pPr>
        <w:pStyle w:val="Bibliography"/>
        <w:rPr>
          <w:rFonts w:ascii="Calibri" w:hAnsi="Calibri"/>
        </w:rPr>
      </w:pPr>
      <w:r>
        <w:rPr/>
        <w:br/>
        <w:t>Hauri, E.</w:t>
        <w:br/>
        <w:t xml:space="preserve"> 2002</w:t>
        <w:tab/>
        <w:t>SIMS Analysis of Volatiles in Silicate Glasses, 2: Isotopes and Abundances in Hawaiian Melt Inclusions. Chemical Geology 183(1–4). WOS:000174332300008: 115–141.</w:t>
      </w:r>
    </w:p>
    <w:p>
      <w:pPr>
        <w:pStyle w:val="Bibliography"/>
        <w:rPr>
          <w:rFonts w:ascii="Calibri" w:hAnsi="Calibri"/>
        </w:rPr>
      </w:pPr>
      <w:r>
        <w:rPr/>
        <w:br/>
        <w:t>Ingrin, J., J. Liu, C. Depecker, et al.</w:t>
        <w:br/>
        <w:t xml:space="preserve"> 2013</w:t>
        <w:tab/>
        <w:t>Low-Temperature Evolution of OH Bands in Synthetic Forsterite, Implication for the Nature of H Defects at High Pressure. Physics and Chemistry of Minerals 40(6). WOS:000319771000005: 499–510.</w:t>
      </w:r>
    </w:p>
    <w:p>
      <w:pPr>
        <w:pStyle w:val="Bibliography"/>
        <w:rPr>
          <w:rFonts w:ascii="Calibri" w:hAnsi="Calibri"/>
        </w:rPr>
      </w:pPr>
      <w:r>
        <w:rPr/>
        <w:br/>
        <w:t>Jollands, Michael C., José Alberto Padrón-Navarta, Jörg Hermann, and Hugh St.C. O’Neill</w:t>
        <w:br/>
        <w:t xml:space="preserve"> 2016</w:t>
        <w:tab/>
        <w:t>Hydrogen Diffusion in Ti-Doped Forsterite and the Preservation of Metastable Point Defects. American Mineralogist 101(7): 1560–1570.</w:t>
      </w:r>
    </w:p>
    <w:p>
      <w:pPr>
        <w:pStyle w:val="Bibliography"/>
        <w:rPr>
          <w:rFonts w:ascii="Calibri" w:hAnsi="Calibri"/>
        </w:rPr>
      </w:pPr>
      <w:r>
        <w:rPr/>
        <w:br/>
        <w:t>Keppler, Hans, and Joseph R. Smyth</w:t>
        <w:br/>
        <w:t xml:space="preserve"> 2006</w:t>
        <w:tab/>
        <w:t>Water in Nominally Anhydrous Minerals, vol.62. Reviews in Mineralogy and Geochemistry. Mineralogical Society of America.</w:t>
      </w:r>
    </w:p>
    <w:p>
      <w:pPr>
        <w:pStyle w:val="Bibliography"/>
        <w:rPr>
          <w:rFonts w:ascii="Calibri" w:hAnsi="Calibri"/>
        </w:rPr>
      </w:pPr>
      <w:r>
        <w:rPr/>
        <w:br/>
        <w:t>Kohlstedt, D. L., and S. J. Mackwell</w:t>
        <w:br/>
        <w:t xml:space="preserve"> 1998</w:t>
        <w:tab/>
        <w:t>Diffusion of Hydrogen and Intrinsic Point Defects in Olivine. Zeitschrift Fur Physikalische Chemie-International Journal of Research in Physical Chemistry &amp; Chemical Physics 207. WOS:000076569300010: 147–162.</w:t>
      </w:r>
    </w:p>
    <w:p>
      <w:pPr>
        <w:pStyle w:val="Bibliography"/>
        <w:rPr>
          <w:rFonts w:ascii="Calibri" w:hAnsi="Calibri"/>
        </w:rPr>
      </w:pPr>
      <w:r>
        <w:rPr/>
        <w:br/>
        <w:t>Kurosawa, M., H. Yurimoto, and S. Sueno</w:t>
        <w:br/>
        <w:t xml:space="preserve"> 1997</w:t>
        <w:tab/>
        <w:t>Patterns in the Hydrogen and Trace Element Compositions of Mantle Olivines. Physics and Chemistry of Glasses 24: 385–395.</w:t>
      </w:r>
    </w:p>
    <w:p>
      <w:pPr>
        <w:pStyle w:val="Bibliography"/>
        <w:rPr>
          <w:rFonts w:ascii="Calibri" w:hAnsi="Calibri"/>
        </w:rPr>
      </w:pPr>
      <w:r>
        <w:rPr/>
        <w:br/>
        <w:t>Le Voyer, Marion, Paul D. Asimow, Jed L. Mosenfelder, et al.</w:t>
        <w:br/>
        <w:t xml:space="preserve"> 2014</w:t>
        <w:tab/>
        <w:t>Zonation of H2O and F Concentrations around Melt Inclusions in Olivines. Journal of Petrology 55(4): 685–707.</w:t>
      </w:r>
    </w:p>
    <w:p>
      <w:pPr>
        <w:pStyle w:val="Bibliography"/>
        <w:rPr>
          <w:rFonts w:ascii="Calibri" w:hAnsi="Calibri"/>
        </w:rPr>
      </w:pPr>
      <w:r>
        <w:rPr/>
        <w:br/>
        <w:t>Libowitzky, E., and G. R. Rossman</w:t>
        <w:br/>
        <w:t xml:space="preserve"> 1996</w:t>
        <w:tab/>
        <w:t>Principles of Quantitative Absorbance Measurements in Anisotropic Crystals. Physics and Chemistry of Minerals 23(6). WOS:A1996VD85000001: 319–327.</w:t>
      </w:r>
    </w:p>
    <w:p>
      <w:pPr>
        <w:pStyle w:val="Bibliography"/>
        <w:rPr>
          <w:rFonts w:ascii="Calibri" w:hAnsi="Calibri"/>
        </w:rPr>
      </w:pPr>
      <w:r>
        <w:rPr/>
        <w:br/>
        <w:t>Lloyd, Alexander S., T. Plank, Philipp Ruprecht, E. H. Hauri, and William Rose</w:t>
        <w:br/>
        <w:t xml:space="preserve"> 2013</w:t>
        <w:tab/>
        <w:t>Volatile Loss from Melt Inclusions in Pyroclasts of Differing Sizes. Contributions to Mineralogy and Petrology 165: 129–153.</w:t>
      </w:r>
    </w:p>
    <w:p>
      <w:pPr>
        <w:pStyle w:val="Bibliography"/>
        <w:rPr>
          <w:rFonts w:ascii="Calibri" w:hAnsi="Calibri"/>
        </w:rPr>
      </w:pPr>
      <w:r>
        <w:rPr/>
        <w:br/>
        <w:t>Mackwell, S. J., and D. L. Kohlstedt</w:t>
        <w:br/>
        <w:t xml:space="preserve"> 1990</w:t>
        <w:tab/>
        <w:t>Diffusion of Hydrogen in Olivine - Implications for Water in the Mantle. Journal of Geophysical Research-Solid Earth and Planets 95(B4). WOS:A1990CZ37500052: 5079–5088.</w:t>
      </w:r>
    </w:p>
    <w:p>
      <w:pPr>
        <w:pStyle w:val="Bibliography"/>
        <w:rPr>
          <w:rFonts w:ascii="Calibri" w:hAnsi="Calibri"/>
        </w:rPr>
      </w:pPr>
      <w:r>
        <w:rPr/>
        <w:br/>
        <w:t>Mironov, Nikita, Maxim Portnyagin, Roman Botcharnikov, et al.</w:t>
        <w:br/>
        <w:t xml:space="preserve"> 2015</w:t>
        <w:tab/>
        <w:t>Quantification of the CO2 Budget and H2O–CO2 Systematics in Subduction-Zone Magmas through the Experimental Hydration of Melt Inclusions in Olivine at High H2O Pressure. Earth and Planetary Science Letters 425: 1–11.</w:t>
      </w:r>
    </w:p>
    <w:p>
      <w:pPr>
        <w:pStyle w:val="Bibliography"/>
        <w:rPr>
          <w:rFonts w:ascii="Calibri" w:hAnsi="Calibri"/>
        </w:rPr>
      </w:pPr>
      <w:r>
        <w:rPr/>
        <w:br/>
        <w:t>Mosenfelder, J. L., N. I. Deligne, P. D. Asimow, and G. R. Rossman</w:t>
        <w:br/>
        <w:t xml:space="preserve"> 2006</w:t>
        <w:tab/>
        <w:t>Hydrogen Incorporation in Olivine from 2-12 GPa. American Mineralogist 91(2–3). WOS:000235472000007: 285–294.</w:t>
      </w:r>
    </w:p>
    <w:p>
      <w:pPr>
        <w:pStyle w:val="Bibliography"/>
        <w:rPr>
          <w:rFonts w:ascii="Calibri" w:hAnsi="Calibri"/>
        </w:rPr>
      </w:pPr>
      <w:r>
        <w:rPr/>
        <w:br/>
        <w:t>Padrón-Navarta, Jose Alberto, Joerg Hermann, and Hugh St. C. O’Neill</w:t>
        <w:br/>
        <w:t xml:space="preserve"> 2014</w:t>
        <w:tab/>
        <w:t>Site-Specific Hydrogen Diffusion Rates in Forsterite. Earth and Planetary Science Letters 392: 100–112.</w:t>
      </w:r>
    </w:p>
    <w:p>
      <w:pPr>
        <w:pStyle w:val="Bibliography"/>
        <w:rPr>
          <w:rFonts w:ascii="Calibri" w:hAnsi="Calibri"/>
        </w:rPr>
      </w:pPr>
      <w:r>
        <w:rPr/>
        <w:br/>
        <w:t>Peslier, A. H., and J. F. Luhr</w:t>
        <w:br/>
        <w:t xml:space="preserve"> 2006</w:t>
        <w:tab/>
        <w:t>Hydrogen Loss from Olivines in Mantle Xenoliths from Simcoe (USA) and Mexico: Mafic Alkalic Magma Ascent Rates and Water Budget of the Sub-Continental Lithosphere. Earth and Planetary Science Letters 242(3–4). WOS:000235855100006: 302–319.</w:t>
      </w:r>
    </w:p>
    <w:p>
      <w:pPr>
        <w:pStyle w:val="Bibliography"/>
        <w:rPr>
          <w:rFonts w:ascii="Calibri" w:hAnsi="Calibri"/>
        </w:rPr>
      </w:pPr>
      <w:r>
        <w:rPr/>
        <w:br/>
        <w:t>Portnyagin, M., Renat Almeev, S. Matveev, and Francois Holtz</w:t>
        <w:br/>
        <w:t xml:space="preserve"> 2008</w:t>
        <w:tab/>
        <w:t>Experimental Evidence for Rapid Water Exchange between Melt Inclusions in Olivine and Host Magma. Earth and Planetary Science Letters 272: 541–552.</w:t>
      </w:r>
    </w:p>
    <w:p>
      <w:pPr>
        <w:pStyle w:val="Bibliography"/>
        <w:rPr>
          <w:rFonts w:ascii="Calibri" w:hAnsi="Calibri"/>
        </w:rPr>
      </w:pPr>
      <w:r>
        <w:rPr/>
        <w:br/>
        <w:t>Rosen, Julia</w:t>
        <w:br/>
        <w:t xml:space="preserve"> 2016</w:t>
        <w:tab/>
        <w:t>Crystal Clocks. Science 354(6314): 822–825.</w:t>
      </w:r>
    </w:p>
    <w:p>
      <w:pPr>
        <w:pStyle w:val="Bibliography"/>
        <w:rPr>
          <w:rFonts w:ascii="Calibri" w:hAnsi="Calibri"/>
        </w:rPr>
      </w:pPr>
      <w:r>
        <w:rPr/>
        <w:br/>
        <w:t>Ruprecht, Philipp, and Terry Plank</w:t>
        <w:br/>
        <w:t xml:space="preserve"> 2013</w:t>
        <w:tab/>
        <w:t>Feeding Andesitic Eruptions with a High-Speed Connection from the Mantle. Nature 500(7460): 68–72.</w:t>
      </w:r>
    </w:p>
    <w:p>
      <w:pPr>
        <w:pStyle w:val="Bibliography"/>
        <w:rPr>
          <w:rFonts w:ascii="Calibri" w:hAnsi="Calibri"/>
        </w:rPr>
      </w:pPr>
      <w:r>
        <w:rPr/>
        <w:br/>
        <w:t>Shuai, Kang, and Xiaozhi Yang</w:t>
        <w:br/>
        <w:t xml:space="preserve"> 2017</w:t>
        <w:tab/>
        <w:t>Quantitative Analysis of H-Species in Anisotropic Minerals by Polarized Infrared Spectroscopy along Three Orthogonal Directions. Contributions to Mineralogy and Petrology 172(2–3): 14.</w:t>
      </w:r>
    </w:p>
    <w:p>
      <w:pPr>
        <w:pStyle w:val="Bibliography"/>
        <w:rPr>
          <w:rFonts w:ascii="Calibri" w:hAnsi="Calibri"/>
        </w:rPr>
      </w:pPr>
      <w:r>
        <w:rPr/>
        <w:br/>
        <w:t>Thoraval, Catherine, and Sylvie Demouchy</w:t>
        <w:br/>
        <w:t xml:space="preserve"> 2014</w:t>
        <w:tab/>
        <w:t>Numerical Models of Ionic Diffusion in One and Three Dimensions: Application to Dehydration of Mantle Olivine. Physics and Chemistry of Minerals 41(9). WOS:000341924800005: 709–723.</w:t>
      </w:r>
    </w:p>
    <w:p>
      <w:pPr>
        <w:pStyle w:val="Bibliography"/>
        <w:rPr>
          <w:rFonts w:ascii="Calibri" w:hAnsi="Calibri"/>
        </w:rPr>
      </w:pPr>
      <w:r>
        <w:rPr/>
        <w:br/>
        <w:t>Tollan, P. M. E., H. St C. O’Neill, J. Hermann, A. Benedictus, and R. J. Arculus</w:t>
        <w:br/>
        <w:t xml:space="preserve"> 2015</w:t>
        <w:tab/>
        <w:t>Frozen Melt-Rock Reaction in a Peridotite Xenolith from Sub-Arc Mantle Recorded by Diffusion of Trace Elements and Water in Olivine. Earth and Planetary Science Letters 422. WOS:000355350700018: 169–181.</w:t>
      </w:r>
    </w:p>
    <w:p>
      <w:pPr>
        <w:pStyle w:val="Bibliography"/>
        <w:rPr>
          <w:rFonts w:ascii="Calibri" w:hAnsi="Calibri"/>
        </w:rPr>
      </w:pPr>
      <w:r>
        <w:rPr/>
        <w:br/>
        <w:t>Tollan, Peter M. E., Rachel Smith, Hugh St C. O’Neill, and Jörg Hermann</w:t>
        <w:br/>
        <w:t xml:space="preserve"> 2017</w:t>
        <w:tab/>
        <w:t>The Responses of the Four Main Substitution Mechanisms of H in Olivine to H 2 O Activity at 1050 °C and 3 GPa. Progress in Earth and Planetary Science 4(1): 14.</w:t>
      </w:r>
    </w:p>
    <w:p>
      <w:pPr>
        <w:pStyle w:val="Bibliography"/>
        <w:rPr>
          <w:rFonts w:ascii="Calibri" w:hAnsi="Calibri"/>
        </w:rPr>
      </w:pPr>
      <w:r>
        <w:rPr/>
        <w:br/>
        <w:t>Withers, A. C.</w:t>
        <w:br/>
        <w:t xml:space="preserve"> 2013</w:t>
        <w:tab/>
        <w:t>The Pitzer and Sterner Equation of State for Water. http://www.geo.umn.edu/people/researchers/withe012/fugacity.htm, accessed August 6, 2013.</w:t>
      </w:r>
    </w:p>
    <w:p>
      <w:pPr>
        <w:pStyle w:val="Bibliography"/>
        <w:rPr>
          <w:rFonts w:ascii="Calibri" w:hAnsi="Calibri"/>
        </w:rPr>
      </w:pPr>
      <w:r>
        <w:rPr/>
        <w:br/>
        <w:t>Withers, Anthony C, Hélène Bureau, Caroline Raepsaet, and Marc M Hirschmann</w:t>
        <w:br/>
        <w:t xml:space="preserve"> 2012</w:t>
        <w:tab/>
        <w:t>Calibration of Infrared Spectroscopy by Elastic Recoil Detection Analysis of H in Synthetic Olivine. Chemical Geology 334: 92–98.</w:t>
      </w:r>
    </w:p>
    <w:p>
      <w:pPr>
        <w:pStyle w:val="Bibliography"/>
        <w:rPr>
          <w:rFonts w:ascii="Calibri" w:hAnsi="Calibri"/>
        </w:rPr>
      </w:pPr>
      <w:r>
        <w:rPr/>
        <w:br/>
        <w:t>Zhao, Y. H., S. B. Ginsberg, and D. L. Kohstedt</w:t>
        <w:br/>
        <w:t xml:space="preserve"> 2004</w:t>
        <w:tab/>
        <w:t>Solubility of Hydrogen in Olivine: Dependence on Temperature and Iron Content. Contributions to Mineralogy and Petrology 147(2). WOS:000221169500003: 155–161.</w:t>
      </w:r>
    </w:p>
    <w:p>
      <w:pPr>
        <w:pStyle w:val="Caption1"/>
        <w:rPr/>
      </w:pPr>
      <w:r>
        <w:rPr/>
        <w:t xml:space="preserve"> </w:t>
      </w:r>
    </w:p>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5" w:qFormat="1"/>
    <w:lsdException w:name="heading 2" w:uiPriority="5"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7b54"/>
    <w:pPr>
      <w:widowControl/>
      <w:bidi w:val="0"/>
      <w:spacing w:lineRule="auto" w:line="240" w:before="0" w:after="0"/>
      <w:ind w:firstLine="432"/>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autoRedefine/>
    <w:uiPriority w:val="5"/>
    <w:qFormat/>
    <w:rsid w:val="00294231"/>
    <w:pPr>
      <w:keepNext/>
      <w:keepLines/>
      <w:spacing w:before="320" w:after="120"/>
      <w:ind w:hanging="0"/>
      <w:outlineLvl w:val="0"/>
    </w:pPr>
    <w:rPr>
      <w:rFonts w:ascii="Calibri Light" w:hAnsi="Calibri Light"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after="0"/>
      <w:ind w:left="432" w:hanging="0"/>
      <w:outlineLvl w:val="1"/>
    </w:pPr>
    <w:rPr>
      <w:rFonts w:ascii="Calibri Light" w:hAnsi="Calibri Light" w:eastAsia="" w:cs="" w:asciiTheme="majorHAnsi" w:cstheme="majorBidi" w:eastAsiaTheme="majorEastAsia" w:hAnsiTheme="majorHAns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after="0"/>
      <w:ind w:left="864" w:firstLine="432"/>
      <w:outlineLvl w:val="2"/>
    </w:pPr>
    <w:rPr>
      <w:rFonts w:ascii="Calibri Light" w:hAnsi="Calibri Light" w:eastAsia="" w:cs="" w:asciiTheme="majorHAnsi" w:cstheme="majorBidi" w:eastAsiaTheme="majorEastAsia" w:hAnsiTheme="majorHAnsi"/>
      <w:b/>
      <w:bCs/>
    </w:rPr>
  </w:style>
  <w:style w:type="paragraph" w:styleId="Heading4">
    <w:name w:val="Heading 4"/>
    <w:basedOn w:val="Normal"/>
    <w:next w:val="Normal"/>
    <w:link w:val="Heading4Char"/>
    <w:autoRedefine/>
    <w:uiPriority w:val="9"/>
    <w:semiHidden/>
    <w:unhideWhenUsed/>
    <w:qFormat/>
    <w:rsid w:val="005c5150"/>
    <w:pPr>
      <w:keepNext/>
      <w:keepLines/>
      <w:spacing w:before="200" w:after="0"/>
      <w:ind w:left="288" w:firstLine="432"/>
      <w:outlineLvl w:val="3"/>
    </w:pPr>
    <w:rPr>
      <w:rFonts w:ascii="Calibri Light" w:hAnsi="Calibri Light" w:eastAsia="" w:cs="" w:asciiTheme="majorHAnsi" w:cstheme="majorBidi" w:eastAsiaTheme="majorEastAsia" w:hAnsiTheme="majorHAnsi"/>
      <w:b/>
      <w:bCs/>
      <w:iC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5"/>
    <w:qFormat/>
    <w:rsid w:val="00294231"/>
    <w:rPr>
      <w:rFonts w:ascii="Calibri Light" w:hAnsi="Calibri Light" w:eastAsia="" w:cs="" w:asciiTheme="majorHAnsi" w:cstheme="majorBidi" w:eastAsiaTheme="majorEastAsia" w:hAnsiTheme="majorHAnsi"/>
      <w:b/>
      <w:bCs/>
      <w:color w:val="000000" w:themeColor="text1"/>
      <w:sz w:val="28"/>
      <w:szCs w:val="28"/>
    </w:rPr>
  </w:style>
  <w:style w:type="character" w:styleId="Heading2Char" w:customStyle="1">
    <w:name w:val="Heading 2 Char"/>
    <w:basedOn w:val="DefaultParagraphFont"/>
    <w:link w:val="Heading2"/>
    <w:uiPriority w:val="5"/>
    <w:qFormat/>
    <w:rsid w:val="00294231"/>
    <w:rPr>
      <w:rFonts w:ascii="Calibri Light" w:hAnsi="Calibri Light" w:eastAsia="" w:cs="" w:asciiTheme="majorHAnsi" w:cstheme="majorBidi" w:eastAsiaTheme="majorEastAsia" w:hAnsiTheme="majorHAnsi"/>
      <w:b/>
      <w:bCs/>
      <w:i/>
      <w:sz w:val="24"/>
      <w:szCs w:val="26"/>
    </w:rPr>
  </w:style>
  <w:style w:type="character" w:styleId="Heading3Char" w:customStyle="1">
    <w:name w:val="Heading 3 Char"/>
    <w:basedOn w:val="DefaultParagraphFont"/>
    <w:link w:val="Heading3"/>
    <w:uiPriority w:val="9"/>
    <w:qFormat/>
    <w:rsid w:val="005c5150"/>
    <w:rPr>
      <w:rFonts w:ascii="Calibri Light" w:hAnsi="Calibri Light"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5c5150"/>
    <w:rPr>
      <w:rFonts w:ascii="Calibri Light" w:hAnsi="Calibri Light" w:eastAsia="" w:cs="" w:asciiTheme="majorHAnsi" w:cstheme="majorBidi" w:eastAsiaTheme="majorEastAsia" w:hAnsiTheme="majorHAnsi"/>
      <w:b/>
      <w:bCs/>
      <w:iCs/>
    </w:rPr>
  </w:style>
  <w:style w:type="character" w:styleId="TitleChar" w:customStyle="1">
    <w:name w:val="Title Char"/>
    <w:basedOn w:val="DefaultParagraphFont"/>
    <w:link w:val="Title"/>
    <w:qFormat/>
    <w:rsid w:val="005c5150"/>
    <w:rPr>
      <w:rFonts w:ascii="Calibri Light" w:hAnsi="Calibri Light" w:eastAsia="" w:cs="" w:asciiTheme="majorHAnsi" w:cstheme="majorBidi" w:eastAsiaTheme="majorEastAsia" w:hAnsiTheme="majorHAnsi"/>
      <w:b/>
      <w:bCs/>
      <w:sz w:val="32"/>
      <w:szCs w:val="32"/>
    </w:rPr>
  </w:style>
  <w:style w:type="character" w:styleId="FootnoteTextChar" w:customStyle="1">
    <w:name w:val="Footnote Text Char"/>
    <w:basedOn w:val="DefaultParagraphFont"/>
    <w:link w:val="FootnoteText"/>
    <w:uiPriority w:val="99"/>
    <w:semiHidden/>
    <w:qFormat/>
    <w:rsid w:val="007c03d1"/>
    <w:rPr>
      <w:sz w:val="20"/>
      <w:szCs w:val="20"/>
    </w:rPr>
  </w:style>
  <w:style w:type="character" w:styleId="Footnotereference">
    <w:name w:val="footnote reference"/>
    <w:basedOn w:val="DefaultParagraphFont"/>
    <w:uiPriority w:val="99"/>
    <w:semiHidden/>
    <w:unhideWhenUsed/>
    <w:qFormat/>
    <w:rsid w:val="007c03d1"/>
    <w:rPr>
      <w:vertAlign w:val="superscript"/>
    </w:rPr>
  </w:style>
  <w:style w:type="character" w:styleId="BalloonTextChar" w:customStyle="1">
    <w:name w:val="Balloon Text Char"/>
    <w:basedOn w:val="DefaultParagraphFont"/>
    <w:link w:val="BalloonText"/>
    <w:uiPriority w:val="99"/>
    <w:semiHidden/>
    <w:qFormat/>
    <w:rsid w:val="00e569e0"/>
    <w:rPr>
      <w:rFonts w:ascii="Segoe UI" w:hAnsi="Segoe UI" w:cs="Segoe UI"/>
      <w:sz w:val="18"/>
      <w:szCs w:val="18"/>
    </w:rPr>
  </w:style>
  <w:style w:type="character" w:styleId="InternetLink">
    <w:name w:val="Internet Link"/>
    <w:basedOn w:val="DefaultParagraphFont"/>
    <w:uiPriority w:val="99"/>
    <w:unhideWhenUsed/>
    <w:rsid w:val="00634590"/>
    <w:rPr>
      <w:color w:val="0563C1" w:themeColor="hyperlink"/>
      <w:u w:val="single"/>
    </w:rPr>
  </w:style>
  <w:style w:type="character" w:styleId="Annotationreference">
    <w:name w:val="annotation reference"/>
    <w:basedOn w:val="DefaultParagraphFont"/>
    <w:uiPriority w:val="99"/>
    <w:semiHidden/>
    <w:unhideWhenUsed/>
    <w:qFormat/>
    <w:rsid w:val="005215d7"/>
    <w:rPr>
      <w:sz w:val="16"/>
      <w:szCs w:val="16"/>
    </w:rPr>
  </w:style>
  <w:style w:type="character" w:styleId="CommentTextChar" w:customStyle="1">
    <w:name w:val="Comment Text Char"/>
    <w:basedOn w:val="DefaultParagraphFont"/>
    <w:link w:val="CommentText"/>
    <w:uiPriority w:val="99"/>
    <w:semiHidden/>
    <w:qFormat/>
    <w:rsid w:val="005215d7"/>
    <w:rPr>
      <w:sz w:val="20"/>
      <w:szCs w:val="20"/>
    </w:rPr>
  </w:style>
  <w:style w:type="character" w:styleId="CommentSubjectChar" w:customStyle="1">
    <w:name w:val="Comment Subject Char"/>
    <w:basedOn w:val="CommentTextChar"/>
    <w:link w:val="CommentSubject"/>
    <w:uiPriority w:val="99"/>
    <w:semiHidden/>
    <w:qFormat/>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character" w:styleId="QuoteChar" w:customStyle="1">
    <w:name w:val="Quote Char"/>
    <w:basedOn w:val="DefaultParagraphFont"/>
    <w:link w:val="Quote"/>
    <w:uiPriority w:val="29"/>
    <w:qFormat/>
    <w:rsid w:val="00c94ac1"/>
    <w:rPr>
      <w:i/>
      <w:iCs/>
      <w:color w:val="404040" w:themeColor="text1" w:themeTint="bf"/>
    </w:rPr>
  </w:style>
  <w:style w:type="character" w:styleId="CaptionChar" w:customStyle="1">
    <w:name w:val="Caption Char"/>
    <w:basedOn w:val="DefaultParagraphFont"/>
    <w:link w:val="Caption"/>
    <w:uiPriority w:val="35"/>
    <w:qFormat/>
    <w:rsid w:val="00235fc0"/>
    <w:rPr>
      <w:bCs/>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icture" w:customStyle="1">
    <w:name w:val="Picture"/>
    <w:basedOn w:val="Normal"/>
    <w:autoRedefine/>
    <w:uiPriority w:val="7"/>
    <w:qFormat/>
    <w:rsid w:val="005c5150"/>
    <w:pPr>
      <w:keepNext/>
      <w:spacing w:before="240" w:after="0"/>
      <w:jc w:val="center"/>
    </w:pPr>
    <w:rPr/>
  </w:style>
  <w:style w:type="paragraph" w:styleId="Caption1">
    <w:name w:val="caption"/>
    <w:basedOn w:val="Normal"/>
    <w:next w:val="Normal"/>
    <w:link w:val="CaptionChar"/>
    <w:autoRedefine/>
    <w:uiPriority w:val="35"/>
    <w:unhideWhenUsed/>
    <w:qFormat/>
    <w:rsid w:val="00d018c6"/>
    <w:pPr>
      <w:keepNext/>
      <w:ind w:hanging="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Calibri Light" w:hAnsi="Calibri Light" w:eastAsia="" w:cs="" w:asciiTheme="majorHAnsi" w:cstheme="majorBidi" w:eastAsiaTheme="majorEastAsia" w:hAnsiTheme="majorHAnsi"/>
      <w:b/>
      <w:bCs/>
      <w:sz w:val="32"/>
      <w:szCs w:val="32"/>
    </w:rPr>
  </w:style>
  <w:style w:type="paragraph" w:styleId="NoSpacing">
    <w:name w:val="No Spacing"/>
    <w:uiPriority w:val="1"/>
    <w:qFormat/>
    <w:rsid w:val="005c5150"/>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c94ac1"/>
    <w:pPr>
      <w:spacing w:before="0" w:after="0"/>
      <w:contextualSpacing/>
    </w:pPr>
    <w:rPr/>
  </w:style>
  <w:style w:type="paragraph" w:styleId="Footnotetext">
    <w:name w:val="footnote text"/>
    <w:basedOn w:val="Normal"/>
    <w:link w:val="FootnoteTextChar"/>
    <w:uiPriority w:val="99"/>
    <w:semiHidden/>
    <w:unhideWhenUsed/>
    <w:qFormat/>
    <w:rsid w:val="007c03d1"/>
    <w:pPr/>
    <w:rPr>
      <w:sz w:val="20"/>
      <w:szCs w:val="20"/>
    </w:rPr>
  </w:style>
  <w:style w:type="paragraph" w:styleId="BalloonText">
    <w:name w:val="Balloon Text"/>
    <w:basedOn w:val="Normal"/>
    <w:link w:val="BalloonTextChar"/>
    <w:uiPriority w:val="99"/>
    <w:semiHidden/>
    <w:unhideWhenUsed/>
    <w:qFormat/>
    <w:rsid w:val="00e569e0"/>
    <w:pPr/>
    <w:rPr>
      <w:rFonts w:ascii="Segoe UI" w:hAnsi="Segoe UI" w:cs="Segoe UI"/>
      <w:sz w:val="18"/>
      <w:szCs w:val="18"/>
    </w:rPr>
  </w:style>
  <w:style w:type="paragraph" w:styleId="Bibliography">
    <w:name w:val="Bibliography"/>
    <w:basedOn w:val="Normal"/>
    <w:next w:val="Normal"/>
    <w:uiPriority w:val="37"/>
    <w:unhideWhenUsed/>
    <w:qFormat/>
    <w:rsid w:val="003117b9"/>
    <w:pPr>
      <w:ind w:hanging="0"/>
    </w:pPr>
    <w:rPr/>
  </w:style>
  <w:style w:type="paragraph" w:styleId="Annotationtext">
    <w:name w:val="annotation text"/>
    <w:basedOn w:val="Normal"/>
    <w:link w:val="CommentTextChar"/>
    <w:uiPriority w:val="99"/>
    <w:semiHidden/>
    <w:unhideWhenUsed/>
    <w:qFormat/>
    <w:rsid w:val="005215d7"/>
    <w:pPr/>
    <w:rPr>
      <w:sz w:val="20"/>
      <w:szCs w:val="20"/>
    </w:rPr>
  </w:style>
  <w:style w:type="paragraph" w:styleId="Annotationsubject">
    <w:name w:val="annotation subject"/>
    <w:basedOn w:val="Annotationtext"/>
    <w:link w:val="CommentSubjectChar"/>
    <w:uiPriority w:val="99"/>
    <w:semiHidden/>
    <w:unhideWhenUsed/>
    <w:qFormat/>
    <w:rsid w:val="005215d7"/>
    <w:pPr/>
    <w:rPr>
      <w:b/>
      <w:bCs/>
    </w:rPr>
  </w:style>
  <w:style w:type="paragraph" w:styleId="Quote">
    <w:name w:val="Quote"/>
    <w:basedOn w:val="Normal"/>
    <w:next w:val="Normal"/>
    <w:link w:val="QuoteChar"/>
    <w:uiPriority w:val="29"/>
    <w:qFormat/>
    <w:rsid w:val="00c94ac1"/>
    <w:pPr>
      <w:spacing w:before="200" w:after="160"/>
      <w:ind w:left="864" w:right="864" w:firstLine="432"/>
      <w:jc w:val="center"/>
    </w:pPr>
    <w:rPr>
      <w:i/>
      <w:iCs/>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063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5FE67-302E-4D1E-80F1-E279B4D0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Application>LibreOffice/5.3.3.2$Windows_x86 LibreOffice_project/3d9a8b4b4e538a85e0782bd6c2d430bafe583448</Application>
  <Pages>13</Pages>
  <Words>6108</Words>
  <Characters>32703</Characters>
  <CharactersWithSpaces>38593</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2017-08-09T13:35:00Z</dcterms:created>
  <dc:creator>Elizabeth</dc:creator>
  <dc:description/>
  <dc:language>en-US</dc:language>
  <cp:lastModifiedBy/>
  <cp:lastPrinted>2017-06-08T14:12:00Z</cp:lastPrinted>
  <dcterms:modified xsi:type="dcterms:W3CDTF">2017-09-11T14:43:39Z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zotero-version="5.0.10"&gt;&lt;session id="Eo6MFP3D"/&gt;&lt;style id="http://www.zotero.org/styles/american-anthropological-association" hasBibliography="1" bibliographyStyleHasBeenSet="1"/&gt;&lt;prefs&gt;&lt;pref name="fieldType" value="Field"/&gt;&lt;pref na</vt:lpwstr>
  </property>
  <property fmtid="{D5CDD505-2E9C-101B-9397-08002B2CF9AE}" pid="9" name="ZOTERO_PREF_2">
    <vt:lpwstr>me="storeReferences" value="true"/&gt;&lt;pref name="automaticJournalAbbreviations" value="true"/&gt;&lt;pref name="noteType" value="0"/&gt;&lt;/prefs&gt;&lt;/data&gt;</vt:lpwstr>
  </property>
</Properties>
</file>