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7D6F" w14:textId="39336D12" w:rsidR="00E43621" w:rsidRPr="00E43621" w:rsidRDefault="0039382D" w:rsidP="00E43621">
      <w:pPr>
        <w:spacing w:after="0" w:line="240" w:lineRule="auto"/>
        <w:jc w:val="center"/>
        <w:rPr>
          <w:rFonts w:ascii="Verdana" w:hAnsi="Verdana"/>
          <w:b/>
          <w:sz w:val="20"/>
          <w:szCs w:val="20"/>
        </w:rPr>
      </w:pPr>
      <w:r>
        <w:rPr>
          <w:rFonts w:ascii="Verdana" w:hAnsi="Verdana"/>
          <w:b/>
          <w:sz w:val="20"/>
          <w:szCs w:val="20"/>
        </w:rPr>
        <w:t xml:space="preserve">Wells Fargo India </w:t>
      </w:r>
      <w:r w:rsidR="00F030CE" w:rsidRPr="00E43621">
        <w:rPr>
          <w:rFonts w:ascii="Verdana" w:hAnsi="Verdana"/>
          <w:b/>
          <w:sz w:val="20"/>
          <w:szCs w:val="20"/>
        </w:rPr>
        <w:t>JOB DESCRIPTION</w:t>
      </w:r>
    </w:p>
    <w:p w14:paraId="0E327D70" w14:textId="77777777" w:rsidR="00E43621" w:rsidRPr="00E43621" w:rsidRDefault="00E43621" w:rsidP="00E43621">
      <w:pPr>
        <w:spacing w:after="0" w:line="240" w:lineRule="auto"/>
        <w:rPr>
          <w:rFonts w:ascii="Verdana" w:hAnsi="Verdana"/>
          <w:sz w:val="20"/>
          <w:szCs w:val="20"/>
        </w:rPr>
      </w:pPr>
    </w:p>
    <w:p w14:paraId="14B6AF3B" w14:textId="77777777" w:rsidR="00C902DC" w:rsidRPr="00F353F8" w:rsidRDefault="00C902DC" w:rsidP="00C902DC">
      <w:pPr>
        <w:spacing w:after="0" w:line="240" w:lineRule="auto"/>
        <w:rPr>
          <w:rFonts w:ascii="Verdana" w:hAnsi="Verdana" w:cstheme="minorHAnsi"/>
          <w:b/>
          <w:sz w:val="20"/>
          <w:szCs w:val="20"/>
        </w:rPr>
      </w:pPr>
    </w:p>
    <w:p w14:paraId="3F6D337D" w14:textId="77777777" w:rsidR="00C902DC" w:rsidRPr="00F353F8" w:rsidRDefault="00C902DC" w:rsidP="00C902DC">
      <w:pPr>
        <w:spacing w:after="0" w:line="240" w:lineRule="auto"/>
        <w:rPr>
          <w:rFonts w:ascii="Verdana" w:hAnsi="Verdana" w:cstheme="minorHAnsi"/>
          <w:b/>
          <w:sz w:val="20"/>
          <w:szCs w:val="20"/>
        </w:rPr>
      </w:pPr>
      <w:r w:rsidRPr="00F353F8">
        <w:rPr>
          <w:rFonts w:ascii="Verdana" w:hAnsi="Verdana" w:cstheme="minorHAnsi"/>
          <w:b/>
          <w:sz w:val="20"/>
          <w:szCs w:val="20"/>
        </w:rPr>
        <w:t>About Wells Fargo</w:t>
      </w:r>
    </w:p>
    <w:p w14:paraId="5B5D2012" w14:textId="3718415D" w:rsidR="00C902DC" w:rsidRDefault="00C902DC" w:rsidP="00C902DC">
      <w:pPr>
        <w:spacing w:after="0" w:line="240" w:lineRule="auto"/>
        <w:rPr>
          <w:rFonts w:ascii="Verdana" w:hAnsi="Verdana" w:cstheme="minorHAnsi"/>
          <w:sz w:val="20"/>
          <w:szCs w:val="20"/>
        </w:rPr>
      </w:pPr>
      <w:r w:rsidRPr="00F353F8">
        <w:rPr>
          <w:rFonts w:ascii="Verdana" w:hAnsi="Verdana" w:cstheme="minorHAnsi"/>
          <w:sz w:val="20"/>
          <w:szCs w:val="20"/>
        </w:rPr>
        <w:t>Wells Fargo &amp; Company (NYSE: WFC) is a leading global financial services company headquartered in San Francisco (United States). Wells Fargo has offices in over 30 countries and territories. Our business outside of the U.S. mostly focuses on providing banking services for large corporate, government and financial institution clients. We have worldwide expertise and services to help our customers improve earnings, manage risk, and develop opportunities in the global marketplace. Our global reach offers many opportunities for you to develop a career with Wells Fargo. Join our diverse and inclusive team where you will feel valued and inspired to contribute your unique skills and experience. We are looking for talented people who will put our customers at the center of everything we do. Help us build a better Wells Fargo. It all begins with outstanding talent. It all begins with you.</w:t>
      </w:r>
    </w:p>
    <w:p w14:paraId="38905F22" w14:textId="77777777" w:rsidR="00C902DC" w:rsidRPr="00F353F8" w:rsidRDefault="00C902DC" w:rsidP="00C902DC">
      <w:pPr>
        <w:spacing w:after="0" w:line="240" w:lineRule="auto"/>
        <w:rPr>
          <w:rFonts w:ascii="Verdana" w:hAnsi="Verdana" w:cstheme="minorHAnsi"/>
          <w:sz w:val="20"/>
          <w:szCs w:val="20"/>
        </w:rPr>
      </w:pPr>
    </w:p>
    <w:p w14:paraId="511E584C" w14:textId="77777777" w:rsidR="009A3CC4" w:rsidRPr="00DB420F" w:rsidRDefault="009A3CC4" w:rsidP="009A3CC4">
      <w:pPr>
        <w:spacing w:before="120" w:after="0" w:line="240" w:lineRule="auto"/>
        <w:rPr>
          <w:rFonts w:ascii="Verdana" w:eastAsia="Times New Roman" w:hAnsi="Verdana" w:cs="Arial"/>
          <w:b/>
          <w:bCs/>
          <w:color w:val="222222"/>
          <w:sz w:val="20"/>
          <w:szCs w:val="20"/>
          <w:lang w:val="en"/>
        </w:rPr>
      </w:pPr>
      <w:r w:rsidRPr="00DB420F">
        <w:rPr>
          <w:rFonts w:ascii="Verdana" w:eastAsia="Times New Roman" w:hAnsi="Verdana" w:cs="Arial"/>
          <w:b/>
          <w:bCs/>
          <w:color w:val="222222"/>
          <w:sz w:val="20"/>
          <w:szCs w:val="20"/>
          <w:lang w:val="en"/>
        </w:rPr>
        <w:t>A</w:t>
      </w:r>
      <w:r>
        <w:rPr>
          <w:rFonts w:ascii="Verdana" w:eastAsia="Times New Roman" w:hAnsi="Verdana" w:cs="Arial"/>
          <w:b/>
          <w:bCs/>
          <w:color w:val="222222"/>
          <w:sz w:val="20"/>
          <w:szCs w:val="20"/>
          <w:lang w:val="en"/>
        </w:rPr>
        <w:t xml:space="preserve">bout Wells Fargo - </w:t>
      </w:r>
      <w:r w:rsidRPr="00DA4917">
        <w:rPr>
          <w:rFonts w:ascii="Verdana" w:eastAsia="Times New Roman" w:hAnsi="Verdana" w:cs="Arial"/>
          <w:b/>
          <w:bCs/>
          <w:color w:val="222222"/>
          <w:sz w:val="20"/>
          <w:szCs w:val="20"/>
          <w:lang w:val="en"/>
        </w:rPr>
        <w:t>India &amp; Philippines (I&amp;P)</w:t>
      </w:r>
    </w:p>
    <w:p w14:paraId="142E4D47" w14:textId="77777777" w:rsidR="009A3CC4" w:rsidRDefault="009A3CC4" w:rsidP="009A3CC4">
      <w:pPr>
        <w:spacing w:before="120" w:after="0" w:line="240" w:lineRule="auto"/>
        <w:rPr>
          <w:rFonts w:ascii="Verdana" w:hAnsi="Verdana"/>
          <w:color w:val="000000"/>
          <w:sz w:val="17"/>
          <w:szCs w:val="17"/>
          <w:shd w:val="clear" w:color="auto" w:fill="FFFFFF"/>
        </w:rPr>
      </w:pPr>
      <w:r w:rsidRPr="00DA4917">
        <w:rPr>
          <w:rFonts w:ascii="Verdana" w:eastAsia="Times New Roman" w:hAnsi="Verdana" w:cs="Arial"/>
          <w:color w:val="222222"/>
          <w:sz w:val="20"/>
          <w:szCs w:val="20"/>
          <w:lang w:val="en"/>
        </w:rPr>
        <w:t>India &amp; Philippines (I&amp;P) partners with the enterprise business groups and functions to identify, prioritize, and execute their global delivery programs, in accordance with risk and policy guidelines. I&amp;P</w:t>
      </w:r>
      <w:r w:rsidRPr="00DA4917">
        <w:rPr>
          <w:rFonts w:ascii="Arial" w:eastAsia="Times New Roman" w:hAnsi="Arial" w:cs="Arial"/>
          <w:color w:val="222222"/>
          <w:sz w:val="20"/>
          <w:szCs w:val="20"/>
          <w:lang w:val="en"/>
        </w:rPr>
        <w:t>​</w:t>
      </w:r>
      <w:r w:rsidRPr="00DA4917">
        <w:rPr>
          <w:rFonts w:ascii="Verdana" w:eastAsia="Times New Roman" w:hAnsi="Verdana" w:cs="Arial"/>
          <w:color w:val="222222"/>
          <w:sz w:val="20"/>
          <w:szCs w:val="20"/>
          <w:lang w:val="en"/>
        </w:rPr>
        <w:t xml:space="preserve"> operates Global Capability Centers (GCCs) in India (Chennai, Hyderabad and Bengaluru) and the Philippines (Manila), and delivers services in conjunction with third-party vendors, with whom it manages relationships on behalf of the enterprise.</w:t>
      </w:r>
    </w:p>
    <w:p w14:paraId="4F576553" w14:textId="77777777" w:rsidR="009A3CC4" w:rsidRPr="00660261" w:rsidRDefault="009A3CC4" w:rsidP="009A3CC4">
      <w:pPr>
        <w:spacing w:before="120" w:after="0" w:line="240" w:lineRule="auto"/>
        <w:rPr>
          <w:rFonts w:ascii="Verdana" w:eastAsia="Times New Roman" w:hAnsi="Verdana" w:cs="Arial"/>
          <w:b/>
          <w:bCs/>
          <w:color w:val="222222"/>
          <w:sz w:val="20"/>
          <w:szCs w:val="20"/>
          <w:lang w:val="en"/>
        </w:rPr>
      </w:pPr>
      <w:r w:rsidRPr="00DA4917">
        <w:rPr>
          <w:rFonts w:ascii="Verdana" w:eastAsia="Times New Roman" w:hAnsi="Verdana" w:cs="Arial"/>
          <w:color w:val="222222"/>
          <w:sz w:val="20"/>
          <w:szCs w:val="20"/>
          <w:lang w:val="en"/>
        </w:rPr>
        <w:t>I&amp;P provides global delivery capabilities, talent at scale and innovative solutions for Wells Fargo's business groups and functions to drive efficiency, effectiveness and stakeholder experience, across technology, operations, analytics and other functions.</w:t>
      </w:r>
      <w:r w:rsidRPr="00DB420F">
        <w:rPr>
          <w:rFonts w:ascii="Verdana" w:eastAsia="Times New Roman" w:hAnsi="Verdana" w:cs="Arial"/>
          <w:color w:val="222222"/>
          <w:sz w:val="20"/>
          <w:szCs w:val="20"/>
          <w:lang w:val="en"/>
        </w:rPr>
        <w:br/>
      </w:r>
      <w:r w:rsidRPr="00DB420F">
        <w:rPr>
          <w:rFonts w:ascii="Verdana" w:eastAsia="Times New Roman" w:hAnsi="Verdana" w:cs="Times New Roman"/>
          <w:sz w:val="20"/>
          <w:szCs w:val="20"/>
        </w:rPr>
        <w:br/>
      </w:r>
      <w:r w:rsidRPr="00660261">
        <w:rPr>
          <w:rFonts w:ascii="Verdana" w:eastAsia="Times New Roman" w:hAnsi="Verdana" w:cs="Arial"/>
          <w:b/>
          <w:bCs/>
          <w:color w:val="222222"/>
          <w:sz w:val="20"/>
          <w:szCs w:val="20"/>
          <w:lang w:val="en"/>
        </w:rPr>
        <w:t>Department Overview</w:t>
      </w:r>
    </w:p>
    <w:p w14:paraId="66D6F465" w14:textId="77777777" w:rsidR="009A3CC4" w:rsidRDefault="009A3CC4" w:rsidP="009A3CC4">
      <w:pPr>
        <w:spacing w:before="120" w:after="0" w:line="240" w:lineRule="auto"/>
        <w:rPr>
          <w:rFonts w:ascii="Verdana" w:eastAsia="Times New Roman" w:hAnsi="Verdana" w:cstheme="minorHAnsi"/>
          <w:sz w:val="20"/>
          <w:szCs w:val="20"/>
        </w:rPr>
      </w:pPr>
      <w:r>
        <w:rPr>
          <w:rFonts w:ascii="Verdana" w:eastAsia="Times New Roman" w:hAnsi="Verdana" w:cs="Times New Roman"/>
          <w:color w:val="333333"/>
          <w:sz w:val="20"/>
          <w:szCs w:val="20"/>
        </w:rPr>
        <w:t xml:space="preserve">Wells Fargo </w:t>
      </w:r>
      <w:r w:rsidRPr="00280B13">
        <w:rPr>
          <w:rFonts w:ascii="Verdana" w:eastAsia="Times New Roman" w:hAnsi="Verdana" w:cs="Times New Roman"/>
          <w:color w:val="333333"/>
          <w:sz w:val="20"/>
          <w:szCs w:val="20"/>
        </w:rPr>
        <w:t>Technology (</w:t>
      </w:r>
      <w:r>
        <w:rPr>
          <w:rFonts w:ascii="Verdana" w:eastAsia="Times New Roman" w:hAnsi="Verdana" w:cs="Times New Roman"/>
          <w:color w:val="333333"/>
          <w:sz w:val="20"/>
          <w:szCs w:val="20"/>
        </w:rPr>
        <w:t>WF</w:t>
      </w:r>
      <w:r w:rsidRPr="00280B13">
        <w:rPr>
          <w:rFonts w:ascii="Verdana" w:eastAsia="Times New Roman" w:hAnsi="Verdana" w:cs="Times New Roman"/>
          <w:color w:val="333333"/>
          <w:sz w:val="20"/>
          <w:szCs w:val="20"/>
        </w:rPr>
        <w:t xml:space="preserve">T) </w:t>
      </w:r>
      <w:r>
        <w:rPr>
          <w:rFonts w:ascii="Verdana" w:eastAsia="Times New Roman" w:hAnsi="Verdana" w:cstheme="minorHAnsi"/>
          <w:sz w:val="20"/>
          <w:szCs w:val="20"/>
        </w:rPr>
        <w:t>develops and supports software applications, solutions and services for the bank’s businesses and internal technology needs. WFT is organized into multiple groups:</w:t>
      </w:r>
    </w:p>
    <w:p w14:paraId="5F6ABF53" w14:textId="77777777" w:rsidR="009A3CC4" w:rsidRPr="003B5903" w:rsidRDefault="009A3CC4" w:rsidP="009A3CC4">
      <w:pPr>
        <w:pStyle w:val="ListParagraph"/>
        <w:numPr>
          <w:ilvl w:val="0"/>
          <w:numId w:val="8"/>
        </w:numPr>
        <w:spacing w:before="120" w:after="0" w:line="240" w:lineRule="auto"/>
        <w:rPr>
          <w:rFonts w:ascii="Verdana" w:eastAsia="Times New Roman" w:hAnsi="Verdana" w:cstheme="minorHAnsi"/>
          <w:sz w:val="20"/>
          <w:szCs w:val="20"/>
        </w:rPr>
      </w:pPr>
      <w:r w:rsidRPr="006261D8">
        <w:rPr>
          <w:rFonts w:ascii="Verdana" w:eastAsia="Times New Roman" w:hAnsi="Verdana" w:cstheme="minorHAnsi"/>
          <w:sz w:val="20"/>
          <w:szCs w:val="20"/>
        </w:rPr>
        <w:t>Strategy, Digital, and Innovation (SDI) &amp; Technology Control Management</w:t>
      </w:r>
    </w:p>
    <w:p w14:paraId="1D3ABDED" w14:textId="77777777" w:rsidR="009A3CC4"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Pr>
          <w:rFonts w:ascii="Verdana" w:eastAsia="Times New Roman" w:hAnsi="Verdana" w:cstheme="minorHAnsi"/>
          <w:sz w:val="20"/>
          <w:szCs w:val="20"/>
        </w:rPr>
        <w:t>R</w:t>
      </w:r>
      <w:r w:rsidRPr="006261D8">
        <w:rPr>
          <w:rFonts w:ascii="Verdana" w:eastAsia="Times New Roman" w:hAnsi="Verdana" w:cstheme="minorHAnsi"/>
          <w:sz w:val="20"/>
          <w:szCs w:val="20"/>
        </w:rPr>
        <w:t>esponsible for covering risk themes across Technology that are in line with the company’s risk management framework</w:t>
      </w:r>
      <w:r>
        <w:rPr>
          <w:rFonts w:ascii="Verdana" w:eastAsia="Times New Roman" w:hAnsi="Verdana" w:cstheme="minorHAnsi"/>
          <w:sz w:val="20"/>
          <w:szCs w:val="20"/>
        </w:rPr>
        <w:t>.</w:t>
      </w:r>
      <w:r w:rsidRPr="00A16831">
        <w:rPr>
          <w:rFonts w:ascii="Verdana" w:hAnsi="Verdana"/>
          <w:color w:val="000000"/>
          <w:sz w:val="17"/>
          <w:szCs w:val="17"/>
          <w:shd w:val="clear" w:color="auto" w:fill="FFFFFF"/>
        </w:rPr>
        <w:t xml:space="preserve"> </w:t>
      </w:r>
      <w:r w:rsidRPr="00A16831">
        <w:rPr>
          <w:rFonts w:ascii="Verdana" w:eastAsia="Times New Roman" w:hAnsi="Verdana" w:cstheme="minorHAnsi"/>
          <w:sz w:val="20"/>
          <w:szCs w:val="20"/>
        </w:rPr>
        <w:t>This responsibility includes assessing, managing, and reporting on Technology risks and issues, as well as collaborating across Technology to implement integrated and holistic risk management capabilities.</w:t>
      </w:r>
    </w:p>
    <w:p w14:paraId="719500B7" w14:textId="77777777" w:rsidR="009A3CC4" w:rsidRDefault="009A3CC4" w:rsidP="009A3CC4">
      <w:pPr>
        <w:pStyle w:val="Heading1"/>
        <w:numPr>
          <w:ilvl w:val="0"/>
          <w:numId w:val="9"/>
        </w:numPr>
        <w:shd w:val="clear" w:color="auto" w:fill="FFFFFF"/>
        <w:tabs>
          <w:tab w:val="num" w:pos="360"/>
        </w:tabs>
        <w:spacing w:before="0" w:beforeAutospacing="0" w:after="75" w:afterAutospacing="0"/>
        <w:ind w:left="0" w:firstLine="0"/>
        <w:rPr>
          <w:rFonts w:ascii="Verdana" w:hAnsi="Verdana" w:cstheme="minorHAnsi"/>
          <w:b w:val="0"/>
          <w:bCs w:val="0"/>
          <w:kern w:val="0"/>
          <w:sz w:val="20"/>
          <w:szCs w:val="20"/>
        </w:rPr>
      </w:pPr>
      <w:r w:rsidRPr="004A4E76">
        <w:rPr>
          <w:rFonts w:ascii="Verdana" w:hAnsi="Verdana" w:cstheme="minorHAnsi"/>
          <w:b w:val="0"/>
          <w:bCs w:val="0"/>
          <w:kern w:val="0"/>
          <w:sz w:val="20"/>
          <w:szCs w:val="20"/>
        </w:rPr>
        <w:t>Wholesale, WIM and Innovation technology Commercial and Corporate &amp; Investment Banking Technology</w:t>
      </w:r>
      <w:r>
        <w:rPr>
          <w:rFonts w:ascii="Verdana" w:hAnsi="Verdana" w:cstheme="minorHAnsi"/>
          <w:b w:val="0"/>
          <w:bCs w:val="0"/>
          <w:kern w:val="0"/>
          <w:sz w:val="20"/>
          <w:szCs w:val="20"/>
        </w:rPr>
        <w:t xml:space="preserve"> (CCIBT)</w:t>
      </w:r>
    </w:p>
    <w:p w14:paraId="7C496197" w14:textId="77777777" w:rsidR="009A3CC4" w:rsidRPr="004A4E76"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Pr>
          <w:rFonts w:ascii="Verdana" w:eastAsia="Times New Roman" w:hAnsi="Verdana" w:cstheme="minorHAnsi"/>
          <w:sz w:val="20"/>
          <w:szCs w:val="20"/>
        </w:rPr>
        <w:t>CCIBT</w:t>
      </w:r>
      <w:r w:rsidRPr="004A4E76">
        <w:rPr>
          <w:rFonts w:ascii="Verdana" w:eastAsia="Times New Roman" w:hAnsi="Verdana" w:cstheme="minorHAnsi"/>
          <w:sz w:val="20"/>
          <w:szCs w:val="20"/>
        </w:rPr>
        <w:t xml:space="preserve"> group supports the Commercial Banking and Corporate &amp; Investment Banking businesses as well as Payment Solutions, Capital Markets Services, Wholesale Digitization, and International Technology across the firm. </w:t>
      </w:r>
    </w:p>
    <w:p w14:paraId="2631DA77" w14:textId="77777777" w:rsidR="009A3CC4" w:rsidRDefault="009A3CC4" w:rsidP="009A3CC4">
      <w:pPr>
        <w:pStyle w:val="Heading1"/>
        <w:numPr>
          <w:ilvl w:val="0"/>
          <w:numId w:val="9"/>
        </w:numPr>
        <w:shd w:val="clear" w:color="auto" w:fill="FFFFFF"/>
        <w:tabs>
          <w:tab w:val="num" w:pos="360"/>
        </w:tabs>
        <w:spacing w:before="0" w:beforeAutospacing="0" w:after="75" w:afterAutospacing="0"/>
        <w:ind w:left="0" w:firstLine="0"/>
        <w:rPr>
          <w:rFonts w:ascii="Verdana" w:hAnsi="Verdana" w:cstheme="minorHAnsi"/>
          <w:b w:val="0"/>
          <w:bCs w:val="0"/>
          <w:kern w:val="0"/>
          <w:sz w:val="20"/>
          <w:szCs w:val="20"/>
        </w:rPr>
      </w:pPr>
      <w:r w:rsidRPr="004A4E76">
        <w:rPr>
          <w:rFonts w:ascii="Verdana" w:hAnsi="Verdana" w:cstheme="minorHAnsi"/>
          <w:b w:val="0"/>
          <w:bCs w:val="0"/>
          <w:kern w:val="0"/>
          <w:sz w:val="20"/>
          <w:szCs w:val="20"/>
        </w:rPr>
        <w:t>Chief Technology Office</w:t>
      </w:r>
    </w:p>
    <w:p w14:paraId="6196BD67" w14:textId="77777777" w:rsidR="009A3CC4" w:rsidRPr="004A4E76"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sidRPr="004A4E76">
        <w:rPr>
          <w:rFonts w:ascii="Verdana" w:eastAsia="Times New Roman" w:hAnsi="Verdana" w:cstheme="minorHAnsi"/>
          <w:sz w:val="20"/>
          <w:szCs w:val="20"/>
        </w:rPr>
        <w:t>CTO group is responsible for enterprise-wide infrastructure services across the global footprint, including networking, production services, storage, data centers, mainframe, midrange and Cloud-based systems, distributed systems, and international infrastructure.</w:t>
      </w:r>
    </w:p>
    <w:p w14:paraId="6EECFEC4" w14:textId="77777777" w:rsidR="009A3CC4" w:rsidRDefault="009A3CC4" w:rsidP="009A3CC4">
      <w:pPr>
        <w:pStyle w:val="Heading1"/>
        <w:numPr>
          <w:ilvl w:val="0"/>
          <w:numId w:val="9"/>
        </w:numPr>
        <w:shd w:val="clear" w:color="auto" w:fill="FFFFFF"/>
        <w:tabs>
          <w:tab w:val="num" w:pos="360"/>
        </w:tabs>
        <w:spacing w:before="0" w:beforeAutospacing="0" w:after="75" w:afterAutospacing="0"/>
        <w:ind w:left="0" w:firstLine="0"/>
        <w:rPr>
          <w:rFonts w:ascii="Verdana" w:hAnsi="Verdana" w:cstheme="minorHAnsi"/>
          <w:b w:val="0"/>
          <w:bCs w:val="0"/>
          <w:kern w:val="0"/>
          <w:sz w:val="20"/>
          <w:szCs w:val="20"/>
        </w:rPr>
      </w:pPr>
      <w:r w:rsidRPr="004A4E76">
        <w:rPr>
          <w:rFonts w:ascii="Verdana" w:hAnsi="Verdana" w:cstheme="minorHAnsi"/>
          <w:b w:val="0"/>
          <w:bCs w:val="0"/>
          <w:kern w:val="0"/>
          <w:sz w:val="20"/>
          <w:szCs w:val="20"/>
        </w:rPr>
        <w:t>Consumer Technology</w:t>
      </w:r>
      <w:r>
        <w:rPr>
          <w:rFonts w:ascii="Verdana" w:hAnsi="Verdana" w:cstheme="minorHAnsi"/>
          <w:b w:val="0"/>
          <w:bCs w:val="0"/>
          <w:kern w:val="0"/>
          <w:sz w:val="20"/>
          <w:szCs w:val="20"/>
        </w:rPr>
        <w:t xml:space="preserve"> (CT)</w:t>
      </w:r>
    </w:p>
    <w:p w14:paraId="55E69082" w14:textId="7BCA0D46" w:rsidR="009A3CC4" w:rsidRPr="009A3CC4" w:rsidRDefault="009A3CC4" w:rsidP="001C05BB">
      <w:pPr>
        <w:pStyle w:val="ListParagraph"/>
        <w:numPr>
          <w:ilvl w:val="0"/>
          <w:numId w:val="7"/>
        </w:numPr>
        <w:spacing w:before="60" w:after="0" w:line="240" w:lineRule="auto"/>
        <w:contextualSpacing w:val="0"/>
        <w:rPr>
          <w:rFonts w:ascii="Verdana" w:eastAsia="Times New Roman" w:hAnsi="Verdana" w:cstheme="minorHAnsi"/>
          <w:sz w:val="20"/>
          <w:szCs w:val="20"/>
        </w:rPr>
      </w:pPr>
      <w:r w:rsidRPr="009A3CC4">
        <w:rPr>
          <w:rFonts w:ascii="Verdana" w:eastAsia="Times New Roman" w:hAnsi="Verdana" w:cstheme="minorHAnsi"/>
          <w:sz w:val="20"/>
          <w:szCs w:val="20"/>
        </w:rPr>
        <w:t xml:space="preserve">CT organization delivers the next generation of payments capabilities; advances digital offerings; enables innovation to develop new customer experiences and </w:t>
      </w:r>
      <w:r w:rsidRPr="009A3CC4">
        <w:rPr>
          <w:rFonts w:ascii="Verdana" w:eastAsia="Times New Roman" w:hAnsi="Verdana" w:cstheme="minorHAnsi"/>
          <w:sz w:val="20"/>
          <w:szCs w:val="20"/>
        </w:rPr>
        <w:lastRenderedPageBreak/>
        <w:t>products; provides consumer lending and card capabilities; and enhances digital channels, branches, contact centers, and ATM technologies.</w:t>
      </w:r>
      <w:r w:rsidRPr="009A3CC4">
        <w:rPr>
          <w:rFonts w:ascii="Arial" w:eastAsia="Times New Roman" w:hAnsi="Arial" w:cs="Arial"/>
          <w:sz w:val="20"/>
          <w:szCs w:val="20"/>
        </w:rPr>
        <w:t>​</w:t>
      </w:r>
    </w:p>
    <w:p w14:paraId="0942B8A0" w14:textId="77777777" w:rsidR="009A3CC4" w:rsidRPr="00A16831" w:rsidRDefault="009A3CC4" w:rsidP="009A3CC4">
      <w:pPr>
        <w:pStyle w:val="ListParagraph"/>
        <w:numPr>
          <w:ilvl w:val="0"/>
          <w:numId w:val="8"/>
        </w:numPr>
        <w:spacing w:before="60" w:after="0" w:line="240" w:lineRule="auto"/>
        <w:rPr>
          <w:rFonts w:ascii="Verdana" w:eastAsia="Times New Roman" w:hAnsi="Verdana" w:cstheme="minorHAnsi"/>
          <w:sz w:val="20"/>
          <w:szCs w:val="20"/>
        </w:rPr>
      </w:pPr>
      <w:r w:rsidRPr="00DB1A2A">
        <w:rPr>
          <w:rFonts w:ascii="Verdana" w:eastAsia="Times New Roman" w:hAnsi="Verdana" w:cstheme="minorHAnsi"/>
          <w:sz w:val="20"/>
          <w:szCs w:val="20"/>
        </w:rPr>
        <w:t>Wealth &amp; Investment Management Technology</w:t>
      </w:r>
    </w:p>
    <w:p w14:paraId="5FB18D18" w14:textId="77777777" w:rsidR="009A3CC4"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sidRPr="00DB1A2A">
        <w:rPr>
          <w:rFonts w:ascii="Verdana" w:eastAsia="Times New Roman" w:hAnsi="Verdana" w:cstheme="minorHAnsi"/>
          <w:sz w:val="20"/>
          <w:szCs w:val="20"/>
        </w:rPr>
        <w:t>The Wealth and Investment Management Technology (WIMT) group provides technology solutions to four key business lines for Wealth &amp; Investment Management (WIM); Wells Fargo Advisors, Wells Fargo Investment Institute, Wells Fargo Asset Management, Wells Fargo Retirement, which is one of the nation's leading providers of investment services.</w:t>
      </w:r>
      <w:r>
        <w:rPr>
          <w:rFonts w:ascii="Verdana" w:eastAsia="Times New Roman" w:hAnsi="Verdana" w:cstheme="minorHAnsi"/>
          <w:sz w:val="20"/>
          <w:szCs w:val="20"/>
        </w:rPr>
        <w:t xml:space="preserve"> Enterprise Functions technology</w:t>
      </w:r>
    </w:p>
    <w:p w14:paraId="397EA9AF" w14:textId="77777777" w:rsidR="009A3CC4" w:rsidRDefault="009A3CC4" w:rsidP="009A3CC4">
      <w:pPr>
        <w:pStyle w:val="ListParagraph"/>
        <w:numPr>
          <w:ilvl w:val="0"/>
          <w:numId w:val="8"/>
        </w:numPr>
        <w:spacing w:before="60" w:after="0" w:line="240" w:lineRule="auto"/>
        <w:rPr>
          <w:rFonts w:ascii="Verdana" w:eastAsia="Times New Roman" w:hAnsi="Verdana" w:cstheme="minorHAnsi"/>
          <w:sz w:val="20"/>
          <w:szCs w:val="20"/>
        </w:rPr>
      </w:pPr>
      <w:r w:rsidRPr="001013F3">
        <w:rPr>
          <w:rFonts w:ascii="Verdana" w:eastAsia="Times New Roman" w:hAnsi="Verdana" w:cstheme="minorHAnsi"/>
          <w:sz w:val="20"/>
          <w:szCs w:val="20"/>
        </w:rPr>
        <w:t>Digital Technology &amp; Innovation</w:t>
      </w:r>
    </w:p>
    <w:p w14:paraId="4B4081DB" w14:textId="77777777" w:rsidR="009A3CC4"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sidRPr="001013F3">
        <w:rPr>
          <w:rFonts w:ascii="Verdana" w:eastAsia="Times New Roman" w:hAnsi="Verdana" w:cstheme="minorHAnsi"/>
          <w:sz w:val="20"/>
          <w:szCs w:val="20"/>
        </w:rPr>
        <w:t>The Digital Technology and Innovation group supports the Corporate Strategy, Digital Platform &amp; Innovation Business.</w:t>
      </w:r>
    </w:p>
    <w:p w14:paraId="04C27BE3" w14:textId="77777777" w:rsidR="009A3CC4" w:rsidRDefault="009A3CC4" w:rsidP="009A3CC4">
      <w:pPr>
        <w:pStyle w:val="ListParagraph"/>
        <w:numPr>
          <w:ilvl w:val="0"/>
          <w:numId w:val="8"/>
        </w:numPr>
        <w:spacing w:before="60" w:after="0" w:line="240" w:lineRule="auto"/>
        <w:rPr>
          <w:rFonts w:ascii="Verdana" w:eastAsia="Times New Roman" w:hAnsi="Verdana" w:cstheme="minorHAnsi"/>
          <w:sz w:val="20"/>
          <w:szCs w:val="20"/>
        </w:rPr>
      </w:pPr>
      <w:r w:rsidRPr="001013F3">
        <w:rPr>
          <w:rFonts w:ascii="Verdana" w:eastAsia="Times New Roman" w:hAnsi="Verdana" w:cstheme="minorHAnsi"/>
          <w:sz w:val="20"/>
          <w:szCs w:val="20"/>
        </w:rPr>
        <w:t>Cybersecurity</w:t>
      </w:r>
    </w:p>
    <w:p w14:paraId="34177853" w14:textId="77777777" w:rsidR="009A3CC4"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sidRPr="001013F3">
        <w:rPr>
          <w:rFonts w:ascii="Verdana" w:eastAsia="Times New Roman" w:hAnsi="Verdana" w:cstheme="minorHAnsi"/>
          <w:sz w:val="20"/>
          <w:szCs w:val="20"/>
        </w:rPr>
        <w:t>The Cybersecurity group is responsible for protecting the company from cyber threats, engaging with Wells Fargo businesses, assessing information security risk, providing identity services, performing security engineering, and operating the Cybersecurity function.</w:t>
      </w:r>
    </w:p>
    <w:p w14:paraId="036FDF39" w14:textId="77777777" w:rsidR="009A3CC4" w:rsidRDefault="009A3CC4" w:rsidP="009A3CC4">
      <w:pPr>
        <w:pStyle w:val="ListParagraph"/>
        <w:numPr>
          <w:ilvl w:val="0"/>
          <w:numId w:val="8"/>
        </w:numPr>
        <w:spacing w:before="60" w:after="0" w:line="240" w:lineRule="auto"/>
        <w:rPr>
          <w:rFonts w:ascii="Verdana" w:eastAsia="Times New Roman" w:hAnsi="Verdana" w:cstheme="minorHAnsi"/>
          <w:sz w:val="20"/>
          <w:szCs w:val="20"/>
        </w:rPr>
      </w:pPr>
      <w:r w:rsidRPr="00F64949">
        <w:rPr>
          <w:rFonts w:ascii="Verdana" w:eastAsia="Times New Roman" w:hAnsi="Verdana" w:cstheme="minorHAnsi"/>
          <w:sz w:val="20"/>
          <w:szCs w:val="20"/>
        </w:rPr>
        <w:t>Technology for the Chief Operating Office</w:t>
      </w:r>
    </w:p>
    <w:p w14:paraId="75D343BA" w14:textId="77777777" w:rsidR="009A3CC4"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sidRPr="00F64949">
        <w:rPr>
          <w:rFonts w:ascii="Verdana" w:eastAsia="Times New Roman" w:hAnsi="Verdana" w:cstheme="minorHAnsi"/>
          <w:sz w:val="20"/>
          <w:szCs w:val="20"/>
        </w:rPr>
        <w:t>TCOO includes operations, control executives, strategic execution, business continuity and resiliency, data solutions and services, regulatory relations, customer experience, enterprise shared services, supply chain management, and the corporate properties group.</w:t>
      </w:r>
    </w:p>
    <w:p w14:paraId="44DA3559" w14:textId="77777777" w:rsidR="009A3CC4" w:rsidRDefault="009A3CC4" w:rsidP="009A3CC4">
      <w:pPr>
        <w:pStyle w:val="ListParagraph"/>
        <w:numPr>
          <w:ilvl w:val="0"/>
          <w:numId w:val="8"/>
        </w:numPr>
        <w:spacing w:before="60" w:after="0" w:line="240" w:lineRule="auto"/>
        <w:rPr>
          <w:rFonts w:ascii="Verdana" w:eastAsia="Times New Roman" w:hAnsi="Verdana" w:cstheme="minorHAnsi"/>
          <w:sz w:val="20"/>
          <w:szCs w:val="20"/>
        </w:rPr>
      </w:pPr>
      <w:r w:rsidRPr="00F64949">
        <w:rPr>
          <w:rFonts w:ascii="Verdana" w:eastAsia="Times New Roman" w:hAnsi="Verdana" w:cstheme="minorHAnsi"/>
          <w:sz w:val="20"/>
          <w:szCs w:val="20"/>
        </w:rPr>
        <w:t>Enterprise Functions Technology</w:t>
      </w:r>
    </w:p>
    <w:p w14:paraId="023D7E10" w14:textId="77777777" w:rsidR="009A3CC4" w:rsidRPr="001013F3" w:rsidRDefault="009A3CC4" w:rsidP="009A3CC4">
      <w:pPr>
        <w:pStyle w:val="ListParagraph"/>
        <w:numPr>
          <w:ilvl w:val="0"/>
          <w:numId w:val="7"/>
        </w:numPr>
        <w:spacing w:before="60" w:after="0" w:line="240" w:lineRule="auto"/>
        <w:contextualSpacing w:val="0"/>
        <w:rPr>
          <w:rFonts w:ascii="Verdana" w:eastAsia="Times New Roman" w:hAnsi="Verdana" w:cstheme="minorHAnsi"/>
          <w:sz w:val="20"/>
          <w:szCs w:val="20"/>
        </w:rPr>
      </w:pPr>
      <w:r w:rsidRPr="00F64949">
        <w:rPr>
          <w:rFonts w:ascii="Verdana" w:eastAsia="Times New Roman" w:hAnsi="Verdana" w:cstheme="minorHAnsi"/>
          <w:sz w:val="20"/>
          <w:szCs w:val="20"/>
        </w:rPr>
        <w:t>The Enterprise Functions Technology (EFT) group provides technology solutions and support for Risk, Audit, Finance, Marketing, Human Resources, Corporate Properties, and Stakeholder Relations business lines.</w:t>
      </w:r>
    </w:p>
    <w:p w14:paraId="28719F11" w14:textId="29F01E3A" w:rsidR="00AC5DF7" w:rsidRDefault="00AC5DF7" w:rsidP="00C902DC">
      <w:pPr>
        <w:spacing w:after="0" w:line="240" w:lineRule="auto"/>
        <w:rPr>
          <w:rFonts w:ascii="Verdana" w:hAnsi="Verdana"/>
          <w:sz w:val="20"/>
          <w:szCs w:val="20"/>
        </w:rPr>
      </w:pPr>
    </w:p>
    <w:p w14:paraId="7BC462BF" w14:textId="77777777" w:rsidR="00AC5DF7" w:rsidRPr="00E43621" w:rsidRDefault="00AC5DF7" w:rsidP="00C902DC">
      <w:pPr>
        <w:spacing w:after="0" w:line="240" w:lineRule="auto"/>
        <w:rPr>
          <w:rFonts w:ascii="Verdana" w:hAnsi="Verdana"/>
          <w:sz w:val="20"/>
          <w:szCs w:val="20"/>
        </w:rPr>
      </w:pPr>
    </w:p>
    <w:p w14:paraId="0E327D79" w14:textId="77777777" w:rsidR="00E43621" w:rsidRPr="00E43621" w:rsidRDefault="00E43621" w:rsidP="00C902DC">
      <w:pPr>
        <w:spacing w:after="0" w:line="240" w:lineRule="auto"/>
        <w:rPr>
          <w:rFonts w:ascii="Verdana" w:hAnsi="Verdana"/>
          <w:b/>
          <w:sz w:val="20"/>
          <w:szCs w:val="20"/>
        </w:rPr>
      </w:pPr>
      <w:r w:rsidRPr="00E43621">
        <w:rPr>
          <w:rFonts w:ascii="Verdana" w:hAnsi="Verdana"/>
          <w:b/>
          <w:sz w:val="20"/>
          <w:szCs w:val="20"/>
        </w:rPr>
        <w:t>About the Role</w:t>
      </w:r>
    </w:p>
    <w:p w14:paraId="0E327D7B" w14:textId="1B4D09EE" w:rsidR="00E43621" w:rsidRDefault="00606119" w:rsidP="00C902DC">
      <w:pPr>
        <w:spacing w:after="0" w:line="240" w:lineRule="auto"/>
        <w:rPr>
          <w:rFonts w:ascii="Verdana" w:hAnsi="Verdana"/>
          <w:sz w:val="20"/>
          <w:szCs w:val="20"/>
        </w:rPr>
      </w:pPr>
      <w:r w:rsidRPr="00606119">
        <w:rPr>
          <w:rFonts w:ascii="Verdana" w:hAnsi="Verdana"/>
          <w:sz w:val="20"/>
          <w:szCs w:val="20"/>
        </w:rPr>
        <w:t xml:space="preserve">Participates in a formal internship program with a duration of at least </w:t>
      </w:r>
      <w:r w:rsidR="00AC5DF7">
        <w:rPr>
          <w:rFonts w:ascii="Verdana" w:hAnsi="Verdana"/>
          <w:sz w:val="20"/>
          <w:szCs w:val="20"/>
        </w:rPr>
        <w:t>6 months</w:t>
      </w:r>
      <w:r w:rsidRPr="00606119">
        <w:rPr>
          <w:rFonts w:ascii="Verdana" w:hAnsi="Verdana"/>
          <w:sz w:val="20"/>
          <w:szCs w:val="20"/>
        </w:rPr>
        <w:t>. Internship includes performing various assignments to become familiar with the organization and gain basic work experience. Work assignments are augmented by classroom training, self-study assignments, workshops, networking and/or other events.</w:t>
      </w:r>
    </w:p>
    <w:p w14:paraId="297BA099" w14:textId="77777777" w:rsidR="00621C9D" w:rsidRDefault="00621C9D" w:rsidP="00621C9D">
      <w:pPr>
        <w:spacing w:after="0" w:line="240" w:lineRule="auto"/>
        <w:rPr>
          <w:rFonts w:ascii="Verdana" w:hAnsi="Verdana"/>
          <w:sz w:val="20"/>
          <w:szCs w:val="20"/>
        </w:rPr>
      </w:pPr>
    </w:p>
    <w:p w14:paraId="42A0851B" w14:textId="461EDFC7"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b/>
          <w:bCs/>
          <w:color w:val="222222"/>
          <w:sz w:val="20"/>
          <w:szCs w:val="20"/>
          <w:bdr w:val="none" w:sz="0" w:space="0" w:color="auto" w:frame="1"/>
          <w:shd w:val="clear" w:color="auto" w:fill="FFFFFF"/>
        </w:rPr>
        <w:t>Responsibilities</w:t>
      </w:r>
      <w:r w:rsidRPr="00621C9D">
        <w:rPr>
          <w:rFonts w:ascii="Verdana" w:eastAsia="Times New Roman" w:hAnsi="Verdana" w:cs="Times New Roman"/>
          <w:color w:val="222222"/>
          <w:sz w:val="20"/>
          <w:szCs w:val="20"/>
          <w:bdr w:val="none" w:sz="0" w:space="0" w:color="auto" w:frame="1"/>
          <w:shd w:val="clear" w:color="auto" w:fill="FFFFFF"/>
        </w:rPr>
        <w:t>:</w:t>
      </w:r>
    </w:p>
    <w:p w14:paraId="231F438A"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Design, develop and test software engineering solutions to perform at scale</w:t>
      </w:r>
    </w:p>
    <w:p w14:paraId="016EB9BD"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Maintain reusable and reliable code and test coverage leveraging appropriate tools</w:t>
      </w:r>
    </w:p>
    <w:p w14:paraId="0FD82868"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Ensure the best possible performance, quality, and responsiveness of applications</w:t>
      </w:r>
    </w:p>
    <w:p w14:paraId="7292DFB7"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Identify application related bottlenecks and bugs, and devise solutions to mitigate and address these issues</w:t>
      </w:r>
    </w:p>
    <w:p w14:paraId="079D7532"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Demonstrate understanding of Business Continuity Planning, quality, security and compliance requirements for supported areas</w:t>
      </w:r>
    </w:p>
    <w:p w14:paraId="3EA5A4DA"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Adhere to the coding standards and contribute to various aspects of application development such as robustness, scalability, simplification and automation</w:t>
      </w:r>
    </w:p>
    <w:p w14:paraId="73B2270B" w14:textId="77777777"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Interact with multiple stakeholders across locations to achieve the desired goal</w:t>
      </w:r>
    </w:p>
    <w:p w14:paraId="1490C7C3" w14:textId="77777777"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color w:val="222222"/>
          <w:sz w:val="20"/>
          <w:szCs w:val="20"/>
          <w:bdr w:val="none" w:sz="0" w:space="0" w:color="auto" w:frame="1"/>
          <w:shd w:val="clear" w:color="auto" w:fill="FFFFFF"/>
        </w:rPr>
        <w:t> </w:t>
      </w:r>
      <w:r w:rsidRPr="00621C9D">
        <w:rPr>
          <w:rFonts w:ascii="Verdana" w:eastAsia="Times New Roman" w:hAnsi="Verdana" w:cs="Times New Roman"/>
          <w:color w:val="222222"/>
          <w:sz w:val="20"/>
          <w:szCs w:val="20"/>
          <w:bdr w:val="none" w:sz="0" w:space="0" w:color="auto" w:frame="1"/>
          <w:shd w:val="clear" w:color="auto" w:fill="FFFFFF"/>
        </w:rPr>
        <w:br/>
      </w:r>
      <w:r w:rsidRPr="00621C9D">
        <w:rPr>
          <w:rFonts w:ascii="Verdana" w:eastAsia="Times New Roman" w:hAnsi="Verdana" w:cs="Times New Roman"/>
          <w:b/>
          <w:bCs/>
          <w:color w:val="222222"/>
          <w:sz w:val="20"/>
          <w:szCs w:val="20"/>
          <w:bdr w:val="none" w:sz="0" w:space="0" w:color="auto" w:frame="1"/>
          <w:shd w:val="clear" w:color="auto" w:fill="FFFFFF"/>
        </w:rPr>
        <w:t>Required Qualifications </w:t>
      </w:r>
    </w:p>
    <w:p w14:paraId="114C3393"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Bachelor's degree in Engineering</w:t>
      </w:r>
    </w:p>
    <w:p w14:paraId="33633691"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Good spoken and written English skills to effectively communicate technical concepts</w:t>
      </w:r>
    </w:p>
    <w:p w14:paraId="003119F1" w14:textId="071B5C7B"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 xml:space="preserve">Strong logical, analytical skills and a systematic </w:t>
      </w:r>
      <w:r w:rsidR="005A400B" w:rsidRPr="00621C9D">
        <w:rPr>
          <w:rFonts w:ascii="Verdana" w:eastAsia="Times New Roman" w:hAnsi="Verdana" w:cs="Times New Roman"/>
          <w:color w:val="222222"/>
          <w:sz w:val="20"/>
          <w:szCs w:val="20"/>
          <w:bdr w:val="none" w:sz="0" w:space="0" w:color="auto" w:frame="1"/>
        </w:rPr>
        <w:t>problem-solving</w:t>
      </w:r>
      <w:r w:rsidRPr="00621C9D">
        <w:rPr>
          <w:rFonts w:ascii="Verdana" w:eastAsia="Times New Roman" w:hAnsi="Verdana" w:cs="Times New Roman"/>
          <w:color w:val="222222"/>
          <w:sz w:val="20"/>
          <w:szCs w:val="20"/>
          <w:bdr w:val="none" w:sz="0" w:space="0" w:color="auto" w:frame="1"/>
        </w:rPr>
        <w:t xml:space="preserve"> approach</w:t>
      </w:r>
    </w:p>
    <w:p w14:paraId="76BCEE0A"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Strong programming skills in modern languages such as Java, C#, SQL and Python</w:t>
      </w:r>
    </w:p>
    <w:p w14:paraId="4904FE61" w14:textId="77777777"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Good understanding of Software Development Life Cycle (SDLC)</w:t>
      </w:r>
    </w:p>
    <w:p w14:paraId="65C8C4CB" w14:textId="77777777"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color w:val="222222"/>
          <w:sz w:val="20"/>
          <w:szCs w:val="20"/>
          <w:bdr w:val="none" w:sz="0" w:space="0" w:color="auto" w:frame="1"/>
          <w:shd w:val="clear" w:color="auto" w:fill="FFFFFF"/>
        </w:rPr>
        <w:lastRenderedPageBreak/>
        <w:t> </w:t>
      </w:r>
      <w:r w:rsidRPr="00621C9D">
        <w:rPr>
          <w:rFonts w:ascii="Verdana" w:eastAsia="Times New Roman" w:hAnsi="Verdana" w:cs="Times New Roman"/>
          <w:color w:val="222222"/>
          <w:sz w:val="20"/>
          <w:szCs w:val="20"/>
          <w:bdr w:val="none" w:sz="0" w:space="0" w:color="auto" w:frame="1"/>
          <w:shd w:val="clear" w:color="auto" w:fill="FFFFFF"/>
        </w:rPr>
        <w:br/>
      </w:r>
      <w:r w:rsidRPr="00621C9D">
        <w:rPr>
          <w:rFonts w:ascii="Verdana" w:eastAsia="Times New Roman" w:hAnsi="Verdana" w:cs="Times New Roman"/>
          <w:b/>
          <w:bCs/>
          <w:color w:val="222222"/>
          <w:sz w:val="20"/>
          <w:szCs w:val="20"/>
          <w:bdr w:val="none" w:sz="0" w:space="0" w:color="auto" w:frame="1"/>
          <w:shd w:val="clear" w:color="auto" w:fill="FFFFFF"/>
        </w:rPr>
        <w:t>Desired Qualifications</w:t>
      </w:r>
    </w:p>
    <w:p w14:paraId="45BCDDAC" w14:textId="77777777"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Detail oriented, results driven, accountable and ability to work with multiple priorities</w:t>
      </w:r>
    </w:p>
    <w:p w14:paraId="7990ECB1" w14:textId="77777777"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Ability to research and report on a variety of issues using problem solving skills</w:t>
      </w:r>
    </w:p>
    <w:p w14:paraId="47D54101" w14:textId="77777777"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Ability to interact with integrity and a high level of professionalism with all levels of team members and management</w:t>
      </w:r>
    </w:p>
    <w:p w14:paraId="0E327DB5" w14:textId="4CB7162D" w:rsidR="007E68FC" w:rsidRPr="00F556CD" w:rsidRDefault="00621C9D" w:rsidP="0090094B">
      <w:pPr>
        <w:numPr>
          <w:ilvl w:val="0"/>
          <w:numId w:val="6"/>
        </w:numPr>
        <w:shd w:val="clear" w:color="auto" w:fill="FFFFFF"/>
        <w:spacing w:after="0" w:line="240" w:lineRule="auto"/>
        <w:rPr>
          <w:rFonts w:ascii="Verdana" w:hAnsi="Verdana"/>
          <w:i/>
          <w:sz w:val="20"/>
          <w:szCs w:val="20"/>
        </w:rPr>
      </w:pPr>
      <w:r w:rsidRPr="00F556CD">
        <w:rPr>
          <w:rFonts w:ascii="Verdana" w:eastAsia="Times New Roman" w:hAnsi="Verdana" w:cs="Times New Roman"/>
          <w:color w:val="222222"/>
          <w:sz w:val="20"/>
          <w:szCs w:val="20"/>
          <w:bdr w:val="none" w:sz="0" w:space="0" w:color="auto" w:frame="1"/>
        </w:rPr>
        <w:t>Ability to make timely and independent judgment decisions while working in a fast-paced and results-driven environment</w:t>
      </w:r>
    </w:p>
    <w:p w14:paraId="0E327DB6" w14:textId="77777777" w:rsidR="00A83EDE" w:rsidRDefault="00A83EDE" w:rsidP="00E43621">
      <w:pPr>
        <w:spacing w:after="0" w:line="240" w:lineRule="auto"/>
        <w:rPr>
          <w:rFonts w:ascii="Verdana" w:hAnsi="Verdana"/>
          <w:i/>
          <w:sz w:val="20"/>
          <w:szCs w:val="20"/>
        </w:rPr>
      </w:pPr>
    </w:p>
    <w:p w14:paraId="0E327DB7" w14:textId="77777777" w:rsidR="00A83EDE" w:rsidRPr="00157C8A" w:rsidRDefault="00A83EDE" w:rsidP="00E43621">
      <w:pPr>
        <w:spacing w:after="0" w:line="240" w:lineRule="auto"/>
        <w:rPr>
          <w:rFonts w:ascii="Verdana" w:hAnsi="Verdana"/>
          <w:i/>
          <w:sz w:val="20"/>
          <w:szCs w:val="20"/>
        </w:rPr>
      </w:pPr>
    </w:p>
    <w:sectPr w:rsidR="00A83EDE" w:rsidRPr="00157C8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719F" w14:textId="77777777" w:rsidR="00BE5B2C" w:rsidRDefault="00BE5B2C" w:rsidP="002A53C0">
      <w:pPr>
        <w:spacing w:after="0" w:line="240" w:lineRule="auto"/>
      </w:pPr>
      <w:r>
        <w:separator/>
      </w:r>
    </w:p>
  </w:endnote>
  <w:endnote w:type="continuationSeparator" w:id="0">
    <w:p w14:paraId="1BCD736D" w14:textId="77777777" w:rsidR="00BE5B2C" w:rsidRDefault="00BE5B2C" w:rsidP="002A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8"/>
        <w:szCs w:val="18"/>
      </w:rPr>
      <w:id w:val="-1143354068"/>
      <w:docPartObj>
        <w:docPartGallery w:val="Page Numbers (Bottom of Page)"/>
        <w:docPartUnique/>
      </w:docPartObj>
    </w:sdtPr>
    <w:sdtEndPr/>
    <w:sdtContent>
      <w:sdt>
        <w:sdtPr>
          <w:rPr>
            <w:rFonts w:ascii="Verdana" w:hAnsi="Verdana"/>
            <w:sz w:val="18"/>
            <w:szCs w:val="18"/>
          </w:rPr>
          <w:id w:val="1728636285"/>
          <w:docPartObj>
            <w:docPartGallery w:val="Page Numbers (Top of Page)"/>
            <w:docPartUnique/>
          </w:docPartObj>
        </w:sdtPr>
        <w:sdtEndPr/>
        <w:sdtContent>
          <w:p w14:paraId="0E327DBE" w14:textId="68C95E30" w:rsidR="002A53C0" w:rsidRPr="00A31AE0" w:rsidRDefault="007D23CA" w:rsidP="007D23CA">
            <w:pPr>
              <w:pStyle w:val="Footer"/>
              <w:jc w:val="center"/>
              <w:rPr>
                <w:rFonts w:ascii="Verdana" w:hAnsi="Verdana"/>
                <w:sz w:val="18"/>
                <w:szCs w:val="18"/>
              </w:rPr>
            </w:pPr>
            <w:r>
              <w:rPr>
                <w:rFonts w:ascii="Verdana" w:hAnsi="Verdana"/>
                <w:sz w:val="18"/>
                <w:szCs w:val="18"/>
              </w:rPr>
              <w:t xml:space="preserve"> </w:t>
            </w:r>
            <w:r w:rsidR="002A53C0" w:rsidRPr="00A31AE0">
              <w:rPr>
                <w:rFonts w:ascii="Verdana" w:hAnsi="Verdana"/>
                <w:sz w:val="18"/>
                <w:szCs w:val="18"/>
              </w:rPr>
              <w:t xml:space="preserve">Page </w:t>
            </w:r>
            <w:r w:rsidR="002A53C0" w:rsidRPr="00A31AE0">
              <w:rPr>
                <w:rFonts w:ascii="Verdana" w:hAnsi="Verdana"/>
                <w:b/>
                <w:bCs/>
                <w:sz w:val="18"/>
                <w:szCs w:val="18"/>
              </w:rPr>
              <w:fldChar w:fldCharType="begin"/>
            </w:r>
            <w:r w:rsidR="002A53C0" w:rsidRPr="00A31AE0">
              <w:rPr>
                <w:rFonts w:ascii="Verdana" w:hAnsi="Verdana"/>
                <w:b/>
                <w:bCs/>
                <w:sz w:val="18"/>
                <w:szCs w:val="18"/>
              </w:rPr>
              <w:instrText xml:space="preserve"> PAGE </w:instrText>
            </w:r>
            <w:r w:rsidR="002A53C0" w:rsidRPr="00A31AE0">
              <w:rPr>
                <w:rFonts w:ascii="Verdana" w:hAnsi="Verdana"/>
                <w:b/>
                <w:bCs/>
                <w:sz w:val="18"/>
                <w:szCs w:val="18"/>
              </w:rPr>
              <w:fldChar w:fldCharType="separate"/>
            </w:r>
            <w:r w:rsidR="006A78B4">
              <w:rPr>
                <w:rFonts w:ascii="Verdana" w:hAnsi="Verdana"/>
                <w:b/>
                <w:bCs/>
                <w:noProof/>
                <w:sz w:val="18"/>
                <w:szCs w:val="18"/>
              </w:rPr>
              <w:t>2</w:t>
            </w:r>
            <w:r w:rsidR="002A53C0" w:rsidRPr="00A31AE0">
              <w:rPr>
                <w:rFonts w:ascii="Verdana" w:hAnsi="Verdana"/>
                <w:b/>
                <w:bCs/>
                <w:sz w:val="18"/>
                <w:szCs w:val="18"/>
              </w:rPr>
              <w:fldChar w:fldCharType="end"/>
            </w:r>
            <w:r w:rsidR="002A53C0" w:rsidRPr="00A31AE0">
              <w:rPr>
                <w:rFonts w:ascii="Verdana" w:hAnsi="Verdana"/>
                <w:sz w:val="18"/>
                <w:szCs w:val="18"/>
              </w:rPr>
              <w:t xml:space="preserve"> of </w:t>
            </w:r>
            <w:r w:rsidR="002A53C0" w:rsidRPr="00A31AE0">
              <w:rPr>
                <w:rFonts w:ascii="Verdana" w:hAnsi="Verdana"/>
                <w:b/>
                <w:bCs/>
                <w:sz w:val="18"/>
                <w:szCs w:val="18"/>
              </w:rPr>
              <w:fldChar w:fldCharType="begin"/>
            </w:r>
            <w:r w:rsidR="002A53C0" w:rsidRPr="00A31AE0">
              <w:rPr>
                <w:rFonts w:ascii="Verdana" w:hAnsi="Verdana"/>
                <w:b/>
                <w:bCs/>
                <w:sz w:val="18"/>
                <w:szCs w:val="18"/>
              </w:rPr>
              <w:instrText xml:space="preserve"> NUMPAGES  </w:instrText>
            </w:r>
            <w:r w:rsidR="002A53C0" w:rsidRPr="00A31AE0">
              <w:rPr>
                <w:rFonts w:ascii="Verdana" w:hAnsi="Verdana"/>
                <w:b/>
                <w:bCs/>
                <w:sz w:val="18"/>
                <w:szCs w:val="18"/>
              </w:rPr>
              <w:fldChar w:fldCharType="separate"/>
            </w:r>
            <w:r w:rsidR="006A78B4">
              <w:rPr>
                <w:rFonts w:ascii="Verdana" w:hAnsi="Verdana"/>
                <w:b/>
                <w:bCs/>
                <w:noProof/>
                <w:sz w:val="18"/>
                <w:szCs w:val="18"/>
              </w:rPr>
              <w:t>3</w:t>
            </w:r>
            <w:r w:rsidR="002A53C0" w:rsidRPr="00A31AE0">
              <w:rPr>
                <w:rFonts w:ascii="Verdana" w:hAnsi="Verdana"/>
                <w:b/>
                <w:bCs/>
                <w:sz w:val="18"/>
                <w:szCs w:val="18"/>
              </w:rPr>
              <w:fldChar w:fldCharType="end"/>
            </w:r>
            <w:r w:rsidR="00F030CE" w:rsidRPr="00A31AE0">
              <w:rPr>
                <w:rFonts w:ascii="Verdana" w:hAnsi="Verdana"/>
                <w:b/>
                <w:bCs/>
                <w:sz w:val="18"/>
                <w:szCs w:val="18"/>
              </w:rPr>
              <w:t xml:space="preserve"> </w:t>
            </w:r>
          </w:p>
        </w:sdtContent>
      </w:sdt>
    </w:sdtContent>
  </w:sdt>
  <w:p w14:paraId="0E327DBF" w14:textId="77777777" w:rsidR="002A53C0" w:rsidRPr="00A31AE0" w:rsidRDefault="002A53C0" w:rsidP="00A31AE0">
    <w:pPr>
      <w:pStyle w:val="Footer"/>
      <w:rPr>
        <w:rFonts w:ascii="Verdana" w:hAnsi="Verdan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2969" w14:textId="77777777" w:rsidR="00BE5B2C" w:rsidRDefault="00BE5B2C" w:rsidP="002A53C0">
      <w:pPr>
        <w:spacing w:after="0" w:line="240" w:lineRule="auto"/>
      </w:pPr>
      <w:r>
        <w:separator/>
      </w:r>
    </w:p>
  </w:footnote>
  <w:footnote w:type="continuationSeparator" w:id="0">
    <w:p w14:paraId="406D0A91" w14:textId="77777777" w:rsidR="00BE5B2C" w:rsidRDefault="00BE5B2C" w:rsidP="002A5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7DBC" w14:textId="00B89737" w:rsidR="00F030CE" w:rsidRDefault="007D23CA" w:rsidP="007D23CA">
    <w:pPr>
      <w:pStyle w:val="Header"/>
      <w:rPr>
        <w:rFonts w:ascii="Verdana" w:hAnsi="Verdana"/>
        <w:sz w:val="18"/>
        <w:szCs w:val="18"/>
      </w:rPr>
    </w:pPr>
    <w:r w:rsidRPr="007D23CA">
      <w:rPr>
        <w:rFonts w:ascii="Verdana" w:hAnsi="Verdana"/>
        <w:noProof/>
        <w:sz w:val="18"/>
        <w:szCs w:val="18"/>
      </w:rPr>
      <mc:AlternateContent>
        <mc:Choice Requires="wps">
          <w:drawing>
            <wp:anchor distT="45720" distB="45720" distL="114300" distR="114300" simplePos="0" relativeHeight="251659264" behindDoc="0" locked="0" layoutInCell="1" allowOverlap="1" wp14:anchorId="0E327DC0" wp14:editId="0E327DC1">
              <wp:simplePos x="0" y="0"/>
              <wp:positionH relativeFrom="column">
                <wp:posOffset>5343525</wp:posOffset>
              </wp:positionH>
              <wp:positionV relativeFrom="paragraph">
                <wp:posOffset>-182880</wp:posOffset>
              </wp:positionV>
              <wp:extent cx="838200" cy="6000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00075"/>
                      </a:xfrm>
                      <a:prstGeom prst="rect">
                        <a:avLst/>
                      </a:prstGeom>
                      <a:solidFill>
                        <a:srgbClr val="FFFFFF"/>
                      </a:solidFill>
                      <a:ln w="9525">
                        <a:noFill/>
                        <a:miter lim="800000"/>
                        <a:headEnd/>
                        <a:tailEnd/>
                      </a:ln>
                    </wps:spPr>
                    <wps:txbx>
                      <w:txbxContent>
                        <w:p w14:paraId="0E327DC2" w14:textId="77777777" w:rsidR="007D23CA" w:rsidRDefault="001D4E17" w:rsidP="007D23CA">
                          <w:r>
                            <w:rPr>
                              <w:noProof/>
                            </w:rPr>
                            <w:drawing>
                              <wp:inline distT="0" distB="0" distL="0" distR="0" wp14:anchorId="0E327DC3" wp14:editId="0E327DC4">
                                <wp:extent cx="499745" cy="499745"/>
                                <wp:effectExtent l="0" t="0" r="0" b="0"/>
                                <wp:docPr id="7" name="Wells Fargo" descr="Wells Fargo">
                                  <a:extLst xmlns:a="http://schemas.openxmlformats.org/drawingml/2006/main">
                                    <a:ext uri="{FF2B5EF4-FFF2-40B4-BE49-F238E27FC236}">
                                      <a16:creationId xmlns:a16="http://schemas.microsoft.com/office/drawing/2014/main" id="{967B39BB-CE83-594E-A5D5-2233EAE08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lls Fargo" descr="Wells Fargo">
                                          <a:extLst>
                                            <a:ext uri="{FF2B5EF4-FFF2-40B4-BE49-F238E27FC236}">
                                              <a16:creationId xmlns:a16="http://schemas.microsoft.com/office/drawing/2014/main" id="{967B39BB-CE83-594E-A5D5-2233EAE08016}"/>
                                            </a:ext>
                                          </a:extLst>
                                        </pic:cNvPr>
                                        <pic:cNvPicPr>
                                          <a:picLocks noChangeAspect="1"/>
                                        </pic:cNvPicPr>
                                      </pic:nvPicPr>
                                      <pic:blipFill>
                                        <a:blip r:embed="rId1"/>
                                        <a:stretch>
                                          <a:fillRect/>
                                        </a:stretch>
                                      </pic:blipFill>
                                      <pic:spPr>
                                        <a:xfrm>
                                          <a:off x="0" y="0"/>
                                          <a:ext cx="499745" cy="4997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27DC0" id="_x0000_t202" coordsize="21600,21600" o:spt="202" path="m,l,21600r21600,l21600,xe">
              <v:stroke joinstyle="miter"/>
              <v:path gradientshapeok="t" o:connecttype="rect"/>
            </v:shapetype>
            <v:shape id="Text Box 2" o:spid="_x0000_s1026" type="#_x0000_t202" style="position:absolute;margin-left:420.75pt;margin-top:-14.4pt;width:66pt;height:4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0PDAIAAPUDAAAOAAAAZHJzL2Uyb0RvYy54bWysU9tu2zAMfR+wfxD0vtjJkjY14hRdugwD&#10;ugvQ7QNkWY6FyaJGKbGzry+luGm2vQ3Tg0CK0uHhIbW6HTrDDgq9Blvy6STnTFkJtba7kn//tn2z&#10;5MwHYWthwKqSH5Xnt+vXr1a9K9QMWjC1QkYg1he9K3kbgiuyzMtWdcJPwClLwQawE4Fc3GU1ip7Q&#10;O5PN8vwq6wFrhyCV93R6fwrydcJvGiXDl6bxKjBTcuIW0o5pr+KerVei2KFwrZYjDfEPLDqhLSU9&#10;Q92LINge9V9QnZYIHpowkdBl0DRaqlQDVTPN/6jmsRVOpVpIHO/OMvn/Bys/Hx7dV2RheAcDNTAV&#10;4d0DyB+eWdi0wu7UHSL0rRI1JZ5GybLe+WJ8GqX2hY8gVf8Jamqy2AdIQEODXVSF6mSETg04nkVX&#10;Q2CSDpdvl9RIziSFrvI8v16kDKJ4fuzQhw8KOhaNkiP1NIGLw4MPkYwonq/EXB6MrrfamOTgrtoY&#10;ZAdB/d+mNaL/ds1Y1pf8ZjFbJGQL8X0ajU4Hmk+jOyJK5IhoOo5ivLd1soPQ5mQTE2NHdaIgJ2nC&#10;UA10MapUQX0knRBOc0j/howW8BdnPc1gyf3PvUDFmfloSeub6XwehzY588X1jBy8jFSXEWElQZU8&#10;cHYyNyENetTBwh31pNFJrxcmI1earSTj+A/i8F766dbLb10/AQAA//8DAFBLAwQUAAYACAAAACEA&#10;EgFSvt8AAAAKAQAADwAAAGRycy9kb3ducmV2LnhtbEyPy07DMBBF90j8gzVIbFDrtDSPhkwqQAKx&#10;bekHOPE0iYjtKHab9O8ZVnQ5M0d3zi12s+nFhUbfOYuwWkYgyNZOd7ZBOH5/LDIQPiirVe8sIVzJ&#10;w668vytUrt1k93Q5hEZwiPW5QmhDGHIpfd2SUX7pBrJ8O7nRqMDj2Eg9qonDTS/XUZRIozrLH1o1&#10;0HtL9c/hbBBOX9NTvJ2qz3BM95vkTXVp5a6Ijw/z6wuIQHP4h+FPn9WhZKfKna32okfINquYUYTF&#10;OuMOTGzTZ95UCEmcgiwLeVuh/AUAAP//AwBQSwECLQAUAAYACAAAACEAtoM4kv4AAADhAQAAEwAA&#10;AAAAAAAAAAAAAAAAAAAAW0NvbnRlbnRfVHlwZXNdLnhtbFBLAQItABQABgAIAAAAIQA4/SH/1gAA&#10;AJQBAAALAAAAAAAAAAAAAAAAAC8BAABfcmVscy8ucmVsc1BLAQItABQABgAIAAAAIQAiwX0PDAIA&#10;APUDAAAOAAAAAAAAAAAAAAAAAC4CAABkcnMvZTJvRG9jLnhtbFBLAQItABQABgAIAAAAIQASAVK+&#10;3wAAAAoBAAAPAAAAAAAAAAAAAAAAAGYEAABkcnMvZG93bnJldi54bWxQSwUGAAAAAAQABADzAAAA&#10;cgUAAAAA&#10;" stroked="f">
              <v:textbox>
                <w:txbxContent>
                  <w:p w14:paraId="0E327DC2" w14:textId="77777777" w:rsidR="007D23CA" w:rsidRDefault="001D4E17" w:rsidP="007D23CA">
                    <w:r>
                      <w:rPr>
                        <w:noProof/>
                      </w:rPr>
                      <w:drawing>
                        <wp:inline distT="0" distB="0" distL="0" distR="0" wp14:anchorId="0E327DC3" wp14:editId="0E327DC4">
                          <wp:extent cx="499745" cy="499745"/>
                          <wp:effectExtent l="0" t="0" r="0" b="0"/>
                          <wp:docPr id="7" name="Wells Fargo" descr="Wells Fargo">
                            <a:extLst xmlns:a="http://schemas.openxmlformats.org/drawingml/2006/main">
                              <a:ext uri="{FF2B5EF4-FFF2-40B4-BE49-F238E27FC236}">
                                <a16:creationId xmlns:a16="http://schemas.microsoft.com/office/drawing/2014/main" id="{967B39BB-CE83-594E-A5D5-2233EAE08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lls Fargo" descr="Wells Fargo">
                                    <a:extLst>
                                      <a:ext uri="{FF2B5EF4-FFF2-40B4-BE49-F238E27FC236}">
                                        <a16:creationId xmlns:a16="http://schemas.microsoft.com/office/drawing/2014/main" id="{967B39BB-CE83-594E-A5D5-2233EAE08016}"/>
                                      </a:ext>
                                    </a:extLst>
                                  </pic:cNvPr>
                                  <pic:cNvPicPr>
                                    <a:picLocks noChangeAspect="1"/>
                                  </pic:cNvPicPr>
                                </pic:nvPicPr>
                                <pic:blipFill>
                                  <a:blip r:embed="rId1"/>
                                  <a:stretch>
                                    <a:fillRect/>
                                  </a:stretch>
                                </pic:blipFill>
                                <pic:spPr>
                                  <a:xfrm>
                                    <a:off x="0" y="0"/>
                                    <a:ext cx="499745" cy="499745"/>
                                  </a:xfrm>
                                  <a:prstGeom prst="rect">
                                    <a:avLst/>
                                  </a:prstGeom>
                                </pic:spPr>
                              </pic:pic>
                            </a:graphicData>
                          </a:graphic>
                        </wp:inline>
                      </w:drawing>
                    </w:r>
                  </w:p>
                </w:txbxContent>
              </v:textbox>
              <w10:wrap type="square"/>
            </v:shape>
          </w:pict>
        </mc:Fallback>
      </mc:AlternateContent>
    </w:r>
    <w:r w:rsidR="0039382D">
      <w:rPr>
        <w:rFonts w:ascii="Verdana" w:hAnsi="Verdana"/>
        <w:sz w:val="18"/>
        <w:szCs w:val="18"/>
      </w:rPr>
      <w:t>WF India</w:t>
    </w:r>
    <w:r w:rsidR="00EE68CC">
      <w:rPr>
        <w:rFonts w:ascii="Verdana" w:hAnsi="Verdana"/>
        <w:sz w:val="18"/>
        <w:szCs w:val="18"/>
      </w:rPr>
      <w:t xml:space="preserve"> Job Description</w:t>
    </w:r>
    <w:r>
      <w:rPr>
        <w:rFonts w:ascii="Verdana" w:hAnsi="Verdana"/>
        <w:sz w:val="18"/>
        <w:szCs w:val="18"/>
      </w:rPr>
      <w:t xml:space="preserve"> </w:t>
    </w:r>
  </w:p>
  <w:p w14:paraId="0E327DBD" w14:textId="77777777" w:rsidR="007D23CA" w:rsidRDefault="007D23CA" w:rsidP="007D23C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186"/>
    <w:multiLevelType w:val="multilevel"/>
    <w:tmpl w:val="5EB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10B0"/>
    <w:multiLevelType w:val="hybridMultilevel"/>
    <w:tmpl w:val="05922DEA"/>
    <w:lvl w:ilvl="0" w:tplc="D8EEE1C0">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E4358D"/>
    <w:multiLevelType w:val="multilevel"/>
    <w:tmpl w:val="1C8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91343"/>
    <w:multiLevelType w:val="hybridMultilevel"/>
    <w:tmpl w:val="B852D1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8009B3"/>
    <w:multiLevelType w:val="hybridMultilevel"/>
    <w:tmpl w:val="7466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A2DCA"/>
    <w:multiLevelType w:val="hybridMultilevel"/>
    <w:tmpl w:val="D9B8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B3DCA"/>
    <w:multiLevelType w:val="multilevel"/>
    <w:tmpl w:val="7D8C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B2303"/>
    <w:multiLevelType w:val="hybridMultilevel"/>
    <w:tmpl w:val="B70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83F58"/>
    <w:multiLevelType w:val="hybridMultilevel"/>
    <w:tmpl w:val="9CDC45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66545">
    <w:abstractNumId w:val="5"/>
  </w:num>
  <w:num w:numId="2" w16cid:durableId="130220202">
    <w:abstractNumId w:val="7"/>
  </w:num>
  <w:num w:numId="3" w16cid:durableId="252249221">
    <w:abstractNumId w:val="4"/>
  </w:num>
  <w:num w:numId="4" w16cid:durableId="2001426343">
    <w:abstractNumId w:val="2"/>
  </w:num>
  <w:num w:numId="5" w16cid:durableId="305817919">
    <w:abstractNumId w:val="0"/>
  </w:num>
  <w:num w:numId="6" w16cid:durableId="2106340213">
    <w:abstractNumId w:val="6"/>
  </w:num>
  <w:num w:numId="7" w16cid:durableId="967319066">
    <w:abstractNumId w:val="1"/>
  </w:num>
  <w:num w:numId="8" w16cid:durableId="42869221">
    <w:abstractNumId w:val="3"/>
  </w:num>
  <w:num w:numId="9" w16cid:durableId="1959946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21"/>
    <w:rsid w:val="00036D5E"/>
    <w:rsid w:val="00043050"/>
    <w:rsid w:val="000D7883"/>
    <w:rsid w:val="000F6E12"/>
    <w:rsid w:val="00105CCC"/>
    <w:rsid w:val="00157C8A"/>
    <w:rsid w:val="00165BF6"/>
    <w:rsid w:val="001D4E17"/>
    <w:rsid w:val="00216DB5"/>
    <w:rsid w:val="0024328D"/>
    <w:rsid w:val="00272702"/>
    <w:rsid w:val="0027533A"/>
    <w:rsid w:val="002A53C0"/>
    <w:rsid w:val="003502D9"/>
    <w:rsid w:val="0039382D"/>
    <w:rsid w:val="003F17BA"/>
    <w:rsid w:val="004B5032"/>
    <w:rsid w:val="005A400B"/>
    <w:rsid w:val="0060328D"/>
    <w:rsid w:val="00606119"/>
    <w:rsid w:val="00621C9D"/>
    <w:rsid w:val="00667296"/>
    <w:rsid w:val="006A78B4"/>
    <w:rsid w:val="006D66F5"/>
    <w:rsid w:val="006F6752"/>
    <w:rsid w:val="007D23CA"/>
    <w:rsid w:val="007E68FC"/>
    <w:rsid w:val="008D0129"/>
    <w:rsid w:val="00987DD7"/>
    <w:rsid w:val="009A3CC4"/>
    <w:rsid w:val="00A115C7"/>
    <w:rsid w:val="00A31AE0"/>
    <w:rsid w:val="00A514C2"/>
    <w:rsid w:val="00A83EDE"/>
    <w:rsid w:val="00AC5DF7"/>
    <w:rsid w:val="00BC0331"/>
    <w:rsid w:val="00BE5B2C"/>
    <w:rsid w:val="00BF02CB"/>
    <w:rsid w:val="00C82DB1"/>
    <w:rsid w:val="00C902DC"/>
    <w:rsid w:val="00CC1D0E"/>
    <w:rsid w:val="00DD2748"/>
    <w:rsid w:val="00E2509F"/>
    <w:rsid w:val="00E43621"/>
    <w:rsid w:val="00EE68CC"/>
    <w:rsid w:val="00F030CE"/>
    <w:rsid w:val="00F233F7"/>
    <w:rsid w:val="00F45B1E"/>
    <w:rsid w:val="00F5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327D6F"/>
  <w15:chartTrackingRefBased/>
  <w15:docId w15:val="{27E8DEBF-1D38-4CD0-9CC4-78814D7F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21"/>
    <w:pPr>
      <w:ind w:left="720"/>
      <w:contextualSpacing/>
    </w:pPr>
  </w:style>
  <w:style w:type="paragraph" w:styleId="Header">
    <w:name w:val="header"/>
    <w:basedOn w:val="Normal"/>
    <w:link w:val="HeaderChar"/>
    <w:uiPriority w:val="99"/>
    <w:unhideWhenUsed/>
    <w:rsid w:val="002A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C0"/>
  </w:style>
  <w:style w:type="paragraph" w:styleId="Footer">
    <w:name w:val="footer"/>
    <w:basedOn w:val="Normal"/>
    <w:link w:val="FooterChar"/>
    <w:uiPriority w:val="99"/>
    <w:unhideWhenUsed/>
    <w:rsid w:val="002A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C0"/>
  </w:style>
  <w:style w:type="character" w:styleId="Hyperlink">
    <w:name w:val="Hyperlink"/>
    <w:basedOn w:val="DefaultParagraphFont"/>
    <w:uiPriority w:val="99"/>
    <w:unhideWhenUsed/>
    <w:rsid w:val="00667296"/>
    <w:rPr>
      <w:color w:val="0563C1" w:themeColor="hyperlink"/>
      <w:u w:val="single"/>
    </w:rPr>
  </w:style>
  <w:style w:type="character" w:styleId="Strong">
    <w:name w:val="Strong"/>
    <w:basedOn w:val="DefaultParagraphFont"/>
    <w:uiPriority w:val="22"/>
    <w:qFormat/>
    <w:rsid w:val="00621C9D"/>
    <w:rPr>
      <w:b/>
      <w:bCs/>
    </w:rPr>
  </w:style>
  <w:style w:type="character" w:customStyle="1" w:styleId="Heading1Char">
    <w:name w:val="Heading 1 Char"/>
    <w:basedOn w:val="DefaultParagraphFont"/>
    <w:link w:val="Heading1"/>
    <w:uiPriority w:val="9"/>
    <w:rsid w:val="009A3C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41004">
      <w:bodyDiv w:val="1"/>
      <w:marLeft w:val="0"/>
      <w:marRight w:val="0"/>
      <w:marTop w:val="0"/>
      <w:marBottom w:val="0"/>
      <w:divBdr>
        <w:top w:val="none" w:sz="0" w:space="0" w:color="auto"/>
        <w:left w:val="none" w:sz="0" w:space="0" w:color="auto"/>
        <w:bottom w:val="none" w:sz="0" w:space="0" w:color="auto"/>
        <w:right w:val="none" w:sz="0" w:space="0" w:color="auto"/>
      </w:divBdr>
    </w:div>
    <w:div w:id="1356881515">
      <w:bodyDiv w:val="1"/>
      <w:marLeft w:val="0"/>
      <w:marRight w:val="0"/>
      <w:marTop w:val="0"/>
      <w:marBottom w:val="0"/>
      <w:divBdr>
        <w:top w:val="none" w:sz="0" w:space="0" w:color="auto"/>
        <w:left w:val="none" w:sz="0" w:space="0" w:color="auto"/>
        <w:bottom w:val="none" w:sz="0" w:space="0" w:color="auto"/>
        <w:right w:val="none" w:sz="0" w:space="0" w:color="auto"/>
      </w:divBdr>
    </w:div>
    <w:div w:id="19993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3B068BEEE3DA41A5606A2EA791AD3E" ma:contentTypeVersion="0" ma:contentTypeDescription="Create a new document." ma:contentTypeScope="" ma:versionID="129ce4b6760c252c20c06bd2cdfe4d2e">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150CF-772F-45DA-B52D-C9A665A0FA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6EFAAF-5F50-44DF-9BDD-618416A1AC3A}">
  <ds:schemaRefs>
    <ds:schemaRef ds:uri="http://schemas.microsoft.com/sharepoint/v3/contenttype/forms"/>
  </ds:schemaRefs>
</ds:datastoreItem>
</file>

<file path=customXml/itemProps3.xml><?xml version="1.0" encoding="utf-8"?>
<ds:datastoreItem xmlns:ds="http://schemas.openxmlformats.org/officeDocument/2006/customXml" ds:itemID="{4CDBA85A-4C7F-4BEC-91C7-24AB298F4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Heins, Rebecca</dc:creator>
  <cp:keywords/>
  <dc:description/>
  <cp:lastModifiedBy>Sreedharan, Ratheesh</cp:lastModifiedBy>
  <cp:revision>7</cp:revision>
  <dcterms:created xsi:type="dcterms:W3CDTF">2021-11-09T08:52:00Z</dcterms:created>
  <dcterms:modified xsi:type="dcterms:W3CDTF">2023-07-20T13:56:00Z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0x010100D33B068BEEE3DA41A5606A2EA791AD3E</vt:lpwstr>
  </property>
</Properties>
</file>