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Локальная система поиска и генерации ответов по технической документации с верификацией фактических утверждений</w:t>
      </w:r>
    </w:p>
    <w:p>
      <w:r>
        <w:rPr>
          <w:b/>
        </w:rPr>
        <w:t>РУДН, Факультет ИИ, группа ЗПИбд-03-25</w:t>
      </w:r>
    </w:p>
    <w:p>
      <w:r>
        <w:rPr>
          <w:b/>
        </w:rPr>
        <w:t>Научно-технический доклад. Редакция от 7 сентября 2026 года.</w:t>
      </w:r>
    </w:p>
    <w:p>
      <w:pPr>
        <w:pStyle w:val="Heading1"/>
      </w:pPr>
      <w:r>
        <w:t>Аннотация</w:t>
      </w:r>
    </w:p>
    <w:p>
      <w:pPr>
        <w:jc w:val="both"/>
      </w:pPr>
      <w:r>
        <w:t>Разработан локальный исследовательский стенд Retrieval-Augmented Generation для обработки нормативной и технической документации. В архитектуре объединены контекстно-ориентированная сегментация, гибридный поиск с переранжированием и проверка утверждений посредством Natural Language Inference. Реализованы чат-интерфейс, инкрементальная загрузка документов и отдельный маршрут саммаризации.</w:t>
      </w:r>
    </w:p>
    <w:p>
      <w:pPr>
        <w:jc w:val="both"/>
      </w:pPr>
      <w:r>
        <w:t>На расширенной локальной выборке из 50 технических вопросов получены следующие результаты: общий показатель успешных ответов составил 44/50, или 88%. По типам вопросов: Positive - 31/35 (88,6%), Negative - 9/10 (90%), Adversarial - 4/5 (80%). Hit@5 составил 50/50 (100%). Эти результаты характеризуют воспроизводимость текущего локального контура на зафиксированном корпусе и заданных параметрах.</w:t>
      </w:r>
    </w:p>
    <w:p>
      <w:r>
        <w:rPr>
          <w:b/>
        </w:rPr>
        <w:t>Ключевые слова:</w:t>
      </w:r>
      <w:r>
        <w:t xml:space="preserve"> Retrieval-Augmented Generation, гибридный поиск, Natural Language Inference, локальное развёртывание, техническая документация, контроль достоверности.</w:t>
      </w:r>
    </w:p>
    <w:p>
      <w:pPr>
        <w:pStyle w:val="Heading1"/>
      </w:pPr>
      <w:r>
        <w:t>1. Постановка задачи и требования к системе</w:t>
      </w:r>
    </w:p>
    <w:p>
      <w:pPr>
        <w:jc w:val="both"/>
      </w:pPr>
      <w:r>
        <w:t>Применение больших языковых моделей при обработке технической документации ограничивается двумя факторами: возможностью формирования правдоподобных, но неверных ответов и требованиями к сохранению документов внутри организации. Свободная генерация не обеспечивает достаточной достоверности при интерпретации нормативных требований, числовых ограничений и формулировок SHALL/SHOULD. Поэтому в разработанной системе утверждения связываются с извлечёнными фрагментами, а при недостаточном подтверждении формируется отказ.</w:t>
      </w:r>
    </w:p>
    <w:p>
      <w:pPr>
        <w:jc w:val="both"/>
      </w:pPr>
      <w:r>
        <w:t xml:space="preserve">Вычисления выполняются в локальном контуре. После предварительной установки зависимостей и размещения весов используются локальные модели, встроенный файловый режим Qdrant и HTTP-интерфейс llama-server на loopback-адресе. Телеметрия Streamlit отключена; загрузка моделей выполняется с параметром </w:t>
      </w:r>
      <w:r>
        <w:rPr>
          <w:rFonts w:ascii="Consolas" w:hAnsi="Consolas"/>
          <w:sz w:val="20"/>
        </w:rPr>
        <w:t>local_files_only</w:t>
      </w:r>
      <w:r>
        <w:t>.</w:t>
      </w:r>
    </w:p>
    <w:p>
      <w:pPr>
        <w:jc w:val="both"/>
      </w:pPr>
      <w:r>
        <w:t>Указанная конфигурация не эквивалентна сертификации конфиденциальности. Управление доступом, защита операционной системы, резервное копирование и контроль исходящего трафика относятся к задачам эксплуатации. Автономный инференс следует отличать от предварительной онлайн-подготовки зависимостей и моделей.</w:t>
      </w:r>
    </w:p>
    <w:p>
      <w:pPr>
        <w:pStyle w:val="Heading1"/>
      </w:pPr>
      <w:r>
        <w:t>2. Аналоги и позиционирование предлагаемого решения</w:t>
      </w:r>
    </w:p>
    <w:p>
      <w:pPr>
        <w:pStyle w:val="Heading2"/>
      </w:pPr>
      <w:r>
        <w:t>2.1. Основания сравнительного анализа</w:t>
      </w:r>
    </w:p>
    <w:p>
      <w:pPr>
        <w:jc w:val="both"/>
      </w:pPr>
      <w:r>
        <w:t>В качестве архитектурных аналогов рассмотрены три открытые платформы разработки RAG-приложений: LangChain, LlamaIndex и Haystack. Выбор обусловлен наличием в этих платформах средств извлечения контекста, взаимодействия с языковыми моделями и организации вычислительных конвейеров.</w:t>
      </w:r>
    </w:p>
    <w:p>
      <w:pPr>
        <w:jc w:val="both"/>
      </w:pPr>
      <w:r>
        <w:t>Сопоставление проводится между специализированным программным комплексом и инструментальными платформами, а не между идентичными готовыми продуктами. Анализ основан на официальной документации [1–3]. Унифицированные измерения точности, задержек и потребления памяти аналогов на рассматриваемом корпусе не проводились.</w:t>
      </w:r>
    </w:p>
    <w:p>
      <w:pPr>
        <w:pStyle w:val="Heading2"/>
      </w:pPr>
      <w:r>
        <w:t>2.2. LangChain</w:t>
      </w:r>
    </w:p>
    <w:p>
      <w:pPr>
        <w:jc w:val="both"/>
      </w:pPr>
      <w:r>
        <w:t>LangChain представляет собой модульную платформу интеграции загрузчиков документов, сегментаторов, моделей эмбеддингов, векторных хранилищ и генераторов. В официальной документации описаны базовая схема retrieval-before-generation, агентные маршруты и гибридные архитектуры с этапами валидации [1]. Следовательно, проверка ответа не является исключительным свойством разработанного комплекса.</w:t>
      </w:r>
    </w:p>
    <w:p>
      <w:pPr>
        <w:jc w:val="both"/>
      </w:pPr>
      <w:r>
        <w:t>По сравнению с минимальной схемой «извлечение — генерация» в представленном решении реализованы обязательная проверка утверждений, типизированные результаты и унифицированные причины отказа. Прикладное преимущество заключается в согласованности этих механизмов для целевого стенда: правила цитирования, пороги NLI и порядок освобождения ресурсов определены в составе конфигурации. Это характеризует готовность конкретной реализации к заданному сценарию, но не свидетельствует об ограниченности возможностей LangChain.</w:t>
      </w:r>
    </w:p>
    <w:p>
      <w:pPr>
        <w:pStyle w:val="Heading2"/>
      </w:pPr>
      <w:r>
        <w:t>2.3. LlamaIndex</w:t>
      </w:r>
    </w:p>
    <w:p>
      <w:pPr>
        <w:jc w:val="both"/>
      </w:pPr>
      <w:r>
        <w:t xml:space="preserve">LlamaIndex является близким аналогом по организации доступа к документам и формированию ответов с источниками. В примере </w:t>
      </w:r>
      <w:r>
        <w:rPr>
          <w:rFonts w:ascii="Consolas" w:hAnsi="Consolas"/>
          <w:sz w:val="20"/>
        </w:rPr>
        <w:t>CitationQueryEngine</w:t>
      </w:r>
      <w:r>
        <w:t xml:space="preserve"> предусмотрены настройка количества извлекаемых фрагментов, отдельная гранулярность цитат и доступ к исходным узлам ответа [2]. Поэтому наличие цитирования само по себе не является доказательством новизны предлагаемого подхода.</w:t>
      </w:r>
    </w:p>
    <w:p>
      <w:pPr>
        <w:jc w:val="both"/>
      </w:pPr>
      <w:r>
        <w:t>Отличие от рассмотренного примера состоит в явном разделении атрибуции и верификации. Ссылка на источник дополняется классификацией отношения между свидетельством и утверждением. В QA-маршруте условия entailment/contradiction применяются перед публикацией результата. Такая политика характеризует реализованный прикладной контур; возможность интеграции аналогичного модуля в LlamaIndex не исключается.</w:t>
      </w:r>
    </w:p>
    <w:p>
      <w:pPr>
        <w:pStyle w:val="Heading2"/>
      </w:pPr>
      <w:r>
        <w:t>2.4. Haystack</w:t>
      </w:r>
    </w:p>
    <w:p>
      <w:pPr>
        <w:jc w:val="both"/>
      </w:pPr>
      <w:r>
        <w:t>Haystack представляет собой компонентную платформу построения конвейеров с ветвлением, циклами и асинхронным исполнением. Документация предусматривает, в частности, возврат от валидатора к генератору для корректировки результата [3]. Итеративная проверка генерации, таким образом, относится к известным архитектурным приёмам.</w:t>
      </w:r>
    </w:p>
    <w:p>
      <w:pPr>
        <w:jc w:val="both"/>
      </w:pPr>
      <w:r>
        <w:t>В разработанном комплексе число вариантов исполнения ограничено для обеспечения определённого профиля одиночного локального стенда. Зафиксирован состав моделей, сериализован доступ к embedded Qdrant и организовано совместное управление жизненным циклом GPU-ресурсов. Это упрощает локальный аудит конфигурации. Преимущество по многопользовательской производительности не установлено; для других профилей нагрузки средства асинхронной оркестрации Haystack могут оказаться предпочтительнее.</w:t>
      </w:r>
    </w:p>
    <w:p>
      <w:pPr>
        <w:pStyle w:val="Heading2"/>
      </w:pPr>
      <w:r>
        <w:t>2.5. Сравнительная характеристика и практические преимущества</w:t>
      </w:r>
    </w:p>
    <w:p>
      <w:pPr>
        <w:jc w:val="both"/>
      </w:pPr>
      <w:r>
        <w:t>В таблице представлены документированные возможности аналогов и особенности разработанной реализации.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72"/>
        <w:gridCol w:w="3742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Критерий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Рассматриваемые аналоги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Разработанная реализация и её практическое значение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Организация RAG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Модульные средства LangChain, LlamaIndex и Haystack [1–3].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Согласованный маршрут обработки технической документации с фиксированными моделями и настройками.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Цитирование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CitationQueryEngine</w:t>
            </w:r>
            <w:r>
              <w:rPr>
                <w:b w:val="0"/>
                <w:sz w:val="20"/>
              </w:rPr>
              <w:t xml:space="preserve"> в LlamaIndex [2].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Дополнение ссылок [Si] результатами пофразовой NLI-проверки и диагностикой отклонений.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Валидация генерации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Валидационные маршруты LangChain и циклы проверки Haystack [1, 3].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Фиксированные критерии принятия утверждений; разграничение отказа из-за недостаточного подтверждения и технической ошибки.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Локальное исполнение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Использование облачных сервисов не является обязательным свойством платформ.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Подготовленный профиль локального llama-server и совместного использования GPU на RTX 5060 Laptop.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Эксплуатационная прозрачность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Поведение определяется выбранными компонентами и конфигурацией.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Сохранение поисковых оценок, цитат, NLI-статусов, причин отказа и времени стадий в едином результате.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Универсальность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Расширяемость и возможность построения различных конфигураций.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Ориентация на один локальный контур; масштабирование требует отдельной разработки.</w:t>
            </w:r>
          </w:p>
        </w:tc>
      </w:tr>
    </w:tbl>
    <w:p>
      <w:pPr>
        <w:spacing w:after="0"/>
      </w:pPr>
    </w:p>
    <w:p>
      <w:pPr>
        <w:jc w:val="both"/>
      </w:pPr>
      <w:r>
        <w:t>Для рассматриваемой задачи выделены четыре прикладных преимущества: готовая политика проверки технических утверждений, воспроизводимая конфигурация локального исполнения, раздельные режимы QA и саммаризации, а также сквозная наблюдаемость обработки — от загрузки документа до установления причины отказа. Наличие этих механизмов подтверждается исходным кодом и тестами. Преимущество по качеству ответов относительно перечисленных платформ остаётся проверяемой гипотезой.</w:t>
      </w:r>
    </w:p>
    <w:p>
      <w:pPr>
        <w:jc w:val="both"/>
      </w:pPr>
      <w:r>
        <w:t>Научно-технический вклад работы состоит в согласовании структурных метаданных, гибридного поиска и вероятностного контроля утверждений в условиях ограниченной видеопамяти. Для количественного определения вклада каждого компонента предусмотрены абляционные эксперименты при одинаковых корпусе, модели генерации и вычислительных условиях.</w:t>
      </w:r>
    </w:p>
    <w:p>
      <w:pPr>
        <w:pStyle w:val="Heading1"/>
      </w:pPr>
      <w:r>
        <w:t>3. Структурное представление документов и инкрементальная индексация</w:t>
      </w:r>
    </w:p>
    <w:p>
      <w:pPr>
        <w:jc w:val="both"/>
      </w:pPr>
      <w:r>
        <w:t xml:space="preserve">Извлечение текста из PDF, DOCX, TXT и Markdown выполняется модулями </w:t>
      </w:r>
      <w:r>
        <w:rPr>
          <w:rFonts w:ascii="Consolas" w:hAnsi="Consolas"/>
          <w:sz w:val="20"/>
        </w:rPr>
        <w:t>document_parser.py</w:t>
      </w:r>
      <w:r>
        <w:t xml:space="preserve"> и </w:t>
      </w:r>
      <w:r>
        <w:rPr>
          <w:rFonts w:ascii="Consolas" w:hAnsi="Consolas"/>
          <w:sz w:val="20"/>
        </w:rPr>
        <w:t>document_processor.py</w:t>
      </w:r>
      <w:r>
        <w:t xml:space="preserve">. Сохраняются последовательность абзацев, доступные заголовки, </w:t>
      </w:r>
      <w:r>
        <w:rPr>
          <w:rFonts w:ascii="Consolas" w:hAnsi="Consolas"/>
          <w:sz w:val="20"/>
        </w:rPr>
        <w:t>section_path</w:t>
      </w:r>
      <w:r>
        <w:t>, идентификаторы документов и чанков, сведения о страницах, контекст таблиц и сносок. Эти метаданные используются при формировании контекста и отображении источников. Универсальное OCR-распознавание изображений без текстового слоя не заявляется.</w:t>
      </w:r>
    </w:p>
    <w:p>
      <w:pPr>
        <w:jc w:val="both"/>
      </w:pPr>
      <w:r>
        <w:t>Иерархический контекстно-ориентированный парсинг реализован посредством переноса доступной структуры разделов в текстовые фрагменты и поисковое представление. В инкрементальном маршруте целевой размер чанка составляет 650 токенов при пределе 800 и перекрытии около 75 токенов. При сегментации сохраняются границы предложений.</w:t>
      </w:r>
    </w:p>
    <w:p>
      <w:pPr>
        <w:jc w:val="both"/>
      </w:pPr>
      <w:r>
        <w:t>Область применимости ограничена документами с доступным текстовым слоем и распознаваемой структурой. Перекрытие фрагментов само по себе не гарантирует сохранения всех смысловых связей. Гипотеза о преимуществе совместного применения компонентов требует проверки методом абляционных сравнений.</w:t>
      </w:r>
    </w:p>
    <w:p>
      <w:pPr>
        <w:jc w:val="both"/>
      </w:pPr>
      <w:r>
        <w:t>В расширенном оценочном корпусе использованы документы RFC 9457, RFC 9562, RFC 9000, RFC 9110, NIST SP 800-53 Rev. 5, NIST SP 800-63B, документация PostgreSQL по CREATE TABLE и индексам, а также PEP 703. Корпус включает 9 источников и 50 вопросов трех типов. Индексация выполнена в локальном контуре с гибридным поиском BM25 + BGE-M3 и последующим реранкингом.</w:t>
      </w:r>
    </w:p>
    <w:p>
      <w:pPr>
        <w:jc w:val="both"/>
      </w:pPr>
      <w:r>
        <w:t>Перед обработкой добавленного файла вычисляется SHA-256. При наличии завершённой записи с тем же содержимым повторная индексация пропускается. Для новых документов чанки добавляются в существующую базу, обновляется BM25 и выполняется пакетное вычисление эмбеддингов. Хеширование не используется для установления смысловой эквивалентности документов с различным бинарным представлением.</w:t>
      </w:r>
    </w:p>
    <w:p>
      <w:pPr>
        <w:pStyle w:val="Heading1"/>
      </w:pPr>
      <w:r>
        <w:t>4. Метод поиска и верификации фактических утверждений</w:t>
      </w:r>
    </w:p>
    <w:p>
      <w:pPr>
        <w:jc w:val="both"/>
      </w:pPr>
      <w:r>
        <w:t>В поисковом модуле объединены разреженный поиск BM25 и плотное представление BGE-M3. Для слияния результатов применяется взвешенный Reciprocal Rank Fusion:</w:t>
      </w:r>
    </w:p>
    <w:p>
      <w:pPr>
        <w:jc w:val="center"/>
      </w:pPr>
      <m:oMath>
        <m:r>
          <m:t>RRF(d) = </m:t>
        </m:r>
        <m:f>
          <m:num>
            <m:sSub>
              <m:e>
                <m:r>
                  <m:t>w</m:t>
                </m:r>
              </m:e>
              <m:sub>
                <m:r>
                  <m:t>dense</m:t>
                </m:r>
              </m:sub>
            </m:sSub>
          </m:num>
          <m:den>
            <m:r>
              <m:t>k + </m:t>
            </m:r>
            <m:sSub>
              <m:e>
                <m:r>
                  <m:t>rank</m:t>
                </m:r>
              </m:e>
              <m:sub>
                <m:r>
                  <m:t>dense</m:t>
                </m:r>
              </m:sub>
            </m:sSub>
            <m:r>
              <m:t>(d)</m:t>
            </m:r>
          </m:den>
        </m:f>
        <m:r>
          <m:t> + </m:t>
        </m:r>
        <m:f>
          <m:num>
            <m:sSub>
              <m:e>
                <m:r>
                  <m:t>w</m:t>
                </m:r>
              </m:e>
              <m:sub>
                <m:r>
                  <m:t>sparse</m:t>
                </m:r>
              </m:sub>
            </m:sSub>
          </m:num>
          <m:den>
            <m:r>
              <m:t>k + </m:t>
            </m:r>
            <m:sSub>
              <m:e>
                <m:r>
                  <m:t>rank</m:t>
                </m:r>
              </m:e>
              <m:sub>
                <m:r>
                  <m:t>sparse</m:t>
                </m:r>
              </m:sub>
            </m:sSub>
            <m:r>
              <m:t>(d)</m:t>
            </m:r>
          </m:den>
        </m:f>
      </m:oMath>
    </w:p>
    <w:p>
      <w:pPr>
        <w:jc w:val="both"/>
      </w:pPr>
      <w:r>
        <w:t>После слияния используется BGE-Reranker для пар «вопрос — текст чанка». Учитываются ограничения длины входа; исходные поисковые оценки сохраняются для диагностики. Если кандидаты не проходят порог релевантности, до генерации возвращается канонический отказ.</w:t>
      </w:r>
    </w:p>
    <w:p>
      <w:pPr>
        <w:jc w:val="both"/>
      </w:pPr>
      <w:r>
        <w:t xml:space="preserve">Отобранные источники передаются Qwen2.5-14B-Instruct через локальный OpenAI-совместимый API. В ответе требуются ссылки [S1]...[Sn]. Проверка предложений выполняется посредством mDeBERTa-v3 NLI. В QA-профиле применяются условия </w:t>
      </w:r>
      <m:oMath>
        <m:r>
          <m:t>P(entailment) &gt; 0,4</m:t>
        </m:r>
      </m:oMath>
      <w:r>
        <w:t xml:space="preserve"> и </w:t>
      </w:r>
      <m:oMath>
        <m:r>
          <m:t>P(contradiction) &lt; 0,2</m:t>
        </m:r>
      </m:oMath>
      <w:r>
        <w:t>, а также правила соответствия цитат.</w:t>
      </w:r>
    </w:p>
    <w:p>
      <w:pPr>
        <w:jc w:val="both"/>
      </w:pPr>
      <w:r>
        <w:t>Фиксируются следующие причины отказа: недостаточная релевантность, пустая генерация или отказ модели, блокировка NLI. Предусмотрена повторная генерация в пределах ограниченного механизма исправления.</w:t>
      </w:r>
    </w:p>
    <w:p>
      <w:pPr>
        <w:jc w:val="both"/>
      </w:pPr>
      <w:r>
        <w:t>NLI представляет собой вероятностный программный классификатор и не обеспечивает формального доказательства истинности. Низкая вероятность contradiction не исключает неподтверждённого факта, а строгий критерий entailment может приводить к отклонению корректной технической перефразировки. Для последующего аудита сохраняются отвергнутые утверждения и значения вероятностей.</w:t>
      </w:r>
    </w:p>
    <w:p>
      <w:pPr>
        <w:jc w:val="both"/>
      </w:pPr>
      <w:r>
        <w:t xml:space="preserve">Саммаризация выделена в независимый маршрут, включающий формирование пула до 30 фрагментов, MMR-отбор с контролем разнообразия, специализированную генерацию, удаление предложений с </w:t>
      </w:r>
      <m:oMath>
        <m:r>
          <m:t>P(contradiction) &gt; 0,3</m:t>
        </m:r>
      </m:oMath>
      <w:r>
        <w:t xml:space="preserve"> и постдедупликацию при cosine &gt; 0,85. Допуск neutral предусмотрен только в этом режиме. Такая политика позволяет сохранять обобщения, однако не гарантирует подтверждения каждого факта. Строгие критерии QA остаются неизменными. Полный охват большого документа при ограниченном числе выбранных чанков не гарантируется.</w:t>
      </w:r>
    </w:p>
    <w:p>
      <w:pPr>
        <w:pStyle w:val="Heading1"/>
      </w:pPr>
      <w:r>
        <w:t>5. Программная архитектура и взаимодействие компонентов</w:t>
      </w:r>
    </w:p>
    <w:p>
      <w:pPr>
        <w:pStyle w:val="Heading2"/>
      </w:pPr>
      <w:r>
        <w:t>5.1. Принципы декомпозиции</w:t>
      </w:r>
    </w:p>
    <w:p>
      <w:pPr>
        <w:jc w:val="both"/>
      </w:pPr>
      <w:r>
        <w:t>Программный комплекс разделён на пять функциональных уровней:</w:t>
      </w:r>
    </w:p>
    <w:p>
      <w:r>
        <w:t>1. Конфигурация и вычислительная среда.</w:t>
      </w:r>
    </w:p>
    <w:p>
      <w:r>
        <w:t>2. Подготовка и хранение документов.</w:t>
      </w:r>
    </w:p>
    <w:p>
      <w:r>
        <w:t>3. Поиск и генерация.</w:t>
      </w:r>
    </w:p>
    <w:p>
      <w:r>
        <w:t>4. Прикладная оркестрация.</w:t>
      </w:r>
    </w:p>
    <w:p>
      <w:r>
        <w:t>5. Интерфейсы и экспериментальная оценка.</w:t>
      </w:r>
    </w:p>
    <w:p>
      <w:pPr>
        <w:jc w:val="both"/>
      </w:pPr>
      <w:r>
        <w:t>Такая декомпозиция позволяет изменять представление результата без пересмотра алгоритмов поиска, а также независимо тестировать обработку документов, ранжирование и принятие утверждений.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572"/>
        <w:gridCol w:w="3742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Уровень и модуль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Ответственность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Данные и взаимодействие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settings.py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Определение типизированных параметров, локальных путей, порогов и ограничений окружения.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 xml:space="preserve">Передача </w:t>
            </w:r>
            <w:r>
              <w:rPr>
                <w:rFonts w:ascii="Consolas" w:hAnsi="Consolas"/>
                <w:b w:val="0"/>
                <w:sz w:val="20"/>
              </w:rPr>
              <w:t>RAGSettings</w:t>
            </w:r>
            <w:r>
              <w:rPr>
                <w:b w:val="0"/>
                <w:sz w:val="20"/>
              </w:rPr>
              <w:t xml:space="preserve"> компонентам вместо независимого чтения параметров в каждом модуле.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model_runtime.py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Централизованный выбор вычислительного устройства и режима точности.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Согласование загрузки и инференса моделей с доступными CPU/CUDA-ресурсами.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document_parser.py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Извлечение текста и структурных элементов PDF, DOCX, TXT и MD.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Формирование документов, чанков и метаданных разделов, страниц и контекстов.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document_processor.py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Инкрементальная обработка, сегментация по предложениям и проверка SHA-256.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Передача новых чанков интерфейсу индексации; пропуск уже обработанного содержимого.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hybrid_retriever.py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Управление Qdrant, BM25, BGE-M3, RRF и Cross-Encoder.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Возврат кандидатов с документными метаданными и отдельными оценками поиска и ранжирования.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generator_verifier.py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Клиент LLM, подготовка контекста, выделение утверждений и NLI.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Генерация по вопросу и источникам; формирование проверенных утверждений и диагностических данных.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pipeline.py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 xml:space="preserve">Объединение этапов стандартного QA в </w:t>
            </w:r>
            <w:r>
              <w:rPr>
                <w:rFonts w:ascii="Consolas" w:hAnsi="Consolas"/>
                <w:b w:val="0"/>
                <w:sz w:val="20"/>
              </w:rPr>
              <w:t>RAGPipeline</w:t>
            </w:r>
            <w:r>
              <w:rPr>
                <w:b w:val="0"/>
                <w:sz w:val="20"/>
              </w:rPr>
              <w:t>; управление ресурсами.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 xml:space="preserve">Возврат </w:t>
            </w:r>
            <w:r>
              <w:rPr>
                <w:rFonts w:ascii="Consolas" w:hAnsi="Consolas"/>
                <w:b w:val="0"/>
                <w:sz w:val="20"/>
              </w:rPr>
              <w:t>RAGResponse</w:t>
            </w:r>
            <w:r>
              <w:rPr>
                <w:b w:val="0"/>
                <w:sz w:val="20"/>
              </w:rPr>
              <w:t xml:space="preserve"> с ответом, источниками, результатами проверок, временами и причиной отказа.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summarization.py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 xml:space="preserve">Независимый </w:t>
            </w:r>
            <w:r>
              <w:rPr>
                <w:rFonts w:ascii="Consolas" w:hAnsi="Consolas"/>
                <w:b w:val="0"/>
                <w:sz w:val="20"/>
              </w:rPr>
              <w:t>SummarizationPipeline</w:t>
            </w:r>
            <w:r>
              <w:rPr>
                <w:b w:val="0"/>
                <w:sz w:val="20"/>
              </w:rPr>
              <w:t>, MMR и дедупликация.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Обработка выбранного документа с отдельной политикой допуска neutral.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web_bridge.py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Интеграция интерфейса с моделями, кэшированием, блокировками и загрузкой файлов.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 xml:space="preserve">Сохранение общего владельца ресурсов через </w:t>
            </w:r>
            <w:r>
              <w:rPr>
                <w:rFonts w:ascii="Consolas" w:hAnsi="Consolas"/>
                <w:b w:val="0"/>
                <w:sz w:val="20"/>
              </w:rPr>
              <w:t>st.cache_resource</w:t>
            </w:r>
            <w:r>
              <w:rPr>
                <w:b w:val="0"/>
                <w:sz w:val="20"/>
              </w:rPr>
              <w:t>; маршрутизация запросов.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app.py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Чат, выбор режима, загрузка документов и отображение диагностики в Streamlit.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Хранение состояния диалога отдельно от общих моделей; представление обработанного результата.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baseline_rag.py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20"/>
              </w:rPr>
              <w:t>demo.py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20"/>
              </w:rPr>
              <w:t>api.py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CLI, демонстрационный CLI и отдельная точка HTTP API.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Альтернативные точки входа с ограничением совместного доступа процессов к embedded Qdrant.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evaluate_quality.py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20"/>
              </w:rPr>
              <w:t>benchmark.py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20"/>
              </w:rPr>
              <w:t>benchmark_ragas.py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Корпусная оценка, измерение задержек и интеграция с оценочным инструментарием.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Сохранение отчётов; наличие модуля Ragas не означает выполнения эксперимента Ragas.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rFonts w:ascii="Consolas" w:hAnsi="Consolas"/>
                <w:b w:val="0"/>
                <w:sz w:val="20"/>
              </w:rPr>
              <w:t>scripts/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20"/>
              </w:rPr>
              <w:t>tests/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sz w:val="20"/>
              </w:rPr>
              <w:t>docs/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Автоматизация запуска, управления индексом, упаковки и проверки воспроизводимости.</w:t>
            </w:r>
          </w:p>
        </w:tc>
        <w:tc>
          <w:tcPr>
            <w:tcW w:type="dxa" w:w="37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Хранение тестов, протоколов и инструкций отдельно от исполняемой логики.</w:t>
            </w:r>
          </w:p>
        </w:tc>
      </w:tr>
    </w:tbl>
    <w:p>
      <w:pPr>
        <w:spacing w:after="0"/>
      </w:pPr>
    </w:p>
    <w:p>
      <w:pPr>
        <w:pStyle w:val="Heading2"/>
      </w:pPr>
      <w:r>
        <w:t>5.2. Представление данных и контракт результата</w:t>
      </w:r>
    </w:p>
    <w:p>
      <w:pPr>
        <w:jc w:val="both"/>
      </w:pPr>
      <w:r>
        <w:t>Основной поисковой единицей является чанк документа с устойчивым идентификатором, текстом и метаданными. Связь с исходным документом сохраняется при переходе от парсинга к векторному представлению и далее к цитате. Это обеспечивает восстановление происхождения контекста после объединения и переупорядочивания поисковых списков.</w:t>
      </w:r>
    </w:p>
    <w:p>
      <w:pPr>
        <w:jc w:val="both"/>
      </w:pPr>
      <w:r>
        <w:t xml:space="preserve">На выходе QA-пайплайна используется </w:t>
      </w:r>
      <w:r>
        <w:rPr>
          <w:rFonts w:ascii="Consolas" w:hAnsi="Consolas"/>
          <w:sz w:val="20"/>
        </w:rPr>
        <w:t>RAGResponse</w:t>
      </w:r>
      <w:r>
        <w:t xml:space="preserve">. Поле </w:t>
      </w:r>
      <w:r>
        <w:rPr>
          <w:rFonts w:ascii="Consolas" w:hAnsi="Consolas"/>
          <w:sz w:val="20"/>
        </w:rPr>
        <w:t>answer</w:t>
      </w:r>
      <w:r>
        <w:t xml:space="preserve"> содержит итоговый текст, </w:t>
      </w:r>
      <w:r>
        <w:rPr>
          <w:rFonts w:ascii="Consolas" w:hAnsi="Consolas"/>
          <w:sz w:val="20"/>
        </w:rPr>
        <w:t>sources</w:t>
      </w:r>
      <w:r>
        <w:t xml:space="preserve"> — список </w:t>
      </w:r>
      <w:r>
        <w:rPr>
          <w:rFonts w:ascii="Consolas" w:hAnsi="Consolas"/>
          <w:sz w:val="20"/>
        </w:rPr>
        <w:t>SourceCitation</w:t>
      </w:r>
      <w:r>
        <w:t xml:space="preserve">, </w:t>
      </w:r>
      <w:r>
        <w:rPr>
          <w:rFonts w:ascii="Consolas" w:hAnsi="Consolas"/>
          <w:sz w:val="20"/>
        </w:rPr>
        <w:t>claims</w:t>
      </w:r>
      <w:r>
        <w:t xml:space="preserve"> — результаты проверки утверждений, </w:t>
      </w:r>
      <w:r>
        <w:rPr>
          <w:rFonts w:ascii="Consolas" w:hAnsi="Consolas"/>
          <w:sz w:val="20"/>
        </w:rPr>
        <w:t>execution_stats</w:t>
      </w:r>
      <w:r>
        <w:t xml:space="preserve"> — измерения стадий. Дополнительно сохраняются признаки отказа и надёжности, идентификаторы кандидатов, сведения о генерации и попытках верификации.</w:t>
      </w:r>
    </w:p>
    <w:p>
      <w:pPr>
        <w:jc w:val="both"/>
      </w:pPr>
      <w:r>
        <w:t xml:space="preserve">Поле </w:t>
      </w:r>
      <w:r>
        <w:rPr>
          <w:rFonts w:ascii="Consolas" w:hAnsi="Consolas"/>
          <w:sz w:val="20"/>
        </w:rPr>
        <w:t>faithfulness_score</w:t>
      </w:r>
      <w:r>
        <w:t xml:space="preserve"> интерпретируется согласно определению, принятому в коде. Его наименование не устанавливает эквивалентности внешней метрике Ragas.</w:t>
      </w:r>
    </w:p>
    <w:p>
      <w:pPr>
        <w:pStyle w:val="Heading2"/>
      </w:pPr>
      <w:r>
        <w:t>5.3. Последовательность инкрементальной загрузки</w:t>
      </w:r>
    </w:p>
    <w:p>
      <w:pPr>
        <w:jc w:val="both"/>
      </w:pPr>
      <w:r>
        <w:t>Обработка загружаемого документа выполняется в следующей последовательности:</w:t>
      </w:r>
    </w:p>
    <w:p>
      <w:pPr>
        <w:spacing w:after="0"/>
      </w:pPr>
      <w:r>
        <w:rPr>
          <w:rFonts w:ascii="Consolas" w:hAnsi="Consolas"/>
          <w:sz w:val="20"/>
        </w:rPr>
        <w:t>app.py</w:t>
      </w:r>
    </w:p>
    <w:p>
      <w:pPr>
        <w:spacing w:after="0"/>
      </w:pPr>
      <w:r>
        <w:rPr>
          <w:rFonts w:ascii="Consolas" w:hAnsi="Consolas"/>
          <w:sz w:val="20"/>
        </w:rPr>
        <w:t xml:space="preserve">  → web_bridge.py</w:t>
      </w:r>
    </w:p>
    <w:p>
      <w:pPr>
        <w:spacing w:after="0"/>
      </w:pPr>
      <w:r>
        <w:rPr>
          <w:rFonts w:ascii="Consolas" w:hAnsi="Consolas"/>
          <w:sz w:val="20"/>
        </w:rPr>
        <w:t xml:space="preserve">  → DocumentProcessor</w:t>
      </w:r>
    </w:p>
    <w:p>
      <w:pPr>
        <w:spacing w:after="0"/>
      </w:pPr>
      <w:r>
        <w:rPr>
          <w:rFonts w:ascii="Consolas" w:hAnsi="Consolas"/>
          <w:sz w:val="20"/>
        </w:rPr>
        <w:t xml:space="preserve">  → DocumentParser / SentenceParser</w:t>
      </w:r>
    </w:p>
    <w:p>
      <w:pPr>
        <w:spacing w:after="0"/>
      </w:pPr>
      <w:r>
        <w:rPr>
          <w:rFonts w:ascii="Consolas" w:hAnsi="Consolas"/>
          <w:sz w:val="20"/>
        </w:rPr>
        <w:t xml:space="preserve">  → HybridRetriever</w:t>
      </w:r>
    </w:p>
    <w:p>
      <w:pPr>
        <w:spacing w:after="0"/>
      </w:pPr>
      <w:r>
        <w:rPr>
          <w:rFonts w:ascii="Consolas" w:hAnsi="Consolas"/>
          <w:sz w:val="20"/>
        </w:rPr>
        <w:t xml:space="preserve">  → Qdrant + BM25</w:t>
      </w:r>
    </w:p>
    <w:p>
      <w:pPr>
        <w:jc w:val="both"/>
      </w:pPr>
      <w:r>
        <w:t>На входе проверяются допустимость имени и формата файла, контролируется размер и вычисляется хеш содержимого. Для нового файла выполняются извлечение текста, формирование чанков и пакетное вычисление эмбеддингов. Плотные векторы сохраняются вместе с метаданными; разреженное представление обновляется.</w:t>
      </w:r>
    </w:p>
    <w:p>
      <w:pPr>
        <w:jc w:val="both"/>
      </w:pPr>
      <w:r>
        <w:t>При проверке дубликатов учитывается признак завершённой обработки документа, позволяющий отличить проиндексированный файл от незавершённой попытки. Пакет нескольких документов не образует единую транзакцию: при ошибке после обработки части пакета ранее завершённые документы могут оставаться в индексе. Для таких случаев сохраняется статистика частичного выполнения и предусмотрен повторный запуск.</w:t>
      </w:r>
    </w:p>
    <w:p>
      <w:pPr>
        <w:pStyle w:val="Heading2"/>
      </w:pPr>
      <w:r>
        <w:t>5.4. Последовательность обработки вопроса</w:t>
      </w:r>
    </w:p>
    <w:p>
      <w:pPr>
        <w:jc w:val="both"/>
      </w:pPr>
      <w:r>
        <w:t xml:space="preserve">Вопрос передаётся по цепочке </w:t>
      </w:r>
      <w:r>
        <w:rPr>
          <w:rFonts w:ascii="Consolas" w:hAnsi="Consolas"/>
          <w:sz w:val="20"/>
        </w:rPr>
        <w:t>app.py → WebBridge → RAGPipeline</w:t>
      </w:r>
      <w:r>
        <w:t>. После проверки ввода выполняются плотный и разреженный поиск, объединение кандидатов по RRF и переранжирование. При недостаточной релевантности обработка завершается отказом до обращения к LLM.</w:t>
      </w:r>
    </w:p>
    <w:p>
      <w:pPr>
        <w:jc w:val="both"/>
      </w:pPr>
      <w:r>
        <w:t xml:space="preserve">При достаточном контексте формируются источники [Si], запрос передаётся </w:t>
      </w:r>
      <w:r>
        <w:rPr>
          <w:rFonts w:ascii="Consolas" w:hAnsi="Consolas"/>
          <w:sz w:val="20"/>
        </w:rPr>
        <w:t>LocalLLMGenerator</w:t>
      </w:r>
      <w:r>
        <w:t xml:space="preserve">, а результат обрабатывается через </w:t>
      </w:r>
      <w:r>
        <w:rPr>
          <w:rFonts w:ascii="Consolas" w:hAnsi="Consolas"/>
          <w:sz w:val="20"/>
        </w:rPr>
        <w:t>NLIFactVerifier</w:t>
      </w:r>
      <w:r>
        <w:t xml:space="preserve"> и объединяющую логику </w:t>
      </w:r>
      <w:r>
        <w:rPr>
          <w:rFonts w:ascii="Consolas" w:hAnsi="Consolas"/>
          <w:sz w:val="20"/>
        </w:rPr>
        <w:t>GeneratorVerifier</w:t>
      </w:r>
      <w:r>
        <w:t>. Оцениваются отношения между утверждением и свидетельством, применяются правила допуска и предусмотренные попытки исправления. Затем формируется типизированный ответ, возвращаемый через интерфейсный модуль.</w:t>
      </w:r>
    </w:p>
    <w:p>
      <w:pPr>
        <w:jc w:val="both"/>
      </w:pPr>
      <w:r>
        <w:t>Техническое исключение, например недоступность сервера, отделяется от содержательного вывода об отсутствии подтверждающих данных.</w:t>
      </w:r>
    </w:p>
    <w:p>
      <w:pPr>
        <w:pStyle w:val="Heading2"/>
      </w:pPr>
      <w:r>
        <w:t>5.5. Маршрут саммаризации и жизненный цикл ресурсов</w:t>
      </w:r>
    </w:p>
    <w:p>
      <w:pPr>
        <w:jc w:val="both"/>
      </w:pPr>
      <w:r>
        <w:t>При выборе саммаризации идентификатор документа передаётся в отдельный маршрут без стандартного поискового вопроса. Формируется широкий пул фрагментов, выполняется MMR-отбор, ограничивается объём контекста и генерируется обобщение. После генерации применяются anti-contradiction и семантическая дедупликация. Более строгая политика QA сохраняется без изменений.</w:t>
      </w:r>
    </w:p>
    <w:p>
      <w:pPr>
        <w:jc w:val="both"/>
      </w:pPr>
      <w:r>
        <w:t xml:space="preserve">В Web-режиме загруженные модели повторно используются через кэшируемый </w:t>
      </w:r>
      <w:r>
        <w:rPr>
          <w:rFonts w:ascii="Consolas" w:hAnsi="Consolas"/>
          <w:sz w:val="20"/>
        </w:rPr>
        <w:t>WebBridge</w:t>
      </w:r>
      <w:r>
        <w:t>. Операции сериализуются блокировкой; освобождение ресурсов выполняется централизованно. Такая организация необходима, поскольку параллельное открытие одной файловой коллекции Qdrant несколькими клиентами недопустимо.</w:t>
      </w:r>
    </w:p>
    <w:p>
      <w:pPr>
        <w:jc w:val="both"/>
      </w:pPr>
      <w:r>
        <w:t>Повторная загрузка весов при перерисовке страницы предотвращается, однако параллелизм ограничивается. Текущая архитектура предназначена для локального стенда и не позиционируется как высоконагруженный многопользовательский сервис.</w:t>
      </w:r>
    </w:p>
    <w:p>
      <w:pPr>
        <w:pStyle w:val="Heading1"/>
      </w:pPr>
      <w:r>
        <w:t>6. Вычислительная платформа и управление ресурсами</w:t>
      </w:r>
    </w:p>
    <w:p>
      <w:pPr>
        <w:jc w:val="both"/>
      </w:pPr>
      <w:r>
        <w:t xml:space="preserve">Запуск адаптирован под Windows и RTX 5060 Laptop с 8 ГБ VRAM, архитектурой Blackwell sm_120 и около 47 ГБ системной RAM. Для уменьшения накладных расходов применяются совместимый PyTorch, BF16 и </w:t>
      </w:r>
      <w:r>
        <w:rPr>
          <w:rFonts w:ascii="Consolas" w:hAnsi="Consolas"/>
          <w:sz w:val="20"/>
        </w:rPr>
        <w:t>inference_mode</w:t>
      </w:r>
      <w:r>
        <w:t>. Совместимость CUDA проверяется непосредственно на целевой машине; наличие установленного PyTorch не является достаточным подтверждением.</w:t>
      </w:r>
    </w:p>
    <w:p>
      <w:pPr>
        <w:jc w:val="both"/>
      </w:pPr>
      <w:r>
        <w:t>Используется нативный llama-server вместо нестабильного на данном CPU варианта исполнения через llama-cpp-python. Зафиксирован следующий профиль:</w:t>
      </w:r>
    </w:p>
    <w:p>
      <w:pPr>
        <w:spacing w:after="0"/>
      </w:pPr>
      <w:r>
        <w:rPr>
          <w:rFonts w:ascii="Consolas" w:hAnsi="Consolas"/>
          <w:sz w:val="20"/>
        </w:rPr>
        <w:t>-ngl 35 -c 4096 -b 128 -ub 64 -np 1</w:t>
      </w:r>
    </w:p>
    <w:p>
      <w:pPr>
        <w:jc w:val="both"/>
      </w:pPr>
      <w:r>
        <w:t>Размеры пакетов и контекста ограничены, поскольку llama-server и PyTorch используют одну видеокарту. Успешный стресс-прогон не гарантирует отсутствия OOM при произвольной нагрузке.</w:t>
      </w:r>
    </w:p>
    <w:p>
      <w:pPr>
        <w:jc w:val="both"/>
      </w:pPr>
      <w:r>
        <w:t>В Streamlit кэшируется общий владелец моделей и применяется блокировка доступа к единственному embedded-клиенту Qdrant. Это исключает повторное открытие файловой коллекции при каждой перерисовке страницы. В интерфейсе отображаются состояния ожидания. Потоковое представление итогового текста выполняется после проверки NLI, что предотвращает публикацию отвергнутых утверждений в качестве готового ответа.</w:t>
      </w:r>
    </w:p>
    <w:p>
      <w:pPr>
        <w:pStyle w:val="Heading1"/>
      </w:pPr>
      <w:r>
        <w:t>7. Методика экспериментальной оценки и текущие результаты</w:t>
      </w:r>
    </w:p>
    <w:p>
      <w:pPr>
        <w:jc w:val="both"/>
      </w:pPr>
      <w:r>
        <w:t>Для текущей оценки использован сохраненный датасет из 50 вопросов по 9 техническим документам. Каждый запрос проходил полный маршрут: hybrid retrieval, BGE-Reranker, генерация Qwen2.5-14B-Instruct и NLI-проверка mDeBERTa. В итоговом JSON-отчете сохранены ответ, источники, RRF и reranker scores, статусы NLI и execution_stats.</w:t>
      </w:r>
    </w:p>
    <w:p>
      <w:pPr>
        <w:jc w:val="both"/>
      </w:pPr>
      <w:r>
        <w:t>Выборка разделена на 35 положительных, 10 отрицательных и 5 adversarial-кейсов. Для положительных вопросов успехом считался подтвержденный ответ без отказа. Для отрицательных и adversarial-вопросов успехом считался корректный отказ или блокировка неподтвержденного утверждения.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55"/>
        <w:gridCol w:w="2806"/>
        <w:gridCol w:w="2806"/>
      </w:tblGrid>
      <w:tr>
        <w:trPr>
          <w:cantSplit/>
          <w:tblHeader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r>
              <w:t>Показатель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r>
              <w:t>Текущая оценка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r>
              <w:t>Комментарий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Размер выборки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50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35 Positive, 10 Negative, 5 Adversarial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Общая успешность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88% (44/50)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Полный QA-маршрут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Positive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88,6% (31/35)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Подтвержденный ответ без отказа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Negative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90% (9/10)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Корректный отказ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Adversarial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80% (4/5)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Блокировка противоречивой предпосылки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Hit@5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100% (50/50)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Релевантный контекст найден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Среднее время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10,85 с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Полный запрос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Медианное время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8,22 с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Полный запрос</w:t>
            </w:r>
          </w:p>
        </w:tc>
      </w:tr>
      <w:tr>
        <w:trPr>
          <w:cantSplit/>
        </w:trPr>
        <w:tc>
          <w:tcPr>
            <w:tcW w:type="dxa" w:w="385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Основной bottleneck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Генерация</w:t>
            </w:r>
          </w:p>
        </w:tc>
        <w:tc>
          <w:tcPr>
            <w:tcW w:type="dxa" w:w="280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Среднее 9379,6 мс</w:t>
            </w:r>
          </w:p>
        </w:tc>
      </w:tr>
    </w:tbl>
    <w:p>
      <w:pPr>
        <w:spacing w:after="0"/>
      </w:pPr>
    </w:p>
    <w:p>
      <w:pPr>
        <w:jc w:val="both"/>
      </w:pPr>
      <w:r>
        <w:t>Hit@5 характеризует наличие хотя бы одного релевантного элемента среди результатов, тогда как Recall@5 отражает долю всех релевантных элементов. Метрика retrieval recall не подменяется citation recall. Применённая NLI-оценка также отличается от Ragas Faithfulness: различия определений, моделей оценивания и знаменателей исключают непосредственный перенос численных значений.</w:t>
      </w:r>
    </w:p>
    <w:p>
      <w:pPr>
        <w:jc w:val="both"/>
      </w:pPr>
      <w:r>
        <w:t>Среднее полное время обработки запроса составило 10,85 с, медианное - 8,22 с. В среднем hybrid retrieval занял 88,3 мс, реранкинг - 1038,0 мс, генерация - 9379,6 мс, NLI-проверка - 337,3 мс. Основной вклад в задержку вносит генерация ответа.</w:t>
      </w:r>
    </w:p>
    <w:p>
      <w:pPr>
        <w:jc w:val="both"/>
      </w:pPr>
      <w:r>
        <w:t>Время поиска, переранжирования, генерации и NLI измеряется отдельно. Холодная инициализация и индексация не объединяются с задержкой запроса при уже загруженных моделях.</w:t>
      </w:r>
    </w:p>
    <w:p>
      <w:pPr>
        <w:jc w:val="both"/>
      </w:pPr>
      <w:r>
        <w:t xml:space="preserve">Тестовый набор и статические проверки используются для контроля программных регрессий, а не для определения точности языковой модели. При сборке получены 200 passed, отсутствие ошибок mypy strict по 43 файлам и отсутствие замечаний Ruff. Добавлены четыре проверки упаковки и источника презентации. Вывод CI сохранён в </w:t>
      </w:r>
      <w:r>
        <w:rPr>
          <w:rFonts w:ascii="Consolas" w:hAnsi="Consolas"/>
          <w:sz w:val="20"/>
        </w:rPr>
        <w:t>docs/evidence/release_checks.txt</w:t>
      </w:r>
      <w:r>
        <w:t>.</w:t>
      </w:r>
    </w:p>
    <w:p>
      <w:pPr>
        <w:pStyle w:val="Heading1"/>
      </w:pPr>
      <w:r>
        <w:t>8. Интерпретация результатов и границы применимости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652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Тезис исходной аннотации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AEA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Интерпретация в настоящем исследовании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Полнота 91,5%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Целевое значение Recall. Результат Hit = 7/7 не устанавливает нижнюю границу Recall на полном корпусе.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Галлюцинации менее 2,3%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Целевой уровень ошибок по экспертной разметке. Корректные отказы в 3/3 случаях не измеряют ошибки NLI при проверке утверждений.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Faithfulness 0,67 → 0,92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Планируемое парное сравнение baseline и разработанного контура по единому протоколу Ragas. Соответствующее измерение отсутствует.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Context Precision 0,89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Цель отдельной оценки контекста. Значение Citation Precision не может использоваться вместо этой метрики.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Фактологическая точность +25%</w:t>
            </w:r>
          </w:p>
        </w:tc>
        <w:tc>
          <w:tcPr>
            <w:tcW w:type="dxa" w:w="65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Требуется определить метрику и исходную базу сравнения. Изменение абсолютного значения на +0,25 отличается от относительного прироста.</w:t>
            </w:r>
          </w:p>
        </w:tc>
      </w:tr>
    </w:tbl>
    <w:p>
      <w:pPr>
        <w:spacing w:after="0"/>
      </w:pPr>
    </w:p>
    <w:p>
      <w:pPr>
        <w:jc w:val="both"/>
      </w:pPr>
      <w:r>
        <w:t>На текущей выборке система продемонстрировала 88% успешных исходов при полном охвате поиска Hit@5 (100%). Это означает, что релевантный контекст находился для всех 50 запросов, а оставшиеся ошибки возникали преимущественно на этапах генерации и NLI-решения, а не на этапе первичного retrieval.</w:t>
      </w:r>
    </w:p>
    <w:p>
      <w:pPr>
        <w:jc w:val="both"/>
      </w:pPr>
      <w:r>
        <w:t>Наиболее высокий результат получен для отрицательных вопросов: 9/10 корректных отказов. Для adversarial-кейсов достигнуто 4/5, что подтверждает способность контура блокировать большую часть намеренно противоречивых предпосылок. Для положительных вопросов получено 31/35 подтвержденных ответов.</w:t>
      </w:r>
    </w:p>
    <w:p>
      <w:pPr>
        <w:jc w:val="both"/>
      </w:pPr>
      <w:r>
        <w:t>Показатель 88% следует интерпретировать как результат инженерной проверки на конкретном локальном корпусе и фиксированной конфигурации. Он не является оценкой качества на произвольной внешней документации и не заменяет независимую экспертную разметку.</w:t>
      </w:r>
    </w:p>
    <w:p>
      <w:pPr>
        <w:jc w:val="both"/>
      </w:pPr>
      <w:r>
        <w:t>Распределение ошибок указывает на приоритет дальнейшей работы: повысить устойчивость генерации к найденному контексту и калибровку NLI при сохранении текущего полного охвата retrieval. Снижение задержки целесообразно искать прежде всего в параметрах и маршруте генерации.</w:t>
      </w:r>
    </w:p>
    <w:p>
      <w:pPr>
        <w:jc w:val="both"/>
      </w:pPr>
      <w:r>
        <w:t>Для следующего этапа рекомендуется расширить корпус, добавить независимую экспертную разметку, фиксировать версии моделей и параметров, а также проводить абляционное сравнение dense-only, гибридного поиска, реранкинга и NLI. Метрики ответа, отказа, retrieval и задержки следует представлять раздельно.</w:t>
      </w:r>
    </w:p>
    <w:p>
      <w:pPr>
        <w:pStyle w:val="Heading1"/>
      </w:pPr>
      <w:r>
        <w:t>9. Демонстрационный протокол</w:t>
      </w:r>
    </w:p>
    <w:p>
      <w:r>
        <w:t xml:space="preserve">1. Запускается </w:t>
      </w:r>
      <w:r>
        <w:rPr>
          <w:rFonts w:ascii="Consolas" w:hAnsi="Consolas"/>
          <w:sz w:val="20"/>
        </w:rPr>
        <w:t>scripts/start_rag.ps1</w:t>
      </w:r>
      <w:r>
        <w:t>; проверяется готовность сервера и Web-интерфейса. При отсутствии базы выполняется первоначальная индексация публичного корпуса.</w:t>
      </w:r>
    </w:p>
    <w:p>
      <w:r>
        <w:t>2. Задаётся вопрос «Что означает код HTTP 204?». Представляются ответ со ссылкой [S1], извлечённый фрагмент, оценка реранкера и таблица NLI. Конкретный текст генерации заранее не гарантируется.</w:t>
      </w:r>
    </w:p>
    <w:p>
      <w:r>
        <w:t>3. Включается режим саммаризации; документ выбирается по имени или идентификатору. Демонстрируются отбор разнообразного контекста посредством MMR и менее строгая политика допуска neutral.</w:t>
      </w:r>
    </w:p>
    <w:p>
      <w:r>
        <w:t>4. Загружается новый DOCX/PDF/TXT/MD, после чего повторяется загрузка того же файла. Проверяются пропуск дубликата по SHA-256 и сохранение существующего индекса.</w:t>
      </w:r>
    </w:p>
    <w:p>
      <w:r>
        <w:t>5. Задаётся вопрос, ответ на который отсутствует в документах; отображается причина отказа. Этот сценарий иллюстрирует отдельный случай и не доказывает нулевую частоту галлюцинаций.</w:t>
      </w:r>
    </w:p>
    <w:p>
      <w:pPr>
        <w:pStyle w:val="Heading1"/>
      </w:pPr>
      <w:r>
        <w:t>10. Воспроизводимость программного комплекса</w:t>
      </w:r>
    </w:p>
    <w:p>
      <w:pPr>
        <w:jc w:val="both"/>
      </w:pPr>
      <w:r>
        <w:t>В дистрибутив включены исходный код, тесты, конфигурации агентов, документация, публичный корпус и QA. Исключены виртуальное окружение, секреты, веса моделей, пользовательские загрузки и рабочие индексы. Индексы восстанавливаются штатным запуском.</w:t>
      </w:r>
    </w:p>
    <w:p>
      <w:pPr>
        <w:jc w:val="both"/>
      </w:pPr>
      <w:r>
        <w:t xml:space="preserve">SHA-256 каждого включённого файла фиксируется в </w:t>
      </w:r>
      <w:r>
        <w:rPr>
          <w:rFonts w:ascii="Consolas" w:hAnsi="Consolas"/>
          <w:sz w:val="20"/>
        </w:rPr>
        <w:t>RELEASE_MANIFEST.json</w:t>
      </w:r>
      <w:r>
        <w:t xml:space="preserve">. Упаковка не изменяет рабочий индекс. Получение зависимостей и моделей описано в </w:t>
      </w:r>
      <w:r>
        <w:rPr>
          <w:rFonts w:ascii="Consolas" w:hAnsi="Consolas"/>
          <w:sz w:val="20"/>
        </w:rPr>
        <w:t>RELEASE_GUIDE.md</w:t>
      </w:r>
      <w:r>
        <w:t>.</w:t>
      </w:r>
    </w:p>
    <w:p>
      <w:pPr>
        <w:jc w:val="both"/>
      </w:pPr>
      <w:r>
        <w:t xml:space="preserve">Для воспроизведения используются исходные снимки и их хеши из </w:t>
      </w:r>
      <w:r>
        <w:rPr>
          <w:rFonts w:ascii="Consolas" w:hAnsi="Consolas"/>
          <w:sz w:val="20"/>
        </w:rPr>
        <w:t>data/corpus_manifest.json</w:t>
      </w:r>
      <w:r>
        <w:t xml:space="preserve">, протоколы </w:t>
      </w:r>
      <w:r>
        <w:rPr>
          <w:rFonts w:ascii="Consolas" w:hAnsi="Consolas"/>
          <w:sz w:val="20"/>
        </w:rPr>
        <w:t>docs/holdout_validation.md</w:t>
      </w:r>
      <w:r>
        <w:t xml:space="preserve">, </w:t>
      </w:r>
      <w:r>
        <w:rPr>
          <w:rFonts w:ascii="Consolas" w:hAnsi="Consolas"/>
          <w:sz w:val="20"/>
        </w:rPr>
        <w:t>docs/gpu_benchmark.md</w:t>
      </w:r>
      <w:r>
        <w:t xml:space="preserve">, </w:t>
      </w:r>
      <w:r>
        <w:rPr>
          <w:rFonts w:ascii="Consolas" w:hAnsi="Consolas"/>
          <w:sz w:val="20"/>
        </w:rPr>
        <w:t>docs/cold_start_validation.md</w:t>
      </w:r>
      <w:r>
        <w:t xml:space="preserve"> и код </w:t>
      </w:r>
      <w:r>
        <w:rPr>
          <w:rFonts w:ascii="Consolas" w:hAnsi="Consolas"/>
          <w:sz w:val="20"/>
        </w:rPr>
        <w:t>evaluate_quality.py</w:t>
      </w:r>
      <w:r>
        <w:t>. Исходные пути в исторических отчётах сохранены как сведения об экспериментальном стенде. При новом запуске локальные пути задаются в настройках.</w:t>
      </w:r>
    </w:p>
    <w:p>
      <w:pPr>
        <w:pStyle w:val="Heading1"/>
      </w:pPr>
      <w:r>
        <w:t>11. Заключение</w:t>
      </w:r>
    </w:p>
    <w:p>
      <w:pPr>
        <w:jc w:val="both"/>
      </w:pPr>
      <w:r>
        <w:t>Разработан специализированный локальный программный комплекс, объединяющий структурную обработку документов, двухэтапный гибридный поиск и проверку фактических утверждений. Практическое отличие от минимальных RAG-конфигураций состоит в обязательном контроле допуска ответа, сохранении диагностических данных и готовом профиле исполнения при ограниченных GPU-ресурсах. По отношению к универсальным платформам предложена конкретная воспроизводимая конфигурация для технической документации с возможностью последующей замены компонентов.</w:t>
      </w:r>
    </w:p>
    <w:p>
      <w:pPr>
        <w:jc w:val="both"/>
      </w:pPr>
      <w:r>
        <w:t>Работоспособность комплекса подтверждена программными проверками и расширенной локальной оценкой на 50 вопросах. Успешность поиска отделена от полноты ответа: Hit@5 составил 100%, а итоговая успешность полного QA-маршрута - 88%. Дальнейшее повышение качества связано прежде всего с устойчивостью генерации и калибровкой NLI.</w:t>
      </w:r>
    </w:p>
    <w:p>
      <w:pPr>
        <w:pStyle w:val="Heading1"/>
      </w:pPr>
      <w:r>
        <w:t>Источники и экспериментальные материалы</w:t>
      </w:r>
    </w:p>
    <w:p>
      <w:pPr>
        <w:jc w:val="both"/>
      </w:pPr>
      <w:r>
        <w:t>Характеристики аналогов приведены по официальной документации. Доступность и содержание указанных страниц проверены 7 сентября 2026 года.</w:t>
      </w:r>
    </w:p>
    <w:p>
      <w:r>
        <w:t xml:space="preserve">1. LangChain. </w:t>
      </w:r>
      <w:hyperlink r:id="rId10">
        <w:r>
          <w:t>Retrieval: компоненты и архитектуры RAG</w:t>
        </w:r>
      </w:hyperlink>
      <w:r>
        <w:t>.</w:t>
      </w:r>
    </w:p>
    <w:p>
      <w:r>
        <w:t xml:space="preserve">2. LlamaIndex. </w:t>
      </w:r>
      <w:hyperlink r:id="rId11">
        <w:r>
          <w:t>CitationQueryEngine: формирование цитат и доступ к источникам</w:t>
        </w:r>
      </w:hyperlink>
      <w:r>
        <w:t>.</w:t>
      </w:r>
    </w:p>
    <w:p>
      <w:r>
        <w:t xml:space="preserve">3. Haystack. </w:t>
      </w:r>
      <w:hyperlink r:id="rId12">
        <w:r>
          <w:t>Pipelines: компоненты, ветвления, циклы и асинхронное исполнение</w:t>
        </w:r>
      </w:hyperlink>
      <w:r>
        <w:t>.</w:t>
      </w:r>
    </w:p>
    <w:p>
      <w:r>
        <w:t xml:space="preserve">4. Отчёт development: </w:t>
      </w:r>
      <w:hyperlink r:id="rId13">
        <w:r>
          <w:t>final-development-report.json</w:t>
        </w:r>
      </w:hyperlink>
      <w:r>
        <w:t>.</w:t>
      </w:r>
    </w:p>
    <w:p>
      <w:r>
        <w:t>5. Отчет расширенной оценки: extended_evaluation_report.json.</w:t>
      </w:r>
    </w:p>
    <w:p>
      <w:r>
        <w:t xml:space="preserve">6. Протокол программных проверок релиза: </w:t>
      </w:r>
      <w:hyperlink r:id="rId15">
        <w:r>
          <w:t>release_checks.txt</w:t>
        </w:r>
      </w:hyperlink>
      <w:r>
        <w:t>.</w:t>
      </w:r>
    </w:p>
    <w:p>
      <w:r>
        <w:t xml:space="preserve">7. Снимки корпуса и хеши: </w:t>
      </w:r>
      <w:hyperlink r:id="rId16">
        <w:r>
          <w:t>corpus_manifest.json</w:t>
        </w:r>
      </w:hyperlink>
      <w:r>
        <w:t>.</w:t>
      </w:r>
    </w:p>
    <w:p>
      <w:pPr>
        <w:pStyle w:val="Heading1"/>
        <w:pageBreakBefore/>
        <w:spacing w:line="240" w:lineRule="auto" w:after="60" w:before="140"/>
      </w:pPr>
      <w:r>
        <w:rPr>
          <w:sz w:val="24"/>
        </w:rPr>
        <w:t>Приложение. Тезисы для автоматически генерируемых слайдов</w:t>
      </w:r>
    </w:p>
    <w:p>
      <w:pPr>
        <w:pStyle w:val="Heading2"/>
        <w:spacing w:line="240" w:lineRule="auto" w:after="60" w:before="140"/>
      </w:pPr>
      <w:r>
        <w:rPr>
          <w:sz w:val="24"/>
        </w:rPr>
        <w:t>Локальная RAG-система</w:t>
      </w:r>
    </w:p>
    <w:p>
      <w:pPr>
        <w:pStyle w:val="ListBullet"/>
        <w:spacing w:line="240" w:lineRule="auto" w:after="60" w:before="0"/>
      </w:pPr>
      <w:r>
        <w:rPr>
          <w:sz w:val="22"/>
        </w:rPr>
        <w:t>Разработан контур поиска и проверки фактов для технических документов.</w:t>
      </w:r>
    </w:p>
    <w:p>
      <w:pPr>
        <w:pStyle w:val="ListBullet"/>
        <w:spacing w:line="240" w:lineRule="auto" w:after="60" w:before="0"/>
      </w:pPr>
      <w:r>
        <w:rPr>
          <w:sz w:val="22"/>
        </w:rPr>
        <w:t>Работа выполнена в РУДН, Факультет ИИ, группа ЗПИбд-03-25.</w:t>
      </w:r>
    </w:p>
    <w:p>
      <w:pPr>
        <w:pStyle w:val="ListBullet"/>
        <w:spacing w:line="240" w:lineRule="auto" w:after="60" w:before="0"/>
      </w:pPr>
      <w:r>
        <w:rPr>
          <w:sz w:val="22"/>
        </w:rPr>
        <w:t>Объединены локальный инференс, ссылки на источники и диагностируемые отказы.</w:t>
      </w:r>
    </w:p>
    <w:p>
      <w:pPr>
        <w:pStyle w:val="Heading2"/>
        <w:spacing w:line="240" w:lineRule="auto" w:after="60" w:before="140"/>
      </w:pPr>
      <w:r>
        <w:rPr>
          <w:sz w:val="24"/>
        </w:rPr>
        <w:t>Ограничения применения LLM</w:t>
      </w:r>
    </w:p>
    <w:p>
      <w:pPr>
        <w:pStyle w:val="ListBullet"/>
        <w:spacing w:line="240" w:lineRule="auto" w:after="60" w:before="0"/>
      </w:pPr>
      <w:r>
        <w:rPr>
          <w:sz w:val="22"/>
        </w:rPr>
        <w:t>После подготовки зависимостей документы обрабатываются внутри локального контура.</w:t>
      </w:r>
    </w:p>
    <w:p>
      <w:pPr>
        <w:pStyle w:val="ListBullet"/>
        <w:spacing w:line="240" w:lineRule="auto" w:after="60" w:before="0"/>
      </w:pPr>
      <w:r>
        <w:rPr>
          <w:sz w:val="22"/>
        </w:rPr>
        <w:t>Сгенерированные утверждения проходят дополнительную проверку.</w:t>
      </w:r>
    </w:p>
    <w:p>
      <w:pPr>
        <w:pStyle w:val="ListBullet"/>
        <w:spacing w:line="240" w:lineRule="auto" w:after="60" w:before="0"/>
      </w:pPr>
      <w:r>
        <w:rPr>
          <w:sz w:val="22"/>
        </w:rPr>
        <w:t>В Web-интерфейсе отображаются источники и причины отказа.</w:t>
      </w:r>
    </w:p>
    <w:p>
      <w:pPr>
        <w:pStyle w:val="Heading2"/>
        <w:spacing w:line="240" w:lineRule="auto" w:after="60" w:before="140"/>
      </w:pPr>
      <w:r>
        <w:rPr>
          <w:sz w:val="24"/>
        </w:rPr>
        <w:t>Архитектура конвейера</w:t>
      </w:r>
    </w:p>
    <w:p>
      <w:pPr>
        <w:pStyle w:val="ListBullet"/>
        <w:spacing w:line="240" w:lineRule="auto" w:after="60" w:before="0"/>
      </w:pPr>
      <w:r>
        <w:rPr>
          <w:sz w:val="22"/>
        </w:rPr>
        <w:t>Сохраняются разделы, абзацы и метаданные PDF / DOCX / TXT / MD.</w:t>
      </w:r>
    </w:p>
    <w:p>
      <w:pPr>
        <w:pStyle w:val="ListBullet"/>
        <w:spacing w:line="240" w:lineRule="auto" w:after="60" w:before="0"/>
      </w:pPr>
      <w:r>
        <w:rPr>
          <w:sz w:val="22"/>
        </w:rPr>
        <w:t>BM25 и BGE-M3 объединяются посредством RRF; затем применяется BGE-Reranker.</w:t>
      </w:r>
    </w:p>
    <w:p>
      <w:pPr>
        <w:pStyle w:val="ListBullet"/>
        <w:spacing w:line="240" w:lineRule="auto" w:after="60" w:before="0"/>
      </w:pPr>
      <w:r>
        <w:rPr>
          <w:sz w:val="22"/>
        </w:rPr>
        <w:t>Генерация выполняется Qwen2.5-14B; утверждения проверяются посредством mDeBERTa-v3 NLI.</w:t>
      </w:r>
    </w:p>
    <w:p>
      <w:pPr>
        <w:pStyle w:val="Heading2"/>
        <w:spacing w:line="240" w:lineRule="auto" w:after="60" w:before="140"/>
      </w:pPr>
      <w:r>
        <w:rPr>
          <w:sz w:val="24"/>
        </w:rPr>
        <w:t>Контроль утверждений</w:t>
      </w:r>
    </w:p>
    <w:p>
      <w:pPr>
        <w:pStyle w:val="ListBullet"/>
        <w:spacing w:line="240" w:lineRule="auto" w:after="60" w:before="0"/>
      </w:pPr>
      <w:r>
        <w:rPr>
          <w:sz w:val="22"/>
        </w:rPr>
        <w:t>В QA применяются условия P(entailment) &gt; 0,4 и P(contradiction) &lt; 0,2.</w:t>
      </w:r>
    </w:p>
    <w:p>
      <w:pPr>
        <w:pStyle w:val="ListBullet"/>
        <w:spacing w:line="240" w:lineRule="auto" w:after="60" w:before="0"/>
      </w:pPr>
      <w:r>
        <w:rPr>
          <w:sz w:val="22"/>
        </w:rPr>
        <w:t>При саммаризации удаляются предложения с P(contradiction) &gt; 0,3; neutral допускается.</w:t>
      </w:r>
    </w:p>
    <w:p>
      <w:pPr>
        <w:pStyle w:val="ListBullet"/>
        <w:spacing w:line="240" w:lineRule="auto" w:after="60" w:before="0"/>
      </w:pPr>
      <w:r>
        <w:rPr>
          <w:sz w:val="22"/>
        </w:rPr>
        <w:t>Смысловые повторы удаляются при cosine &gt; 0,85. Безошибочность NLI не установлена.</w:t>
      </w:r>
    </w:p>
    <w:p>
      <w:pPr>
        <w:pStyle w:val="Heading2"/>
        <w:spacing w:line="240" w:lineRule="auto" w:after="60" w:before="140"/>
      </w:pPr>
      <w:r>
        <w:t>Результаты расширенной оценки</w:t>
      </w:r>
    </w:p>
    <w:p>
      <w:pPr>
        <w:pStyle w:val="ListBullet"/>
        <w:spacing w:line="240" w:lineRule="auto" w:after="60" w:before="0"/>
      </w:pPr>
      <w:r>
        <w:t>Получен Hit@5 = 100%: релевантный контекст найден для 50 из 50 вопросов.</w:t>
      </w:r>
    </w:p>
    <w:p>
      <w:pPr>
        <w:pStyle w:val="ListBullet"/>
        <w:spacing w:line="240" w:lineRule="auto" w:after="60" w:before="0"/>
      </w:pPr>
      <w:r>
        <w:t>Полный QA-маршрут завершился успешно в 44 из 50 случаев (88%).</w:t>
      </w:r>
    </w:p>
    <w:p>
      <w:pPr>
        <w:pStyle w:val="ListBullet"/>
        <w:spacing w:line="240" w:lineRule="auto" w:after="60" w:before="0"/>
      </w:pPr>
      <w:r>
        <w:rPr>
          <w:sz w:val="22"/>
        </w:rPr>
        <w:t>MRR@5 = 0,8214; nDCG@5 = 0,7670; p50 = 15,31 с.</w:t>
      </w:r>
    </w:p>
    <w:p>
      <w:pPr>
        <w:pStyle w:val="ListBullet"/>
        <w:spacing w:line="240" w:lineRule="auto" w:after="60" w:before="0"/>
      </w:pPr>
      <w:r>
        <w:rPr>
          <w:sz w:val="22"/>
        </w:rPr>
        <w:t>QA подготовлены с использованием ИИ по тому же корпусу; экспертная валидация не проводилась.</w:t>
      </w:r>
    </w:p>
    <w:p>
      <w:pPr>
        <w:pStyle w:val="Heading2"/>
        <w:spacing w:line="240" w:lineRule="auto" w:after="60" w:before="140"/>
      </w:pPr>
      <w:r>
        <w:rPr>
          <w:sz w:val="24"/>
        </w:rPr>
        <w:t>Целевые показатели</w:t>
      </w:r>
    </w:p>
    <w:p>
      <w:pPr>
        <w:pStyle w:val="ListBullet"/>
        <w:spacing w:line="240" w:lineRule="auto" w:after="60" w:before="0"/>
      </w:pPr>
      <w:r>
        <w:t>Распределение по типам: Positive - 31/35, Negative - 9/10, Adversarial - 4/5.</w:t>
      </w:r>
    </w:p>
    <w:p>
      <w:pPr>
        <w:pStyle w:val="ListBullet"/>
        <w:spacing w:line="240" w:lineRule="auto" w:after="60" w:before="0"/>
      </w:pPr>
      <w:r>
        <w:t>Среднее время запроса составило 10,85 с, медианное - 8,22 с; наибольшая доля задержки приходится на генерацию.</w:t>
      </w:r>
    </w:p>
    <w:p>
      <w:pPr>
        <w:pStyle w:val="ListBullet"/>
        <w:spacing w:line="240" w:lineRule="auto" w:after="60" w:before="0"/>
      </w:pPr>
      <w:r>
        <w:t>Результаты подтверждают работоспособность полного локального контура и задают измеримую базу для дальнейшей оптимизации генерации и NLI.</w:t>
      </w:r>
    </w:p>
    <w:p>
      <w:pPr>
        <w:pStyle w:val="ListBullet"/>
        <w:spacing w:line="240" w:lineRule="auto" w:after="60" w:before="0"/>
      </w:pPr>
      <w:r>
        <w:rPr>
          <w:sz w:val="22"/>
        </w:rPr>
        <w:t>Для заявленного прироста точности на 25% требуется уточнение базы сравнения.</w:t>
      </w:r>
    </w:p>
    <w:p>
      <w:pPr>
        <w:pStyle w:val="Heading2"/>
        <w:spacing w:line="240" w:lineRule="auto" w:after="60" w:before="140"/>
      </w:pPr>
      <w:r>
        <w:rPr>
          <w:sz w:val="24"/>
        </w:rPr>
        <w:t>Вычислительный стенд</w:t>
      </w:r>
    </w:p>
    <w:p>
      <w:pPr>
        <w:pStyle w:val="ListBullet"/>
        <w:spacing w:line="240" w:lineRule="auto" w:after="60" w:before="0"/>
      </w:pPr>
      <w:r>
        <w:rPr>
          <w:sz w:val="22"/>
        </w:rPr>
        <w:t>Используются RTX 5060 Laptop, 8 ГБ VRAM, Blackwell sm_120 и BF16.</w:t>
      </w:r>
    </w:p>
    <w:p>
      <w:pPr>
        <w:pStyle w:val="ListBullet"/>
        <w:spacing w:line="240" w:lineRule="auto" w:after="60" w:before="0"/>
      </w:pPr>
      <w:r>
        <w:rPr>
          <w:sz w:val="22"/>
        </w:rPr>
        <w:t>Профиль llama-server: -ngl 35 -c 4096 -b 128 -ub 64 -np 1.</w:t>
      </w:r>
    </w:p>
    <w:p>
      <w:pPr>
        <w:pStyle w:val="ListBullet"/>
        <w:spacing w:line="240" w:lineRule="auto" w:after="60" w:before="0"/>
      </w:pPr>
      <w:r>
        <w:rPr>
          <w:sz w:val="22"/>
        </w:rPr>
        <w:t>Экземпляры моделей повторно используются между запросами Streamlit; размеры пакетов контролируются.</w:t>
      </w:r>
    </w:p>
    <w:p>
      <w:pPr>
        <w:pStyle w:val="Heading2"/>
        <w:spacing w:line="240" w:lineRule="auto" w:after="60" w:before="140"/>
      </w:pPr>
      <w:r>
        <w:rPr>
          <w:sz w:val="24"/>
        </w:rPr>
        <w:t>Демонстрационный сценарий</w:t>
      </w:r>
    </w:p>
    <w:p>
      <w:pPr>
        <w:pStyle w:val="ListBullet"/>
        <w:spacing w:line="240" w:lineRule="auto" w:after="60" w:before="0"/>
      </w:pPr>
      <w:r>
        <w:rPr>
          <w:sz w:val="22"/>
        </w:rPr>
        <w:t>Запрос о HTTP 204 сопровождается отображением источника [S1] и результатов NLI-проверки.</w:t>
      </w:r>
    </w:p>
    <w:p>
      <w:pPr>
        <w:pStyle w:val="ListBullet"/>
        <w:spacing w:line="240" w:lineRule="auto" w:after="60" w:before="0"/>
      </w:pPr>
      <w:r>
        <w:rPr>
          <w:sz w:val="22"/>
        </w:rPr>
        <w:t>Саммаризация выполняется с MMR и удалением повторов.</w:t>
      </w:r>
    </w:p>
    <w:p>
      <w:pPr>
        <w:pStyle w:val="ListBullet"/>
        <w:spacing w:line="240" w:lineRule="auto" w:after="60" w:before="0"/>
      </w:pPr>
      <w:r>
        <w:rPr>
          <w:sz w:val="22"/>
        </w:rPr>
        <w:t>Повторная загрузка DOCX пропускается по SHA-256.</w:t>
      </w:r>
    </w:p>
    <w:p>
      <w:pPr>
        <w:pStyle w:val="ListBullet"/>
        <w:spacing w:line="240" w:lineRule="auto" w:after="60" w:before="0"/>
      </w:pPr>
      <w:r>
        <w:rPr>
          <w:sz w:val="22"/>
        </w:rPr>
        <w:t>Дистрибутив включает код, тесты, публичный корпус и SHA-256-манифест; веса и секреты исключены.</w:t>
      </w:r>
    </w:p>
    <w:sectPr w:rsidR="00FC693F" w:rsidRPr="0006063C" w:rsidSect="00034616">
      <w:footerReference w:type="default" r:id="rId9"/>
      <w:pgSz w:w="11906" w:h="16838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langchain.com/oss/python/langchain/retrieval" TargetMode="External"/><Relationship Id="rId11" Type="http://schemas.openxmlformats.org/officeDocument/2006/relationships/hyperlink" Target="https://docs.llamaindex.ai/en/stable/examples/query_engine/citation_query_engine/" TargetMode="External"/><Relationship Id="rId12" Type="http://schemas.openxmlformats.org/officeDocument/2006/relationships/hyperlink" Target="https://docs.haystack.deepset.ai/docs/pipelines" TargetMode="External"/><Relationship Id="rId13" Type="http://schemas.openxmlformats.org/officeDocument/2006/relationships/hyperlink" Target="C:/Hakatons/RT/docs/evidence/final-development-report.json" TargetMode="External"/><Relationship Id="rId14" Type="http://schemas.openxmlformats.org/officeDocument/2006/relationships/hyperlink" Target="C:/Hakatons/RT/docs/evidence/holdout_evaluation_report.json" TargetMode="External"/><Relationship Id="rId15" Type="http://schemas.openxmlformats.org/officeDocument/2006/relationships/hyperlink" Target="C:/Hakatons/RT/docs/evidence/release_checks.txt" TargetMode="External"/><Relationship Id="rId16" Type="http://schemas.openxmlformats.org/officeDocument/2006/relationships/hyperlink" Target="C:/Hakatons/RT/data/corpus_manifes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Локальная система поиска и генерации ответов по технической документации с верификацией фактических утверждений</dc:title>
  <dc:subject>Научно-технический доклад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