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46" w:type="dxa"/>
        <w:shd w:val="clear" w:color="auto" w:fill="FFFFFF"/>
        <w:tblCellMar>
          <w:left w:w="0" w:type="dxa"/>
          <w:right w:w="0" w:type="dxa"/>
        </w:tblCellMar>
        <w:tblLook w:val="04A0" w:firstRow="1" w:lastRow="0" w:firstColumn="1" w:lastColumn="0" w:noHBand="0" w:noVBand="1"/>
      </w:tblPr>
      <w:tblGrid>
        <w:gridCol w:w="3083"/>
        <w:gridCol w:w="6263"/>
      </w:tblGrid>
      <w:tr w:rsidR="00056063" w:rsidRPr="00321C2A" w14:paraId="180DD2E2" w14:textId="77777777" w:rsidTr="00056063">
        <w:trPr>
          <w:trHeight w:val="264"/>
        </w:trPr>
        <w:tc>
          <w:tcPr>
            <w:tcW w:w="9346" w:type="dxa"/>
            <w:gridSpan w:val="2"/>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45458BB7" w14:textId="35EE2A3E" w:rsidR="00056063" w:rsidRPr="00321C2A" w:rsidRDefault="00056063" w:rsidP="00387720">
            <w:pPr>
              <w:spacing w:after="0" w:line="224" w:lineRule="atLeast"/>
              <w:jc w:val="both"/>
              <w:rPr>
                <w:rFonts w:ascii="Arial" w:eastAsia="Times New Roman" w:hAnsi="Arial" w:cs="Arial"/>
                <w:color w:val="222222"/>
                <w:lang w:val="es-419" w:eastAsia="es-419"/>
              </w:rPr>
            </w:pPr>
            <w:r>
              <w:t>Sucursal: Coordinadora Valle del Cauca</w:t>
            </w:r>
          </w:p>
        </w:tc>
      </w:tr>
      <w:tr w:rsidR="00056063" w:rsidRPr="00321C2A" w14:paraId="2D48E278" w14:textId="77777777" w:rsidTr="00056063">
        <w:trPr>
          <w:trHeight w:val="264"/>
        </w:trPr>
        <w:tc>
          <w:tcPr>
            <w:tcW w:w="9346" w:type="dxa"/>
            <w:gridSpan w:val="2"/>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655FF50D" w14:textId="18610B50" w:rsidR="00056063" w:rsidRPr="00321C2A" w:rsidRDefault="00056063" w:rsidP="00387720">
            <w:pPr>
              <w:spacing w:after="0" w:line="224" w:lineRule="atLeast"/>
              <w:jc w:val="both"/>
              <w:rPr>
                <w:rFonts w:ascii="Arial" w:eastAsia="Times New Roman" w:hAnsi="Arial" w:cs="Arial"/>
                <w:color w:val="222222"/>
                <w:lang w:val="es-419" w:eastAsia="es-419"/>
              </w:rPr>
            </w:pPr>
            <w:r>
              <w:t>Proveedor: ESE VIRGEN DE LOURDES</w:t>
            </w:r>
          </w:p>
        </w:tc>
      </w:tr>
      <w:tr w:rsidR="00056063" w:rsidRPr="00321C2A" w14:paraId="5F0D27FC" w14:textId="77777777" w:rsidTr="00056063">
        <w:trPr>
          <w:trHeight w:val="280"/>
        </w:trPr>
        <w:tc>
          <w:tcPr>
            <w:tcW w:w="3083" w:type="dxa"/>
            <w:tcBorders>
              <w:top w:val="nil"/>
              <w:left w:val="single" w:sz="8" w:space="0" w:color="auto"/>
              <w:bottom w:val="single" w:sz="4" w:space="0" w:color="auto"/>
              <w:right w:val="single" w:sz="8" w:space="0" w:color="auto"/>
            </w:tcBorders>
            <w:shd w:val="clear" w:color="auto" w:fill="FFFFFF"/>
            <w:tcMar>
              <w:top w:w="0" w:type="dxa"/>
              <w:left w:w="108" w:type="dxa"/>
              <w:bottom w:w="0" w:type="dxa"/>
              <w:right w:w="108" w:type="dxa"/>
            </w:tcMar>
            <w:hideMark/>
          </w:tcPr>
          <w:p w14:paraId="6024DAE7" w14:textId="0F1674AD" w:rsidR="00056063" w:rsidRPr="00321C2A" w:rsidRDefault="00056063" w:rsidP="00387720">
            <w:pPr>
              <w:spacing w:after="0" w:line="224" w:lineRule="atLeast"/>
              <w:jc w:val="both"/>
              <w:rPr>
                <w:rFonts w:ascii="Arial" w:eastAsia="Times New Roman" w:hAnsi="Arial" w:cs="Arial"/>
                <w:color w:val="222222"/>
                <w:lang w:val="es-419" w:eastAsia="es-419"/>
              </w:rPr>
            </w:pPr>
            <w:r>
              <w:t>Nit: 900142579</w:t>
            </w:r>
          </w:p>
        </w:tc>
        <w:tc>
          <w:tcPr>
            <w:tcW w:w="6263" w:type="dxa"/>
            <w:tcBorders>
              <w:top w:val="nil"/>
              <w:left w:val="nil"/>
              <w:bottom w:val="single" w:sz="4" w:space="0" w:color="auto"/>
              <w:right w:val="single" w:sz="8" w:space="0" w:color="auto"/>
            </w:tcBorders>
            <w:shd w:val="clear" w:color="auto" w:fill="FFFFFF"/>
            <w:tcMar>
              <w:top w:w="0" w:type="dxa"/>
              <w:left w:w="108" w:type="dxa"/>
              <w:bottom w:w="0" w:type="dxa"/>
              <w:right w:w="108" w:type="dxa"/>
            </w:tcMar>
            <w:hideMark/>
          </w:tcPr>
          <w:p w14:paraId="00EEAA6F" w14:textId="1B03922B" w:rsidR="00056063" w:rsidRPr="00321C2A" w:rsidRDefault="00056063" w:rsidP="00387720">
            <w:pPr>
              <w:spacing w:after="0" w:line="224" w:lineRule="atLeast"/>
              <w:jc w:val="both"/>
              <w:rPr>
                <w:rFonts w:ascii="Arial" w:eastAsia="Times New Roman" w:hAnsi="Arial" w:cs="Arial"/>
                <w:color w:val="222222"/>
                <w:lang w:val="es-419" w:eastAsia="es-419"/>
              </w:rPr>
            </w:pPr>
            <w:r>
              <w:t xml:space="preserve">Contrato N.°121 y año: 2021 </w:t>
            </w:r>
          </w:p>
        </w:tc>
      </w:tr>
      <w:tr w:rsidR="00056063" w:rsidRPr="00321C2A" w14:paraId="7019529D"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16C3C937" w14:textId="77777777" w:rsidR="00056063" w:rsidRPr="00321C2A" w:rsidRDefault="00056063" w:rsidP="00387720">
            <w:pPr>
              <w:spacing w:after="0" w:line="224" w:lineRule="atLeast"/>
              <w:jc w:val="both"/>
              <w:rPr>
                <w:rFonts w:ascii="Arial" w:eastAsia="Times New Roman" w:hAnsi="Arial" w:cs="Arial"/>
                <w:color w:val="222222"/>
                <w:lang w:val="es-419" w:eastAsia="es-419"/>
              </w:rPr>
            </w:pPr>
            <w:r>
              <w:t>Vigencia de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700AF9AD" w14:textId="36E93BC9" w:rsidR="00056063" w:rsidRPr="008129B1" w:rsidRDefault="00B27376" w:rsidP="00387720">
            <w:pPr>
              <w:spacing w:after="0" w:line="224" w:lineRule="atLeast"/>
              <w:jc w:val="both"/>
              <w:rPr>
                <w:rFonts w:ascii="Arial" w:eastAsia="Times New Roman" w:hAnsi="Arial" w:cs="Arial"/>
                <w:b/>
                <w:bCs/>
                <w:color w:val="222222"/>
                <w:lang w:val="es-419" w:eastAsia="es-419"/>
              </w:rPr>
            </w:pPr>
            <w:r>
              <w:t>2026-02-11</w:t>
            </w:r>
          </w:p>
        </w:tc>
      </w:tr>
      <w:tr w:rsidR="00056063" w:rsidRPr="00321C2A" w14:paraId="0EDE0DD9"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1683391D" w14:textId="77777777" w:rsidR="00056063" w:rsidRPr="00321C2A" w:rsidRDefault="00056063" w:rsidP="00387720">
            <w:pPr>
              <w:spacing w:after="0" w:line="224" w:lineRule="atLeast"/>
              <w:jc w:val="both"/>
              <w:rPr>
                <w:rFonts w:ascii="Arial" w:eastAsia="Times New Roman" w:hAnsi="Arial" w:cs="Arial"/>
                <w:b/>
                <w:bCs/>
                <w:color w:val="222222"/>
                <w:lang w:val="es-419" w:eastAsia="es-419"/>
              </w:rPr>
            </w:pPr>
            <w:r>
              <w:t>Tipo de IPS</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4332CC8D" w14:textId="4FA3B850" w:rsidR="00056063" w:rsidRPr="008129B1" w:rsidRDefault="00B27376" w:rsidP="00387720">
            <w:pPr>
              <w:spacing w:after="0" w:line="224" w:lineRule="atLeast"/>
              <w:jc w:val="both"/>
              <w:rPr>
                <w:rFonts w:ascii="Arial" w:eastAsia="Times New Roman" w:hAnsi="Arial" w:cs="Arial"/>
                <w:b/>
                <w:bCs/>
                <w:color w:val="222222"/>
                <w:lang w:val="es-419" w:eastAsia="es-419"/>
              </w:rPr>
            </w:pPr>
            <w:r>
              <w:t>IPS-BAJA COMPLEJIDAD</w:t>
            </w:r>
          </w:p>
        </w:tc>
      </w:tr>
      <w:tr w:rsidR="00056063" w:rsidRPr="00321C2A" w14:paraId="4F0DA61F"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77C60263" w14:textId="77777777" w:rsidR="00056063" w:rsidRDefault="00056063" w:rsidP="00387720">
            <w:pPr>
              <w:tabs>
                <w:tab w:val="left" w:pos="903"/>
              </w:tabs>
              <w:spacing w:after="0" w:line="224" w:lineRule="atLeast"/>
              <w:jc w:val="both"/>
              <w:rPr>
                <w:rFonts w:ascii="Arial" w:eastAsia="Times New Roman" w:hAnsi="Arial" w:cs="Arial"/>
                <w:b/>
                <w:bCs/>
                <w:color w:val="222222"/>
                <w:lang w:val="es-419" w:eastAsia="es-419"/>
              </w:rPr>
            </w:pPr>
            <w:r>
              <w:t>Interventor del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025697E4" w14:textId="225CBF07" w:rsidR="00056063" w:rsidRPr="008129B1" w:rsidRDefault="00B27376" w:rsidP="00387720">
            <w:pPr>
              <w:spacing w:after="0" w:line="224" w:lineRule="atLeast"/>
              <w:jc w:val="both"/>
              <w:rPr>
                <w:rFonts w:ascii="Arial" w:eastAsia="Times New Roman" w:hAnsi="Arial" w:cs="Arial"/>
                <w:b/>
                <w:bCs/>
                <w:color w:val="222222"/>
                <w:lang w:val="es-419" w:eastAsia="es-419"/>
              </w:rPr>
            </w:pPr>
            <w:r>
              <w:t>Supervisor y/o interventoría designada</w:t>
            </w:r>
          </w:p>
        </w:tc>
      </w:tr>
    </w:tbl>
    <w:p w14:paraId="73EA84A1" w14:textId="77777777" w:rsidR="00056063" w:rsidRPr="00321C2A" w:rsidRDefault="00056063" w:rsidP="00056063">
      <w:pPr>
        <w:jc w:val="both"/>
        <w:rPr>
          <w:rFonts w:ascii="Arial" w:eastAsia="Calibri" w:hAnsi="Arial" w:cs="Arial"/>
          <w:lang w:val="es-419"/>
        </w:rPr>
      </w:pPr>
    </w:p>
    <w:p w14:paraId="06EEF7B2" w14:textId="77777777" w:rsidR="00056063" w:rsidRPr="00321C2A" w:rsidRDefault="00056063" w:rsidP="00056063">
      <w:pPr>
        <w:jc w:val="both"/>
        <w:rPr>
          <w:rFonts w:ascii="Arial" w:eastAsia="Calibri" w:hAnsi="Arial" w:cs="Arial"/>
          <w:lang w:val="es-419"/>
        </w:rPr>
      </w:pPr>
      <w:r>
        <w:rPr>
          <w:rFonts w:ascii="Arial" w:eastAsia="Calibri" w:hAnsi="Arial" w:cs="Arial"/>
          <w:lang w:val="es-419"/>
        </w:rPr>
        <w:t xml:space="preserve">En cumplimiento </w:t>
      </w:r>
      <w:proofErr w:type="gramStart"/>
      <w:r>
        <w:rPr>
          <w:rFonts w:ascii="Arial" w:eastAsia="Calibri" w:hAnsi="Arial" w:cs="Arial"/>
          <w:lang w:val="es-419"/>
        </w:rPr>
        <w:t>de acuerdo al</w:t>
      </w:r>
      <w:proofErr w:type="gramEnd"/>
      <w:r>
        <w:rPr>
          <w:rFonts w:ascii="Arial" w:eastAsia="Calibri" w:hAnsi="Arial" w:cs="Arial"/>
          <w:lang w:val="es-419"/>
        </w:rPr>
        <w:t xml:space="preserve"> Decreto 441 de 2022, que establece p</w:t>
      </w:r>
      <w:r w:rsidRPr="00321C2A">
        <w:rPr>
          <w:rFonts w:ascii="Arial" w:eastAsia="Calibri" w:hAnsi="Arial" w:cs="Arial"/>
          <w:lang w:val="es-419"/>
        </w:rPr>
        <w:t>ara el seguimient</w:t>
      </w:r>
      <w:r>
        <w:rPr>
          <w:rFonts w:ascii="Arial" w:eastAsia="Calibri" w:hAnsi="Arial" w:cs="Arial"/>
          <w:lang w:val="es-419"/>
        </w:rPr>
        <w:t xml:space="preserve">o de los acuerdos de voluntades, </w:t>
      </w:r>
      <w:r w:rsidRPr="00321C2A">
        <w:rPr>
          <w:rFonts w:ascii="Arial" w:eastAsia="Calibri" w:hAnsi="Arial" w:cs="Arial"/>
          <w:lang w:val="es-419"/>
        </w:rPr>
        <w:t xml:space="preserve">incluir indicadores </w:t>
      </w:r>
      <w:r>
        <w:rPr>
          <w:rFonts w:ascii="Arial" w:eastAsia="Calibri" w:hAnsi="Arial" w:cs="Arial"/>
          <w:lang w:val="es-419"/>
        </w:rPr>
        <w:t>de estructura, proceso y</w:t>
      </w:r>
      <w:r w:rsidRPr="00321C2A">
        <w:rPr>
          <w:rFonts w:ascii="Arial" w:eastAsia="Calibri" w:hAnsi="Arial" w:cs="Arial"/>
          <w:lang w:val="es-419"/>
        </w:rPr>
        <w:t xml:space="preserve"> resultado, con su respectiva ficha técnic</w:t>
      </w:r>
      <w:r>
        <w:rPr>
          <w:rFonts w:ascii="Arial" w:eastAsia="Calibri" w:hAnsi="Arial" w:cs="Arial"/>
          <w:lang w:val="es-419"/>
        </w:rPr>
        <w:t xml:space="preserve">a, con la finalidad de permitir, tomar </w:t>
      </w:r>
      <w:r w:rsidRPr="00321C2A">
        <w:rPr>
          <w:rFonts w:ascii="Arial" w:eastAsia="Calibri" w:hAnsi="Arial" w:cs="Arial"/>
          <w:lang w:val="es-419"/>
        </w:rPr>
        <w:t>decisiones basadas en datos y en hechos, con los cuales convertimos la información en un activo que genere valor a nuestra gestión.</w:t>
      </w:r>
    </w:p>
    <w:p w14:paraId="18A12E06" w14:textId="77777777" w:rsidR="00056063" w:rsidRPr="00321C2A" w:rsidRDefault="00056063" w:rsidP="00056063">
      <w:pPr>
        <w:jc w:val="both"/>
        <w:rPr>
          <w:rFonts w:ascii="Arial" w:eastAsia="Calibri" w:hAnsi="Arial" w:cs="Arial"/>
          <w:lang w:val="es-419"/>
        </w:rPr>
      </w:pPr>
      <w:r w:rsidRPr="00321C2A">
        <w:rPr>
          <w:rFonts w:ascii="Arial" w:hAnsi="Arial" w:cs="Arial"/>
        </w:rPr>
        <w:t>El seguimiento de los indicadores deberá considerar la línea de base al momento de iniciar la ejecución del acuerdo de voluntades y, en caso de prórrogas, los avances en su gestión durante el término ejecutado.</w:t>
      </w:r>
    </w:p>
    <w:p w14:paraId="7A6F6528" w14:textId="77777777" w:rsidR="00056063" w:rsidRPr="00321C2A" w:rsidRDefault="00056063" w:rsidP="00056063">
      <w:pPr>
        <w:jc w:val="both"/>
        <w:rPr>
          <w:rFonts w:ascii="Arial" w:hAnsi="Arial" w:cs="Arial"/>
        </w:rPr>
      </w:pPr>
      <w:r w:rsidRPr="00321C2A">
        <w:rPr>
          <w:rFonts w:ascii="Arial" w:hAnsi="Arial" w:cs="Arial"/>
        </w:rPr>
        <w:t>En caso de eventos imprevisibles, fuerza mayor o caso fortuito, que afecten la prestación o provisión de servicios y tecnologías en salud y el cumplimiento de los indicadores pactados, estos deberán ser ajustados de acuerdo con las nuevas condiciones.</w:t>
      </w:r>
    </w:p>
    <w:p w14:paraId="1E88AC97"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calidad de la atención: Incluye la oportunidad en la prestación de servicios o provisión de tecnologías en salud, la accesibilidad en la atención, la seguridad del paciente y la experiencia en la atención al usuario, de conformidad con lo establecido en el Sistema Obligatorio de Garantía de la Calidad en Salud.</w:t>
      </w:r>
    </w:p>
    <w:p w14:paraId="7C51D679"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gestión: Incluye el uso de servicios y tecnologías en salud y recursos, así como los tiempos de facturación, radicación, devoluciones, glosas, gestión de respuesta, pagos, cartera, entre otros.</w:t>
      </w:r>
    </w:p>
    <w:p w14:paraId="6A9DD3F2"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Los resultados en Salud: Incluye la intervención de riesgos en salud, el éxito terapéutico y la incidencia de complicaciones relacionadas con condiciones ya instauradas, eventos en salud, proceso de atención y otras relacionadas según el objeto del acuerdo de voluntades.</w:t>
      </w:r>
    </w:p>
    <w:p w14:paraId="43D8CBA6" w14:textId="77777777" w:rsidR="00056063" w:rsidRPr="00321C2A" w:rsidRDefault="00056063" w:rsidP="00056063">
      <w:pPr>
        <w:jc w:val="both"/>
        <w:rPr>
          <w:rFonts w:ascii="Arial" w:hAnsi="Arial" w:cs="Arial"/>
        </w:rPr>
      </w:pPr>
      <w:proofErr w:type="gramStart"/>
      <w:r>
        <w:rPr>
          <w:rFonts w:ascii="Arial" w:hAnsi="Arial" w:cs="Arial"/>
        </w:rPr>
        <w:t>De acuerdo a</w:t>
      </w:r>
      <w:proofErr w:type="gramEnd"/>
      <w:r>
        <w:rPr>
          <w:rFonts w:ascii="Arial" w:hAnsi="Arial" w:cs="Arial"/>
        </w:rPr>
        <w:t xml:space="preserve"> lo anterior las partes acuerdan realizar el seguimiento contractual con los siguientes indicadores:</w:t>
      </w:r>
    </w:p>
    <w:p w14:paraId="08894376" w14:textId="079C7CE3" w:rsidR="002F2B3E" w:rsidRDefault="002F2B3E" w:rsidP="001E1640">
      <w:pPr>
        <w:tabs>
          <w:tab w:val="left" w:pos="7035"/>
        </w:tabs>
      </w:pPr>
    </w:p>
    <w:p w14:paraId="72BD42E5" w14:textId="77777777" w:rsidR="00CC09FD" w:rsidRDefault="00CC09FD" w:rsidP="004F48A3">
      <w:pPr>
        <w:tabs>
          <w:tab w:val="left" w:pos="7035"/>
        </w:tabs>
        <w:jc w:val="both"/>
        <w:rPr>
          <w:rFonts w:ascii="Arial" w:hAnsi="Arial" w:cs="Arial"/>
        </w:rPr>
      </w:pPr>
    </w:p>
    <w:p w14:paraId="39187E1A" w14:textId="77777777" w:rsidR="009D4889" w:rsidRDefault="009D4889" w:rsidP="004F48A3">
      <w:pPr>
        <w:tabs>
          <w:tab w:val="left" w:pos="7035"/>
        </w:tabs>
        <w:jc w:val="both"/>
        <w:rPr>
          <w:rFonts w:ascii="Arial" w:hAnsi="Arial" w:cs="Arial"/>
        </w:rPr>
      </w:pPr>
    </w:p>
    <w:p>
      <w:pPr>
        <w:spacing w:before="0" w:after="0"/>
        <w:jc w:val="center"/>
      </w:pPr>
      <w:r>
        <w:drawing>
          <wp:inline xmlns:a="http://schemas.openxmlformats.org/drawingml/2006/main" xmlns:pic="http://schemas.openxmlformats.org/drawingml/2006/picture">
            <wp:extent cx="5760000" cy="251999"/>
            <wp:docPr id="1" name="Picture 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Radicación De Facturas Por Proveedor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I.C.110</w:t>
            </w:r>
          </w:p>
        </w:tc>
      </w:tr>
      <w:tr>
        <w:tc>
          <w:tcPr>
            <w:tcW w:type="dxa" w:w="4607"/>
          </w:tcPr>
          <w:p>
            <w:r>
              <w:t>Descripción</w:t>
            </w:r>
          </w:p>
        </w:tc>
        <w:tc>
          <w:tcPr>
            <w:tcW w:type="dxa" w:w="4607"/>
          </w:tcPr>
          <w:p>
            <w:r>
              <w:t xml:space="preserve">El indicador busca monitorear los días que se demora el prestador de servicios o tecnologías de salud IPS o proveedor en facturar el servicio prestado. </w:t>
            </w:r>
          </w:p>
        </w:tc>
      </w:tr>
      <w:tr>
        <w:tc>
          <w:tcPr>
            <w:tcW w:type="dxa" w:w="4607"/>
          </w:tcPr>
          <w:p>
            <w:r>
              <w:t>Fórmula</w:t>
            </w:r>
          </w:p>
        </w:tc>
        <w:tc>
          <w:tcPr>
            <w:tcW w:type="dxa" w:w="4607"/>
          </w:tcPr>
          <w:p>
            <w:r>
              <w:t>Promedio (aritmético) de número de días resultado (Fecha de radicación de la factura menos (-) fecha de prestación del servicio u homologa)</w:t>
            </w:r>
          </w:p>
        </w:tc>
      </w:tr>
      <w:tr>
        <w:tc>
          <w:tcPr>
            <w:tcW w:type="dxa" w:w="4607"/>
          </w:tcPr>
          <w:p>
            <w:r>
              <w:t>Numerador</w:t>
            </w:r>
          </w:p>
        </w:tc>
        <w:tc>
          <w:tcPr>
            <w:tcW w:type="dxa" w:w="4607"/>
          </w:tcPr>
          <w:p>
            <w:r>
              <w:t xml:space="preserve">Promedio (aritmético) de número de días resultado (Fecha de radicación de la factura menos) </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prestación del servicio u homologa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Número promedio ( aritmético) de días</w:t>
            </w:r>
          </w:p>
        </w:tc>
      </w:tr>
      <w:tr>
        <w:tc>
          <w:tcPr>
            <w:tcW w:type="dxa" w:w="4607"/>
          </w:tcPr>
          <w:p>
            <w:r>
              <w:t>Meta</w:t>
            </w:r>
          </w:p>
        </w:tc>
        <w:tc>
          <w:tcPr>
            <w:tcW w:type="dxa" w:w="4607"/>
          </w:tcPr>
          <w:p>
            <w:r>
              <w:t xml:space="preserve">30 días calendario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dispuesto por la compañía que registra (reporte de radicación para conocer la fecha del servicio y la fecha de radicación de cada una de las facturas registradas ante Positiva), de acuerdo a la vigencia del contrato.</w:t>
            </w:r>
          </w:p>
        </w:tc>
      </w:tr>
      <w:tr>
        <w:tc>
          <w:tcPr>
            <w:tcW w:type="dxa" w:w="4607"/>
          </w:tcPr>
          <w:p>
            <w:r>
              <w:t>Exclusiones</w:t>
            </w:r>
          </w:p>
        </w:tc>
        <w:tc>
          <w:tcPr>
            <w:tcW w:type="dxa" w:w="4607"/>
          </w:tcPr>
          <w:p>
            <w:r>
              <w:t xml:space="preserve">Fallas en la operación por parte del proveedor de radicación / inconsistencias en la herramienta tecnológica de radicación. Si no hay radicación para el periodo a medir se debe colocar No aplica - sin radicación.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2" name="Picture 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Oportunidad En La Gestión De Las Devoluciones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I.C.111</w:t>
            </w:r>
          </w:p>
        </w:tc>
      </w:tr>
      <w:tr>
        <w:tc>
          <w:tcPr>
            <w:tcW w:type="dxa" w:w="4607"/>
          </w:tcPr>
          <w:p>
            <w:r>
              <w:t>Descripción</w:t>
            </w:r>
          </w:p>
        </w:tc>
        <w:tc>
          <w:tcPr>
            <w:tcW w:type="dxa" w:w="4607"/>
          </w:tcPr>
          <w:p>
            <w:r>
              <w:t xml:space="preserve">El indicador busca monitorear el número de devoluciones de facturas en radicación realizadas al proveedor. </w:t>
            </w:r>
          </w:p>
        </w:tc>
      </w:tr>
      <w:tr>
        <w:tc>
          <w:tcPr>
            <w:tcW w:type="dxa" w:w="4607"/>
          </w:tcPr>
          <w:p>
            <w:r>
              <w:t>Fórmula</w:t>
            </w:r>
          </w:p>
        </w:tc>
        <w:tc>
          <w:tcPr>
            <w:tcW w:type="dxa" w:w="4607"/>
          </w:tcPr>
          <w:p>
            <w:r>
              <w:t>(Número total de facturas devueltas /(sobre) Número total de facturas radicadas en el periodo a evaluar) * (por) 100%</w:t>
            </w:r>
          </w:p>
        </w:tc>
      </w:tr>
      <w:tr>
        <w:tc>
          <w:tcPr>
            <w:tcW w:type="dxa" w:w="4607"/>
          </w:tcPr>
          <w:p>
            <w:r>
              <w:t>Numerador</w:t>
            </w:r>
          </w:p>
        </w:tc>
        <w:tc>
          <w:tcPr>
            <w:tcW w:type="dxa" w:w="4607"/>
          </w:tcPr>
          <w:p>
            <w:r>
              <w:t>Número total de facturas devueltas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Número total de facturas radicadas en el periodo a evaluar() * (por) 100%</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Porcentaje de devoluciones</w:t>
            </w:r>
          </w:p>
        </w:tc>
      </w:tr>
      <w:tr>
        <w:tc>
          <w:tcPr>
            <w:tcW w:type="dxa" w:w="4607"/>
          </w:tcPr>
          <w:p>
            <w:r>
              <w:t>Meta</w:t>
            </w:r>
          </w:p>
        </w:tc>
        <w:tc>
          <w:tcPr>
            <w:tcW w:type="dxa" w:w="4607"/>
          </w:tcPr>
          <w:p>
            <w:r>
              <w:t>Del 0 % al 5 %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firma interventora accede al aplicativo que comprende la información de radicación para conocer el número de facturas devueltas debido a causa del proveedor </w:t>
            </w:r>
          </w:p>
        </w:tc>
      </w:tr>
      <w:tr>
        <w:tc>
          <w:tcPr>
            <w:tcW w:type="dxa" w:w="4607"/>
          </w:tcPr>
          <w:p>
            <w:r>
              <w:t>Exclusiones</w:t>
            </w:r>
          </w:p>
        </w:tc>
        <w:tc>
          <w:tcPr>
            <w:tcW w:type="dxa" w:w="4607"/>
          </w:tcPr>
          <w:p>
            <w:r>
              <w:t>Fallas tecnológicas o devolución errada por parte del operador de radicación. No aplica -sin devoluciones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3" name="Picture 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Respuesta De Glosas Por Proveedores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I.C.112</w:t>
            </w:r>
          </w:p>
        </w:tc>
      </w:tr>
      <w:tr>
        <w:tc>
          <w:tcPr>
            <w:tcW w:type="dxa" w:w="4607"/>
          </w:tcPr>
          <w:p>
            <w:r>
              <w:t>Descripción</w:t>
            </w:r>
          </w:p>
        </w:tc>
        <w:tc>
          <w:tcPr>
            <w:tcW w:type="dxa" w:w="4607"/>
          </w:tcPr>
          <w:p>
            <w:r>
              <w:t xml:space="preserve">El indicador busca monitorear los días que se demora el proveedor en responder a la glosa formulada por parte de la firma auditora. </w:t>
            </w:r>
          </w:p>
        </w:tc>
      </w:tr>
      <w:tr>
        <w:tc>
          <w:tcPr>
            <w:tcW w:type="dxa" w:w="4607"/>
          </w:tcPr>
          <w:p>
            <w:r>
              <w:t>Fórmula</w:t>
            </w:r>
          </w:p>
        </w:tc>
        <w:tc>
          <w:tcPr>
            <w:tcW w:type="dxa" w:w="4607"/>
          </w:tcPr>
          <w:p>
            <w:r>
              <w:t>Promedio (aritmético) del número de días (Fecha de respuesta por parte del proveedor menos (-) menos Fecha de notificación de glosa)</w:t>
            </w:r>
          </w:p>
        </w:tc>
      </w:tr>
      <w:tr>
        <w:tc>
          <w:tcPr>
            <w:tcW w:type="dxa" w:w="4607"/>
          </w:tcPr>
          <w:p>
            <w:r>
              <w:t>Numerador</w:t>
            </w:r>
          </w:p>
        </w:tc>
        <w:tc>
          <w:tcPr>
            <w:tcW w:type="dxa" w:w="4607"/>
          </w:tcPr>
          <w:p>
            <w:r>
              <w:t>Promedio (aritmético) del número de días (Fecha de respuesta por parte del proveedor menos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notificación de glosa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 xml:space="preserve">Promedio ( aritmético) de número de días que toma el proveedor para responder glosa. </w:t>
            </w:r>
          </w:p>
        </w:tc>
      </w:tr>
      <w:tr>
        <w:tc>
          <w:tcPr>
            <w:tcW w:type="dxa" w:w="4607"/>
          </w:tcPr>
          <w:p>
            <w:r>
              <w:t>Meta</w:t>
            </w:r>
          </w:p>
        </w:tc>
        <w:tc>
          <w:tcPr>
            <w:tcW w:type="dxa" w:w="4607"/>
          </w:tcPr>
          <w:p>
            <w:r>
              <w:t xml:space="preserve">20 días hábiles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que registra la información de auditoria, para conocer la fecha de notificación de la glosa y la fecha de la primera respuesta a la glosa por parte del proveedor.</w:t>
            </w:r>
          </w:p>
        </w:tc>
      </w:tr>
      <w:tr>
        <w:tc>
          <w:tcPr>
            <w:tcW w:type="dxa" w:w="4607"/>
          </w:tcPr>
          <w:p>
            <w:r>
              <w:t>Exclusiones</w:t>
            </w:r>
          </w:p>
        </w:tc>
        <w:tc>
          <w:tcPr>
            <w:tcW w:type="dxa" w:w="4607"/>
          </w:tcPr>
          <w:p>
            <w:r>
              <w:t xml:space="preserve">Inconsistencias en la herramienta tecnológica de auditoría. No aplica -sin glosa. Para los casos que al momento de la medición del indicador no cuenta con respuesta estando en los términos de ley se tomará como esta (fecha de primera respuesta) el día que se realiza la medición del indicador.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4" name="Picture 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Calidad En La Respuesta De Glosa Dadas Por El Proveedor</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I.C.113</w:t>
            </w:r>
          </w:p>
        </w:tc>
      </w:tr>
      <w:tr>
        <w:tc>
          <w:tcPr>
            <w:tcW w:type="dxa" w:w="4607"/>
          </w:tcPr>
          <w:p>
            <w:r>
              <w:t>Descripción</w:t>
            </w:r>
          </w:p>
        </w:tc>
        <w:tc>
          <w:tcPr>
            <w:tcW w:type="dxa" w:w="4607"/>
          </w:tcPr>
          <w:p>
            <w:r>
              <w:t xml:space="preserve">El indicador busca monitorear las veces en que se realiza reunión de conciliación para validar con el proveedor la calidad de las respuestas dadas a las glosas formuladas. </w:t>
            </w:r>
          </w:p>
        </w:tc>
      </w:tr>
      <w:tr>
        <w:tc>
          <w:tcPr>
            <w:tcW w:type="dxa" w:w="4607"/>
          </w:tcPr>
          <w:p>
            <w:r>
              <w:t>Fórmula</w:t>
            </w:r>
          </w:p>
        </w:tc>
        <w:tc>
          <w:tcPr>
            <w:tcW w:type="dxa" w:w="4607"/>
          </w:tcPr>
          <w:p>
            <w:r>
              <w:t>Suma del número de conciliaciones (reuniones) realizadas en el periodo a evaluar</w:t>
            </w:r>
          </w:p>
        </w:tc>
      </w:tr>
      <w:tr>
        <w:tc>
          <w:tcPr>
            <w:tcW w:type="dxa" w:w="4607"/>
          </w:tcPr>
          <w:p>
            <w:r>
              <w:t>Numerador</w:t>
            </w:r>
          </w:p>
        </w:tc>
        <w:tc>
          <w:tcPr>
            <w:tcW w:type="dxa" w:w="4607"/>
          </w:tcPr>
          <w:p>
            <w:r>
              <w:t>Suma del número de conciliaciones (reuniones) realizadas en el periodo a evaluar</w:t>
            </w:r>
          </w:p>
        </w:tc>
      </w:tr>
      <w:tr>
        <w:tc>
          <w:tcPr>
            <w:tcW w:type="dxa" w:w="4607"/>
          </w:tcPr>
          <w:p>
            <w:r>
              <w:t>Fuente del Numerador</w:t>
            </w:r>
          </w:p>
        </w:tc>
        <w:tc>
          <w:tcPr>
            <w:tcW w:type="dxa" w:w="4607"/>
          </w:tcPr>
          <w:p>
            <w:r>
              <w:t>Informe De conciliación Cuentas Médicas</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 xml:space="preserve">Número de reuniones de conciliación </w:t>
            </w:r>
          </w:p>
        </w:tc>
      </w:tr>
      <w:tr>
        <w:tc>
          <w:tcPr>
            <w:tcW w:type="dxa" w:w="4607"/>
          </w:tcPr>
          <w:p>
            <w:r>
              <w:t>Meta</w:t>
            </w:r>
          </w:p>
        </w:tc>
        <w:tc>
          <w:tcPr>
            <w:tcW w:type="dxa" w:w="4607"/>
          </w:tcPr>
          <w:p>
            <w:r>
              <w:t>0 a 2 reuniones</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interventoría cuantificará de acuerdo a la información recibida del equipo de conciliación en número de veces en que se reúnen con el proveedor para validar la calidad de las respuestas dadas a las glosas formuladas. </w:t>
            </w:r>
          </w:p>
        </w:tc>
      </w:tr>
      <w:tr>
        <w:tc>
          <w:tcPr>
            <w:tcW w:type="dxa" w:w="4607"/>
          </w:tcPr>
          <w:p>
            <w:r>
              <w:t>Exclusiones</w:t>
            </w:r>
          </w:p>
        </w:tc>
        <w:tc>
          <w:tcPr>
            <w:tcW w:type="dxa" w:w="4607"/>
          </w:tcPr>
          <w:p>
            <w:r>
              <w:t>No aplica -sin conciliación. Para los casos que al momento de la medición del indicador no cuenta con glosa generada</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5" name="Picture 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w:t>
            </w:r>
          </w:p>
        </w:tc>
      </w:tr>
      <w:tr>
        <w:tc>
          <w:tcPr>
            <w:tcW w:type="dxa" w:w="4607"/>
          </w:tcPr>
          <w:p>
            <w:r>
              <w:t>Código Propio</w:t>
            </w:r>
          </w:p>
        </w:tc>
        <w:tc>
          <w:tcPr>
            <w:tcW w:type="dxa" w:w="4607"/>
          </w:tcPr>
          <w:p>
            <w:r>
              <w:t>I.C.48</w:t>
            </w:r>
          </w:p>
        </w:tc>
      </w:tr>
      <w:tr>
        <w:tc>
          <w:tcPr>
            <w:tcW w:type="dxa" w:w="4607"/>
          </w:tcPr>
          <w:p>
            <w:r>
              <w:t>Descripción</w:t>
            </w:r>
          </w:p>
        </w:tc>
        <w:tc>
          <w:tcPr>
            <w:tcW w:type="dxa" w:w="4607"/>
          </w:tcPr>
          <w:p>
            <w:r>
              <w:t>Expresa el tiempo de espera en días calendario que transcurren entre la fecha de solicitud de la cita para la consulta de Medicina general de primera vez por parte del paciente/ usuario a la IPS y la fecha en que es asignada</w:t>
            </w:r>
          </w:p>
        </w:tc>
      </w:tr>
      <w:tr>
        <w:tc>
          <w:tcPr>
            <w:tcW w:type="dxa" w:w="4607"/>
          </w:tcPr>
          <w:p>
            <w:r>
              <w:t>Fórmula</w:t>
            </w:r>
          </w:p>
        </w:tc>
        <w:tc>
          <w:tcPr>
            <w:tcW w:type="dxa" w:w="4607"/>
          </w:tcPr>
          <w:p>
            <w:r>
              <w:t>Sumatoria de la diferencia de días calendario entre la fecha en la que se asignó la cita de Medicina general de primera vez y la fecha en la cual el usuario la solicitó/Número total de citas de Medicina General de primera vez asignadas</w:t>
            </w:r>
          </w:p>
        </w:tc>
      </w:tr>
      <w:tr>
        <w:tc>
          <w:tcPr>
            <w:tcW w:type="dxa" w:w="4607"/>
          </w:tcPr>
          <w:p>
            <w:r>
              <w:t>Numerador</w:t>
            </w:r>
          </w:p>
        </w:tc>
        <w:tc>
          <w:tcPr>
            <w:tcW w:type="dxa" w:w="4607"/>
          </w:tcPr>
          <w:p>
            <w:r>
              <w:t>Sumatoria de la diferencia de días calendario entre la fecha en la que se asignó la cita de Medicina general de primera vez y la fecha en la cual el usuario la solicitó</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citas de Medicina General de primera vez asignadas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4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La consulta de primera vez, hace referencia a la primera consulta del paciente que se registra por primera vez en el año razón por la cual se excluye la consulta de control. Aplica para IPS y no aplica para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328</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6" name="Picture 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Odontología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P.3.2</w:t>
            </w:r>
          </w:p>
        </w:tc>
      </w:tr>
      <w:tr>
        <w:tc>
          <w:tcPr>
            <w:tcW w:type="dxa" w:w="4607"/>
          </w:tcPr>
          <w:p>
            <w:r>
              <w:t>Código Propio</w:t>
            </w:r>
          </w:p>
        </w:tc>
        <w:tc>
          <w:tcPr>
            <w:tcW w:type="dxa" w:w="4607"/>
          </w:tcPr>
          <w:p>
            <w:r>
              <w:t>I.C.49</w:t>
            </w:r>
          </w:p>
        </w:tc>
      </w:tr>
      <w:tr>
        <w:tc>
          <w:tcPr>
            <w:tcW w:type="dxa" w:w="4607"/>
          </w:tcPr>
          <w:p>
            <w:r>
              <w:t>Descripción</w:t>
            </w:r>
          </w:p>
        </w:tc>
        <w:tc>
          <w:tcPr>
            <w:tcW w:type="dxa" w:w="4607"/>
          </w:tcPr>
          <w:p>
            <w:r>
              <w:t xml:space="preserve">Expresa el tiempo de espera en días calendario que transcurren entre la fecha de la solicitud y la cita para consulta por Odontología General de primera vez por parte del paciente/ usuario a la IPS y la fecha en que es asignada </w:t>
            </w:r>
          </w:p>
        </w:tc>
      </w:tr>
      <w:tr>
        <w:tc>
          <w:tcPr>
            <w:tcW w:type="dxa" w:w="4607"/>
          </w:tcPr>
          <w:p>
            <w:r>
              <w:t>Fórmula</w:t>
            </w:r>
          </w:p>
        </w:tc>
        <w:tc>
          <w:tcPr>
            <w:tcW w:type="dxa" w:w="4607"/>
          </w:tcPr>
          <w:p>
            <w:r>
              <w:t>Sumatoria de la diferencia de días calendario entre la fecha en la que se asignó la cita de Odontología general de primera vez y la fecha en la cual el usuario la solicitó/Número total de citas de Odontología General de primera vez asignadas</w:t>
            </w:r>
          </w:p>
        </w:tc>
      </w:tr>
      <w:tr>
        <w:tc>
          <w:tcPr>
            <w:tcW w:type="dxa" w:w="4607"/>
          </w:tcPr>
          <w:p>
            <w:r>
              <w:t>Numerador</w:t>
            </w:r>
          </w:p>
        </w:tc>
        <w:tc>
          <w:tcPr>
            <w:tcW w:type="dxa" w:w="4607"/>
          </w:tcPr>
          <w:p>
            <w:r>
              <w:t>Sumatoria de la diferencia de días calendario entre la fecha en la que se asignó la cita de Odontología general de primera vez y la fecha en la cual el usuario la solicitó</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citas de Odontología General de primera vez asignadas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7" name="Picture 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interna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P.3.3</w:t>
            </w:r>
          </w:p>
        </w:tc>
      </w:tr>
      <w:tr>
        <w:tc>
          <w:tcPr>
            <w:tcW w:type="dxa" w:w="4607"/>
          </w:tcPr>
          <w:p>
            <w:r>
              <w:t>Código Propio</w:t>
            </w:r>
          </w:p>
        </w:tc>
        <w:tc>
          <w:tcPr>
            <w:tcW w:type="dxa" w:w="4607"/>
          </w:tcPr>
          <w:p>
            <w:r>
              <w:t>I.C.50</w:t>
            </w:r>
          </w:p>
        </w:tc>
      </w:tr>
      <w:tr>
        <w:tc>
          <w:tcPr>
            <w:tcW w:type="dxa" w:w="4607"/>
          </w:tcPr>
          <w:p>
            <w:r>
              <w:t>Descripción</w:t>
            </w:r>
          </w:p>
        </w:tc>
        <w:tc>
          <w:tcPr>
            <w:tcW w:type="dxa" w:w="4607"/>
          </w:tcPr>
          <w:p>
            <w:r>
              <w:t xml:space="preserve">Expresa el tiempo de espera en días calendario que transcurren entre la fecha de solicitud de la cita para la consulta por Medicina Interna de primera vez y la fecha en la cual el usuario lo solicitó </w:t>
            </w:r>
          </w:p>
        </w:tc>
      </w:tr>
      <w:tr>
        <w:tc>
          <w:tcPr>
            <w:tcW w:type="dxa" w:w="4607"/>
          </w:tcPr>
          <w:p>
            <w:r>
              <w:t>Fórmula</w:t>
            </w:r>
          </w:p>
        </w:tc>
        <w:tc>
          <w:tcPr>
            <w:tcW w:type="dxa" w:w="4607"/>
          </w:tcPr>
          <w:p>
            <w:r>
              <w:t>Sumatoria de la diferencia de los días calendario entre la fecha en la que se asignó la cita de Medicina Interna de primera vez y la fecha en la cual el usuario la solicitó / número total de citas de medicina interna de primera vez asignadas</w:t>
            </w:r>
          </w:p>
        </w:tc>
      </w:tr>
      <w:tr>
        <w:tc>
          <w:tcPr>
            <w:tcW w:type="dxa" w:w="4607"/>
          </w:tcPr>
          <w:p>
            <w:r>
              <w:t>Numerador</w:t>
            </w:r>
          </w:p>
        </w:tc>
        <w:tc>
          <w:tcPr>
            <w:tcW w:type="dxa" w:w="4607"/>
          </w:tcPr>
          <w:p>
            <w:r>
              <w:t xml:space="preserve">Sumatoria de la diferencia de días calendario entre la fecha en la que se asignó la cita de medicina interna de primera vez y la fecha en la cual el usuario la solicitó </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 xml:space="preserve">Número total de citas de medicina interna de primera vez asignadas </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14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8" name="Picture 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Nutrición y dietética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I.C.54</w:t>
            </w:r>
          </w:p>
        </w:tc>
      </w:tr>
      <w:tr>
        <w:tc>
          <w:tcPr>
            <w:tcW w:type="dxa" w:w="4607"/>
          </w:tcPr>
          <w:p>
            <w:r>
              <w:t>Descripción</w:t>
            </w:r>
          </w:p>
        </w:tc>
        <w:tc>
          <w:tcPr>
            <w:tcW w:type="dxa" w:w="4607"/>
          </w:tcPr>
          <w:p>
            <w:r>
              <w:t>Expresa el tiempo de espera en días calendario que transcurren entre la fecha de solicitud de la cita para la consulta por Nutrición y dietética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nutrición y dietética de primera vez y la fecha en la cual el usuario la solicitó / número total de citas de nutrición y dietética a de primera vez asignadas </w:t>
            </w:r>
          </w:p>
        </w:tc>
      </w:tr>
      <w:tr>
        <w:tc>
          <w:tcPr>
            <w:tcW w:type="dxa" w:w="4607"/>
          </w:tcPr>
          <w:p>
            <w:r>
              <w:t>Numerador</w:t>
            </w:r>
          </w:p>
        </w:tc>
        <w:tc>
          <w:tcPr>
            <w:tcW w:type="dxa" w:w="4607"/>
          </w:tcPr>
          <w:p>
            <w:r>
              <w:t xml:space="preserve">Sumatoria de la diferencia de días calendario entre la fecha en la que se asignó la cita de nutrición y dietética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nutrición y dietética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333</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9" name="Picture 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psicología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I.C.55</w:t>
            </w:r>
          </w:p>
        </w:tc>
      </w:tr>
      <w:tr>
        <w:tc>
          <w:tcPr>
            <w:tcW w:type="dxa" w:w="4607"/>
          </w:tcPr>
          <w:p>
            <w:r>
              <w:t>Descripción</w:t>
            </w:r>
          </w:p>
        </w:tc>
        <w:tc>
          <w:tcPr>
            <w:tcW w:type="dxa" w:w="4607"/>
          </w:tcPr>
          <w:p>
            <w:r>
              <w:t>Expresa el tiempo de espera en días calendario que transcurren entre la fecha de solicitud de la cita para la consulta por psicología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psicología de primera vez y la fecha en la cual el usuario la solicitó / número total de citas de psicología de primera vez asignadas </w:t>
            </w:r>
          </w:p>
        </w:tc>
      </w:tr>
      <w:tr>
        <w:tc>
          <w:tcPr>
            <w:tcW w:type="dxa" w:w="4607"/>
          </w:tcPr>
          <w:p>
            <w:r>
              <w:t>Numerador</w:t>
            </w:r>
          </w:p>
        </w:tc>
        <w:tc>
          <w:tcPr>
            <w:tcW w:type="dxa" w:w="4607"/>
          </w:tcPr>
          <w:p>
            <w:r>
              <w:t xml:space="preserve">Sumatoria de la diferencia de días calendario entre la fecha en la que se asignó la cita de psicología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psicología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0" name="Picture 1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atención del paciente clasificado como Triaje 2 en servicio de urgencias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P.3.10</w:t>
            </w:r>
          </w:p>
        </w:tc>
      </w:tr>
      <w:tr>
        <w:tc>
          <w:tcPr>
            <w:tcW w:type="dxa" w:w="4607"/>
          </w:tcPr>
          <w:p>
            <w:r>
              <w:t>Código Propio</w:t>
            </w:r>
          </w:p>
        </w:tc>
        <w:tc>
          <w:tcPr>
            <w:tcW w:type="dxa" w:w="4607"/>
          </w:tcPr>
          <w:p>
            <w:r>
              <w:t>I.C.108</w:t>
            </w:r>
          </w:p>
        </w:tc>
      </w:tr>
      <w:tr>
        <w:tc>
          <w:tcPr>
            <w:tcW w:type="dxa" w:w="4607"/>
          </w:tcPr>
          <w:p>
            <w:r>
              <w:t>Descripción</w:t>
            </w:r>
          </w:p>
        </w:tc>
        <w:tc>
          <w:tcPr>
            <w:tcW w:type="dxa" w:w="4607"/>
          </w:tcPr>
          <w:p>
            <w:r>
              <w:t xml:space="preserve">Expresa el tiempo de espera en minutos para el paciente clasificado como Triaje 2 en el servicio de urgencias hasta que se inicia la atención en consulta de urgencias por médico </w:t>
            </w:r>
          </w:p>
        </w:tc>
      </w:tr>
      <w:tr>
        <w:tc>
          <w:tcPr>
            <w:tcW w:type="dxa" w:w="4607"/>
          </w:tcPr>
          <w:p>
            <w:r>
              <w:t>Fórmula</w:t>
            </w:r>
          </w:p>
        </w:tc>
        <w:tc>
          <w:tcPr>
            <w:tcW w:type="dxa" w:w="4607"/>
          </w:tcPr>
          <w:p>
            <w:r>
              <w:t>Sumatoria del número de minutos transcurridos a partir de que el paciente es clasificado como Triaje 2 y el momento en el cual es atendido en consulta de Urgencias por médico/Número total de pacientes clasificados como Triaje 2</w:t>
            </w:r>
          </w:p>
        </w:tc>
      </w:tr>
      <w:tr>
        <w:tc>
          <w:tcPr>
            <w:tcW w:type="dxa" w:w="4607"/>
          </w:tcPr>
          <w:p>
            <w:r>
              <w:t>Numerador</w:t>
            </w:r>
          </w:p>
        </w:tc>
        <w:tc>
          <w:tcPr>
            <w:tcW w:type="dxa" w:w="4607"/>
          </w:tcPr>
          <w:p>
            <w:r>
              <w:t>Sumatoria del número de minutos transcurridos a partir de que el paciente es clasificado como Triaje 2 y el momento en el cual es atendido en consulta de Urgencias por médico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pacientes clasificados como Triaje 2</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 xml:space="preserve">Minutos </w:t>
            </w:r>
          </w:p>
        </w:tc>
      </w:tr>
      <w:tr>
        <w:tc>
          <w:tcPr>
            <w:tcW w:type="dxa" w:w="4607"/>
          </w:tcPr>
          <w:p>
            <w:r>
              <w:t>Meta</w:t>
            </w:r>
          </w:p>
        </w:tc>
        <w:tc>
          <w:tcPr>
            <w:tcW w:type="dxa" w:w="4607"/>
          </w:tcPr>
          <w:p>
            <w:r>
              <w:t xml:space="preserve">30 mínutos </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Solo se tiene en cuenta el triaje 2, es decir se excluyen los demás Triaje.</w:t>
              <w:br/>
              <w:t xml:space="preserve">Aplica para IPS y no aplica para los servicios de transporte especial de pacientes </w:t>
            </w:r>
          </w:p>
        </w:tc>
      </w:tr>
      <w:tr>
        <w:tc>
          <w:tcPr>
            <w:tcW w:type="dxa" w:w="4607"/>
          </w:tcPr>
          <w:p>
            <w:r>
              <w:t>Metodología</w:t>
            </w:r>
          </w:p>
        </w:tc>
        <w:tc>
          <w:tcPr>
            <w:tcW w:type="dxa" w:w="4607"/>
          </w:tcPr>
          <w:p>
            <w:r>
              <w:t>La firma de interventoría solicita a los proveedores de prestaciones de servicios de salud con los cuales se tiene contrato vigente, copia del reporte de indicadores de calidad de acuerdo a la Resolución 256 de 2016</w:t>
            </w:r>
          </w:p>
        </w:tc>
      </w:tr>
      <w:tr>
        <w:tc>
          <w:tcPr>
            <w:tcW w:type="dxa" w:w="4607"/>
          </w:tcPr>
          <w:p>
            <w:r>
              <w:t>Exclusiones</w:t>
            </w:r>
          </w:p>
        </w:tc>
        <w:tc>
          <w:tcPr>
            <w:tcW w:type="dxa" w:w="4607"/>
          </w:tcPr>
          <w:p>
            <w:r>
              <w:t xml:space="preserve"> Se excluyen los Triaje I, III, IV y V.</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1" name="Picture 1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Satisfaccion</w:t>
            </w:r>
          </w:p>
        </w:tc>
      </w:tr>
      <w:tr>
        <w:tc>
          <w:tcPr>
            <w:tcW w:type="dxa" w:w="4607"/>
          </w:tcPr>
          <w:p>
            <w:r>
              <w:t>Nombre del Indicador</w:t>
            </w:r>
          </w:p>
        </w:tc>
        <w:tc>
          <w:tcPr>
            <w:tcW w:type="dxa" w:w="4607"/>
          </w:tcPr>
          <w:p>
            <w:r>
              <w:t xml:space="preserve">Proporción de satisfacción global de los usuarios en la IPS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P.3.14</w:t>
            </w:r>
          </w:p>
        </w:tc>
      </w:tr>
      <w:tr>
        <w:tc>
          <w:tcPr>
            <w:tcW w:type="dxa" w:w="4607"/>
          </w:tcPr>
          <w:p>
            <w:r>
              <w:t>Código Propio</w:t>
            </w:r>
          </w:p>
        </w:tc>
        <w:tc>
          <w:tcPr>
            <w:tcW w:type="dxa" w:w="4607"/>
          </w:tcPr>
          <w:p>
            <w:r>
              <w:t>I.C.109</w:t>
            </w:r>
          </w:p>
        </w:tc>
      </w:tr>
      <w:tr>
        <w:tc>
          <w:tcPr>
            <w:tcW w:type="dxa" w:w="4607"/>
          </w:tcPr>
          <w:p>
            <w:r>
              <w:t>Descripción</w:t>
            </w:r>
          </w:p>
        </w:tc>
        <w:tc>
          <w:tcPr>
            <w:tcW w:type="dxa" w:w="4607"/>
          </w:tcPr>
          <w:p>
            <w:r>
              <w:t xml:space="preserve">Expresa la proporción de usuarios satisfechos con los servicios recibidos en la IPS </w:t>
            </w:r>
          </w:p>
        </w:tc>
      </w:tr>
      <w:tr>
        <w:tc>
          <w:tcPr>
            <w:tcW w:type="dxa" w:w="4607"/>
          </w:tcPr>
          <w:p>
            <w:r>
              <w:t>Fórmula</w:t>
            </w:r>
          </w:p>
        </w:tc>
        <w:tc>
          <w:tcPr>
            <w:tcW w:type="dxa" w:w="4607"/>
          </w:tcPr>
          <w:p>
            <w:r>
              <w:t xml:space="preserve">¿Se calcula como el cociente entre el número de usuarios que respondieron "muy buena" o "buena" a la pregunta Cómo calificaría su experiencia global respecto a los servicios de salud que ha recibido a través de su IPS?, y el número de usuarios que respondieron la pregunta por 100 expresados como porcentaje </w:t>
            </w:r>
          </w:p>
        </w:tc>
      </w:tr>
      <w:tr>
        <w:tc>
          <w:tcPr>
            <w:tcW w:type="dxa" w:w="4607"/>
          </w:tcPr>
          <w:p>
            <w:r>
              <w:t>Numerador</w:t>
            </w:r>
          </w:p>
        </w:tc>
        <w:tc>
          <w:tcPr>
            <w:tcW w:type="dxa" w:w="4607"/>
          </w:tcPr>
          <w:p>
            <w:r>
              <w:t>Número de usuarios que respondieron "muy buena" o "buena" a la pregunta Cómo calificaría su experiencia global respecto a los servicios de salud que ha recibido a través de su IPS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 xml:space="preserve">Número de usuarios que respondieron la pregunta </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0.95</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Ascendente</w:t>
            </w:r>
          </w:p>
        </w:tc>
      </w:tr>
      <w:tr>
        <w:tc>
          <w:tcPr>
            <w:tcW w:type="dxa" w:w="4607"/>
          </w:tcPr>
          <w:p>
            <w:r>
              <w:t>Observaciones</w:t>
            </w:r>
          </w:p>
        </w:tc>
        <w:tc>
          <w:tcPr>
            <w:tcW w:type="dxa" w:w="4607"/>
          </w:tcPr>
          <w:p>
            <w:r>
              <w:t>¿Las opciones de respuesta del usuario a la pregunta Cómo calificaría su experiencia global respecto a los servicios de salud que ha recibido a través de su IPS?, serían:</w:t>
              <w:br/>
              <w:t>1= muy mala 2=mala, 3=regular, 4=Buena, 5=muy buena, 0=no informa.</w:t>
              <w:br/>
              <w:t xml:space="preserve">Aplica para la IPS y para los servicios de transporte especial de pacientes </w:t>
            </w:r>
          </w:p>
        </w:tc>
      </w:tr>
      <w:tr>
        <w:tc>
          <w:tcPr>
            <w:tcW w:type="dxa" w:w="4607"/>
          </w:tcPr>
          <w:p>
            <w:r>
              <w:t>Metodología</w:t>
            </w:r>
          </w:p>
        </w:tc>
        <w:tc>
          <w:tcPr>
            <w:tcW w:type="dxa" w:w="4607"/>
          </w:tcPr>
          <w:p>
            <w:r>
              <w:t>El prestador remitirá los datos del indicador objeto de medición dentro de los treinta (30) días calendario siguientes a la terminación del respectivo trimestre.</w:t>
            </w:r>
          </w:p>
        </w:tc>
      </w:tr>
      <w:tr>
        <w:tc>
          <w:tcPr>
            <w:tcW w:type="dxa" w:w="4607"/>
          </w:tcPr>
          <w:p>
            <w:r>
              <w:t>Exclusiones</w:t>
            </w:r>
          </w:p>
        </w:tc>
        <w:tc>
          <w:tcPr>
            <w:tcW w:type="dxa" w:w="4607"/>
          </w:tcPr>
          <w:p>
            <w:r>
              <w:t xml:space="preserve">¿Se excluyen de la medición los usuarios que respondieron la pregunta Cómo calificaría su experiencia global respecto a los servicios de salud que ha recibido a través de su IPS?: 0=no informa.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IPS-RHI-RIESGO BIOLOGICO</w:t>
            </w:r>
          </w:p>
        </w:tc>
      </w:tr>
    </w:tbl>
    <w:p/>
    <w:p>
      <w:pPr>
        <w:spacing w:before="0" w:after="0"/>
        <w:jc w:val="center"/>
      </w:pPr>
      <w:r>
        <w:drawing>
          <wp:inline xmlns:a="http://schemas.openxmlformats.org/drawingml/2006/main" xmlns:pic="http://schemas.openxmlformats.org/drawingml/2006/picture">
            <wp:extent cx="5760000" cy="251999"/>
            <wp:docPr id="12" name="Picture 1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Resultados en salud</w:t>
            </w:r>
          </w:p>
        </w:tc>
      </w:tr>
      <w:tr>
        <w:tc>
          <w:tcPr>
            <w:tcW w:type="dxa" w:w="4607"/>
          </w:tcPr>
          <w:p>
            <w:r>
              <w:t>Categoría</w:t>
            </w:r>
          </w:p>
        </w:tc>
        <w:tc>
          <w:tcPr>
            <w:tcW w:type="dxa" w:w="4607"/>
          </w:tcPr>
          <w:p>
            <w:r>
              <w:t>PQRD</w:t>
            </w:r>
          </w:p>
        </w:tc>
      </w:tr>
      <w:tr>
        <w:tc>
          <w:tcPr>
            <w:tcW w:type="dxa" w:w="4607"/>
          </w:tcPr>
          <w:p>
            <w:r>
              <w:t>Nombre del Indicador</w:t>
            </w:r>
          </w:p>
        </w:tc>
        <w:tc>
          <w:tcPr>
            <w:tcW w:type="dxa" w:w="4607"/>
          </w:tcPr>
          <w:p>
            <w:r>
              <w:t>PQRD procedentes para el asegurado</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I.C.116</w:t>
            </w:r>
          </w:p>
        </w:tc>
      </w:tr>
      <w:tr>
        <w:tc>
          <w:tcPr>
            <w:tcW w:type="dxa" w:w="4607"/>
          </w:tcPr>
          <w:p>
            <w:r>
              <w:t>Descripción</w:t>
            </w:r>
          </w:p>
        </w:tc>
        <w:tc>
          <w:tcPr>
            <w:tcW w:type="dxa" w:w="4607"/>
          </w:tcPr>
          <w:p>
            <w:r>
              <w:t>Monitorear las PQRD procedentes para los asegurados que permiten identificar inconformidades con el servicio</w:t>
            </w:r>
          </w:p>
        </w:tc>
      </w:tr>
      <w:tr>
        <w:tc>
          <w:tcPr>
            <w:tcW w:type="dxa" w:w="4607"/>
          </w:tcPr>
          <w:p>
            <w:r>
              <w:t>Fórmula</w:t>
            </w:r>
          </w:p>
        </w:tc>
        <w:tc>
          <w:tcPr>
            <w:tcW w:type="dxa" w:w="4607"/>
          </w:tcPr>
          <w:p>
            <w:r>
              <w:t>PQRD o Tutelas procedentes a cargo del proveedor en el periodo</w:t>
            </w:r>
          </w:p>
        </w:tc>
      </w:tr>
      <w:tr>
        <w:tc>
          <w:tcPr>
            <w:tcW w:type="dxa" w:w="4607"/>
          </w:tcPr>
          <w:p>
            <w:r>
              <w:t>Numerador</w:t>
            </w:r>
          </w:p>
        </w:tc>
        <w:tc>
          <w:tcPr>
            <w:tcW w:type="dxa" w:w="4607"/>
          </w:tcPr>
          <w:p>
            <w:r>
              <w:t>PQRD o tutelas procedentes a cargo del proveedor en el periodo</w:t>
            </w:r>
          </w:p>
        </w:tc>
      </w:tr>
      <w:tr>
        <w:tc>
          <w:tcPr>
            <w:tcW w:type="dxa" w:w="4607"/>
          </w:tcPr>
          <w:p>
            <w:r>
              <w:t>Fuente del Numerador</w:t>
            </w:r>
          </w:p>
        </w:tc>
        <w:tc>
          <w:tcPr>
            <w:tcW w:type="dxa" w:w="4607"/>
          </w:tcPr>
          <w:p>
            <w:r>
              <w:t>Reporte PQRD y tutelas grupo GISAT del periodo evaluado</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Número de PQRD procedente para el asegurado</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*El proveedor tiene el compromiso de apoyar la respuesta de las PQRD que le sean escaladas máximo dentro de los plazos contractualmente establecidos.</w:t>
              <w:br/>
              <w:t>*Las PQRD que no cuenten con apoyo de respuesta se tomarán como procedentes.</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13" name="Picture 1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urgencias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P.2.7</w:t>
            </w:r>
          </w:p>
        </w:tc>
      </w:tr>
      <w:tr>
        <w:tc>
          <w:tcPr>
            <w:tcW w:type="dxa" w:w="4607"/>
          </w:tcPr>
          <w:p>
            <w:r>
              <w:t>Código Propio</w:t>
            </w:r>
          </w:p>
        </w:tc>
        <w:tc>
          <w:tcPr>
            <w:tcW w:type="dxa" w:w="4607"/>
          </w:tcPr>
          <w:p>
            <w:r>
              <w:t>I.C.11</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atendidos en urgencias que sufren caídas en el período/Total de personas atendidas en urgencias en el periodo)*1000</w:t>
            </w:r>
          </w:p>
        </w:tc>
      </w:tr>
      <w:tr>
        <w:tc>
          <w:tcPr>
            <w:tcW w:type="dxa" w:w="4607"/>
          </w:tcPr>
          <w:p>
            <w:r>
              <w:t>Numerador</w:t>
            </w:r>
          </w:p>
        </w:tc>
        <w:tc>
          <w:tcPr>
            <w:tcW w:type="dxa" w:w="4607"/>
          </w:tcPr>
          <w:p>
            <w:r>
              <w:t>Número total de pacientes atendidos en urgencias que sufren caídas en el período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Total de personas atendidas en urgencias en el periodo</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personas atendidas en urgencias</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 Caída de pacientes en el servicio de urgencias “Aplica para IPS,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4" name="Picture 1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consulta externa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P.2.8</w:t>
            </w:r>
          </w:p>
        </w:tc>
      </w:tr>
      <w:tr>
        <w:tc>
          <w:tcPr>
            <w:tcW w:type="dxa" w:w="4607"/>
          </w:tcPr>
          <w:p>
            <w:r>
              <w:t>Código Propio</w:t>
            </w:r>
          </w:p>
        </w:tc>
        <w:tc>
          <w:tcPr>
            <w:tcW w:type="dxa" w:w="4607"/>
          </w:tcPr>
          <w:p>
            <w:r>
              <w:t>I.C.12</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atendidos en consulta externa que sufren caídas en el período/Total de personas atendidas en consulta externa)*1000</w:t>
            </w:r>
          </w:p>
        </w:tc>
      </w:tr>
      <w:tr>
        <w:tc>
          <w:tcPr>
            <w:tcW w:type="dxa" w:w="4607"/>
          </w:tcPr>
          <w:p>
            <w:r>
              <w:t>Numerador</w:t>
            </w:r>
          </w:p>
        </w:tc>
        <w:tc>
          <w:tcPr>
            <w:tcW w:type="dxa" w:w="4607"/>
          </w:tcPr>
          <w:p>
            <w:r>
              <w:t>Número total de pacientes atendidos en consulta externa que sufren caídas en el período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Total de personas atendidas en consulta externa</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personas atendidas en consulta externa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consulta externa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EAI01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5" name="Picture 1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Proporción de eventos adversos relacionados con la administración de medicamentos en hospitalización y/o urgencias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P.2.10- P.2.11</w:t>
            </w:r>
          </w:p>
        </w:tc>
      </w:tr>
      <w:tr>
        <w:tc>
          <w:tcPr>
            <w:tcW w:type="dxa" w:w="4607"/>
          </w:tcPr>
          <w:p>
            <w:r>
              <w:t>Código Propio</w:t>
            </w:r>
          </w:p>
        </w:tc>
        <w:tc>
          <w:tcPr>
            <w:tcW w:type="dxa" w:w="4607"/>
          </w:tcPr>
          <w:p>
            <w:r>
              <w:t>I.C.15</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de eventos adversos relacionados con la administración de medicamentos en hospitalización – urgencias/Sumatoria de egresos de hospitalización y personas atendidas en urgencias)* 100</w:t>
            </w:r>
          </w:p>
        </w:tc>
      </w:tr>
      <w:tr>
        <w:tc>
          <w:tcPr>
            <w:tcW w:type="dxa" w:w="4607"/>
          </w:tcPr>
          <w:p>
            <w:r>
              <w:t>Numerador</w:t>
            </w:r>
          </w:p>
        </w:tc>
        <w:tc>
          <w:tcPr>
            <w:tcW w:type="dxa" w:w="4607"/>
          </w:tcPr>
          <w:p>
            <w:r>
              <w:t>Número de eventos adversos relacionados con la administración de medicamentos en hospitalización – urgencias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Sumatoria de egresos de hospitalización y personas atendidas en urgencias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Eventos adversos relacionados con la administración de medicamentos en hospitalización – urgencias “Para este indicador el evento adverso solo corresponde a la etapa de administración de medicamentos. Aplica solo para IPS”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6" name="Picture 1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Proporción de reingreso de pacientes al servicio de urgencias en menos de 72 horas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P.2.13</w:t>
            </w:r>
          </w:p>
        </w:tc>
      </w:tr>
      <w:tr>
        <w:tc>
          <w:tcPr>
            <w:tcW w:type="dxa" w:w="4607"/>
          </w:tcPr>
          <w:p>
            <w:r>
              <w:t>Código Propio</w:t>
            </w:r>
          </w:p>
        </w:tc>
        <w:tc>
          <w:tcPr>
            <w:tcW w:type="dxa" w:w="4607"/>
          </w:tcPr>
          <w:p>
            <w:r>
              <w:t>I.C.29</w:t>
            </w:r>
          </w:p>
        </w:tc>
      </w:tr>
      <w:tr>
        <w:tc>
          <w:tcPr>
            <w:tcW w:type="dxa" w:w="4607"/>
          </w:tcPr>
          <w:p>
            <w:r>
              <w:t>Descripción</w:t>
            </w:r>
          </w:p>
        </w:tc>
        <w:tc>
          <w:tcPr>
            <w:tcW w:type="dxa" w:w="4607"/>
          </w:tcPr>
          <w:p>
            <w:r>
              <w:t>Expresa la proporción de pacientes atendidos en urgencias que reingresan a la misma Institución antes de las 72 horas con el mismo diagnóstico de egreso</w:t>
            </w:r>
          </w:p>
        </w:tc>
      </w:tr>
      <w:tr>
        <w:tc>
          <w:tcPr>
            <w:tcW w:type="dxa" w:w="4607"/>
          </w:tcPr>
          <w:p>
            <w:r>
              <w:t>Fórmula</w:t>
            </w:r>
          </w:p>
        </w:tc>
        <w:tc>
          <w:tcPr>
            <w:tcW w:type="dxa" w:w="4607"/>
          </w:tcPr>
          <w:p>
            <w:r>
              <w:t>(Número de pacientes que reingresan al servicio de hospitalización, en la misma institución antes de 15 días por el mismo diagnóstico de egreso/Número total de egresos vivos atendidos en el servicio de hospitalización)*100</w:t>
            </w:r>
          </w:p>
        </w:tc>
      </w:tr>
      <w:tr>
        <w:tc>
          <w:tcPr>
            <w:tcW w:type="dxa" w:w="4607"/>
          </w:tcPr>
          <w:p>
            <w:r>
              <w:t>Numerador</w:t>
            </w:r>
          </w:p>
        </w:tc>
        <w:tc>
          <w:tcPr>
            <w:tcW w:type="dxa" w:w="4607"/>
          </w:tcPr>
          <w:p>
            <w:r>
              <w:t>Número de pacientes que reingresan al servicio de urgencias en la misma institución antes de las 72 horas con el mismo diagnóstico de egreso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egresos vivos atendidos en el servicio de urgencias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&lt;1%</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Aplica a las IPS y no aplica para los servicios de Transporte Especial de pacientes. Sé dé excluir el reingreso programado</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Se excluyen los reingresos programados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pStyle w:val="Normal"/>
        <w:jc w:val="both"/>
      </w:pPr>
      <w:r>
        <w:rPr>
          <w:rFonts w:ascii="Arial" w:hAnsi="Arial"/>
        </w:rPr>
        <w:t>Positiva compañía de seguros, mediante la firma de interventoría designación garantiza la medición, análisis y establecimiento de planes de mejoramiento con el prestador, así como el seguimiento a su cumplimiento.</w:t>
      </w:r>
    </w:p>
    <w:p/>
    <w:p>
      <w:pPr>
        <w:pStyle w:val="Normal"/>
        <w:spacing w:after="0" w:line="240" w:lineRule="auto"/>
        <w:jc w:val="both"/>
      </w:pPr>
      <w:r>
        <w:rPr>
          <w:rFonts w:ascii="Arial" w:hAnsi="Arial"/>
          <w:b/>
          <w:color w:val="000000"/>
          <w:sz w:val="20"/>
        </w:rPr>
        <w:t>POSITIVA,</w:t>
      </w:r>
      <w:r>
        <w:rPr>
          <w:rFonts w:ascii="Arial" w:hAnsi="Arial"/>
          <w:b/>
          <w:color w:val="000000"/>
          <w:sz w:val="20"/>
        </w:rPr>
        <w:tab/>
        <w:t xml:space="preserve">                                </w:t>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EL CONTRATISTA</w:t>
      </w:r>
      <w:r>
        <w:rPr>
          <w:rFonts w:ascii="Arial" w:hAnsi="Arial"/>
          <w:b/>
          <w:color w:val="000000"/>
          <w:sz w:val="20"/>
        </w:rPr>
        <w:t>,</w:t>
      </w:r>
      <w:r>
        <w:rPr>
          <w:rFonts w:ascii="Arial" w:hAnsi="Arial"/>
          <w:b/>
          <w:color w:val="000000"/>
          <w:sz w:val="20"/>
        </w:rPr>
        <w:t xml:space="preserve"> </w:t>
      </w:r>
    </w:p>
    <w:p/>
    <w:p/>
    <w:p/>
    <w:p>
      <w:pPr>
        <w:pStyle w:val="Normal"/>
        <w:spacing w:after="0" w:line="240" w:lineRule="auto"/>
        <w:jc w:val="both"/>
      </w:pPr>
      <w:r>
        <w:rPr>
          <w:rFonts w:ascii="Arial" w:hAnsi="Arial"/>
          <w:b/>
          <w:color w:val="000000"/>
          <w:sz w:val="20"/>
        </w:rPr>
        <w:t>CHARLES RODOLFO BAYONA MOLANO</w:t>
      </w:r>
      <w:r>
        <w:rPr>
          <w:rFonts w:ascii="Arial" w:hAnsi="Arial"/>
          <w:b/>
          <w:color w:val="000000"/>
          <w:sz w:val="20"/>
        </w:rPr>
        <w:tab/>
        <w:t xml:space="preserve">       </w:t>
      </w:r>
      <w:r>
        <w:rPr>
          <w:rFonts w:ascii="Arial" w:hAnsi="Arial"/>
          <w:b/>
          <w:sz w:val="20"/>
        </w:rPr>
        <w:t xml:space="preserve">          </w:t>
      </w:r>
      <w:r>
        <w:rPr>
          <w:sz w:val="20"/>
        </w:rPr>
        <w:t xml:space="preserve"> </w:t>
      </w:r>
      <w:r>
        <w:rPr>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p>
    <w:p>
      <w:pPr>
        <w:pStyle w:val="Normal"/>
        <w:spacing w:after="0" w:line="240" w:lineRule="auto"/>
        <w:jc w:val="both"/>
      </w:pPr>
      <w:r>
        <w:rPr>
          <w:rFonts w:ascii="Arial" w:hAnsi="Arial"/>
          <w:b/>
          <w:color w:val="000000"/>
          <w:sz w:val="20"/>
        </w:rPr>
        <w:t xml:space="preserve">Ordenador del Gasto                            </w:t>
      </w:r>
      <w:r>
        <w:rPr>
          <w:rFonts w:ascii="Arial" w:hAnsi="Arial"/>
          <w:b/>
          <w:color w:val="000000"/>
          <w:sz w:val="20"/>
        </w:rPr>
        <w:tab/>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Representante Legal</w:t>
      </w:r>
    </w:p>
    <w:p>
      <w:pPr>
        <w:pStyle w:val="Normal"/>
        <w:spacing w:after="0" w:line="240" w:lineRule="auto"/>
        <w:jc w:val="both"/>
      </w:pPr>
      <w:r>
        <w:rPr>
          <w:rFonts w:ascii="Arial" w:hAnsi="Arial"/>
          <w:b/>
          <w:color w:val="000000"/>
          <w:sz w:val="20"/>
        </w:rPr>
        <w:t>Vicepresidente Técnico</w:t>
      </w:r>
    </w:p>
    <w:sectPr w:rsidR="00195441" w:rsidRPr="00195441" w:rsidSect="00056063">
      <w:headerReference w:type="default" r:id="rId11"/>
      <w:pgSz w:w="12240" w:h="15840"/>
      <w:pgMar w:top="1418" w:right="1325"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0FE7CF" w14:textId="77777777" w:rsidR="00CF2F9F" w:rsidRDefault="00CF2F9F" w:rsidP="00F36004">
      <w:pPr>
        <w:spacing w:after="0" w:line="240" w:lineRule="auto"/>
      </w:pPr>
      <w:r>
        <w:separator/>
      </w:r>
    </w:p>
  </w:endnote>
  <w:endnote w:type="continuationSeparator" w:id="0">
    <w:p w14:paraId="4CE12430" w14:textId="77777777" w:rsidR="00CF2F9F" w:rsidRDefault="00CF2F9F" w:rsidP="00F360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CC6A41" w14:textId="77777777" w:rsidR="00CF2F9F" w:rsidRDefault="00CF2F9F" w:rsidP="00F36004">
      <w:pPr>
        <w:spacing w:after="0" w:line="240" w:lineRule="auto"/>
      </w:pPr>
      <w:r>
        <w:separator/>
      </w:r>
    </w:p>
  </w:footnote>
  <w:footnote w:type="continuationSeparator" w:id="0">
    <w:p w14:paraId="557014F8" w14:textId="77777777" w:rsidR="00CF2F9F" w:rsidRDefault="00CF2F9F" w:rsidP="00F3600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72" w:type="dxa"/>
      <w:jc w:val="center"/>
      <w:tblCellMar>
        <w:left w:w="70" w:type="dxa"/>
        <w:right w:w="70" w:type="dxa"/>
      </w:tblCellMar>
      <w:tblLook w:val="04A0" w:firstRow="1" w:lastRow="0" w:firstColumn="1" w:lastColumn="0" w:noHBand="0" w:noVBand="1"/>
    </w:tblPr>
    <w:tblGrid>
      <w:gridCol w:w="2680"/>
      <w:gridCol w:w="780"/>
      <w:gridCol w:w="2727"/>
      <w:gridCol w:w="1276"/>
      <w:gridCol w:w="2409"/>
    </w:tblGrid>
    <w:tr w:rsidR="003579D7" w:rsidRPr="00CC7BE8" w14:paraId="12B6CF2A" w14:textId="77777777" w:rsidTr="00D912E9">
      <w:trPr>
        <w:trHeight w:val="70"/>
        <w:jc w:val="center"/>
      </w:trPr>
      <w:tc>
        <w:tcPr>
          <w:tcW w:w="2680" w:type="dxa"/>
          <w:vMerge w:val="restart"/>
          <w:tcBorders>
            <w:top w:val="single" w:sz="4" w:space="0" w:color="auto"/>
            <w:left w:val="single" w:sz="4" w:space="0" w:color="auto"/>
            <w:right w:val="single" w:sz="4" w:space="0" w:color="auto"/>
          </w:tcBorders>
          <w:noWrap/>
          <w:vAlign w:val="center"/>
          <w:hideMark/>
        </w:tcPr>
        <w:p w14:paraId="5625057B" w14:textId="77777777" w:rsidR="003579D7" w:rsidRPr="00CC7BE8" w:rsidRDefault="003579D7" w:rsidP="003579D7">
          <w:pPr>
            <w:jc w:val="center"/>
            <w:rPr>
              <w:rFonts w:ascii="Arial" w:hAnsi="Arial" w:cs="Arial"/>
              <w:sz w:val="18"/>
              <w:szCs w:val="18"/>
              <w:lang w:eastAsia="es-CO"/>
            </w:rPr>
          </w:pPr>
          <w:r>
            <w:rPr>
              <w:noProof/>
              <w:lang w:eastAsia="es-MX"/>
            </w:rPr>
            <w:drawing>
              <wp:anchor distT="0" distB="0" distL="114300" distR="114300" simplePos="0" relativeHeight="251659264" behindDoc="0" locked="0" layoutInCell="1" allowOverlap="1" wp14:anchorId="011823F9" wp14:editId="1628AB93">
                <wp:simplePos x="0" y="0"/>
                <wp:positionH relativeFrom="column">
                  <wp:posOffset>292735</wp:posOffset>
                </wp:positionH>
                <wp:positionV relativeFrom="paragraph">
                  <wp:posOffset>52070</wp:posOffset>
                </wp:positionV>
                <wp:extent cx="1123950" cy="878840"/>
                <wp:effectExtent l="0" t="0" r="0" b="0"/>
                <wp:wrapNone/>
                <wp:docPr id="30" name="Imagen 30" descr="cid:image001.png@01D2E4F6.28A315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eArt object" descr="cid:image001.png@01D2E4F6.28A315B0"/>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1123950" cy="8788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5501DDE" w14:textId="77777777" w:rsidR="003579D7" w:rsidRPr="00CC7BE8" w:rsidRDefault="003579D7" w:rsidP="003579D7">
          <w:pPr>
            <w:jc w:val="center"/>
            <w:rPr>
              <w:rFonts w:ascii="Arial" w:hAnsi="Arial" w:cs="Arial"/>
              <w:sz w:val="18"/>
              <w:szCs w:val="18"/>
              <w:lang w:eastAsia="es-CO"/>
            </w:rPr>
          </w:pPr>
        </w:p>
        <w:p w14:paraId="4D96B3DA" w14:textId="77777777" w:rsidR="003579D7" w:rsidRPr="00CC7BE8" w:rsidRDefault="003579D7" w:rsidP="003579D7">
          <w:pPr>
            <w:jc w:val="center"/>
            <w:rPr>
              <w:rFonts w:ascii="Arial" w:hAnsi="Arial" w:cs="Arial"/>
              <w:sz w:val="18"/>
              <w:szCs w:val="18"/>
              <w:lang w:eastAsia="es-CO"/>
            </w:rPr>
          </w:pPr>
        </w:p>
      </w:tc>
      <w:tc>
        <w:tcPr>
          <w:tcW w:w="3507" w:type="dxa"/>
          <w:gridSpan w:val="2"/>
          <w:vMerge w:val="restart"/>
          <w:tcBorders>
            <w:top w:val="single" w:sz="4" w:space="0" w:color="auto"/>
            <w:left w:val="nil"/>
            <w:right w:val="single" w:sz="4" w:space="0" w:color="auto"/>
          </w:tcBorders>
          <w:noWrap/>
          <w:vAlign w:val="center"/>
          <w:hideMark/>
        </w:tcPr>
        <w:p w14:paraId="297E82BF"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 xml:space="preserve">PROCESO: </w:t>
          </w:r>
        </w:p>
        <w:p w14:paraId="756A96FA" w14:textId="77777777" w:rsidR="003579D7" w:rsidRPr="00CA20B0" w:rsidRDefault="003579D7" w:rsidP="003579D7">
          <w:pPr>
            <w:spacing w:line="276" w:lineRule="auto"/>
            <w:jc w:val="center"/>
            <w:rPr>
              <w:rFonts w:ascii="Arial" w:hAnsi="Arial" w:cs="Arial"/>
              <w:b/>
              <w:bCs/>
              <w:sz w:val="20"/>
              <w:szCs w:val="20"/>
              <w:lang w:eastAsia="es-CO"/>
            </w:rPr>
          </w:pPr>
          <w:r w:rsidRPr="00CA20B0">
            <w:rPr>
              <w:rFonts w:ascii="Arial" w:hAnsi="Arial" w:cs="Arial"/>
              <w:b/>
              <w:sz w:val="20"/>
              <w:szCs w:val="20"/>
              <w:lang w:eastAsia="es-CO"/>
            </w:rPr>
            <w:t>GESTIÓN DE SINIESTROS</w:t>
          </w:r>
        </w:p>
      </w:tc>
      <w:tc>
        <w:tcPr>
          <w:tcW w:w="1276" w:type="dxa"/>
          <w:tcBorders>
            <w:top w:val="single" w:sz="4" w:space="0" w:color="auto"/>
            <w:left w:val="nil"/>
            <w:bottom w:val="single" w:sz="4" w:space="0" w:color="auto"/>
            <w:right w:val="single" w:sz="4" w:space="0" w:color="auto"/>
          </w:tcBorders>
          <w:noWrap/>
          <w:vAlign w:val="center"/>
          <w:hideMark/>
        </w:tcPr>
        <w:p w14:paraId="152EDA80"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Código:</w:t>
          </w:r>
        </w:p>
      </w:tc>
      <w:tc>
        <w:tcPr>
          <w:tcW w:w="2409" w:type="dxa"/>
          <w:tcBorders>
            <w:top w:val="single" w:sz="4" w:space="0" w:color="auto"/>
            <w:left w:val="nil"/>
            <w:bottom w:val="single" w:sz="4" w:space="0" w:color="auto"/>
            <w:right w:val="single" w:sz="4" w:space="0" w:color="auto"/>
          </w:tcBorders>
          <w:noWrap/>
          <w:vAlign w:val="center"/>
          <w:hideMark/>
        </w:tcPr>
        <w:p w14:paraId="418126B5" w14:textId="77777777" w:rsidR="003579D7" w:rsidRPr="00CA20B0" w:rsidRDefault="003579D7" w:rsidP="003579D7">
          <w:pPr>
            <w:autoSpaceDE w:val="0"/>
            <w:autoSpaceDN w:val="0"/>
            <w:adjustRightInd w:val="0"/>
            <w:spacing w:line="276" w:lineRule="auto"/>
            <w:jc w:val="center"/>
            <w:rPr>
              <w:rFonts w:ascii="Arial" w:hAnsi="Arial" w:cs="Arial"/>
              <w:bCs/>
              <w:sz w:val="20"/>
              <w:szCs w:val="20"/>
            </w:rPr>
          </w:pPr>
          <w:r>
            <w:rPr>
              <w:rFonts w:ascii="Arial" w:hAnsi="Arial" w:cs="Arial"/>
              <w:color w:val="000000"/>
              <w:sz w:val="20"/>
              <w:szCs w:val="20"/>
              <w:lang w:eastAsia="es-CO"/>
            </w:rPr>
            <w:t>MIS_5_4_1_FR130</w:t>
          </w:r>
        </w:p>
      </w:tc>
    </w:tr>
    <w:tr w:rsidR="003579D7" w:rsidRPr="00CC7BE8" w14:paraId="3CCEC246" w14:textId="77777777" w:rsidTr="00D912E9">
      <w:trPr>
        <w:trHeight w:val="70"/>
        <w:jc w:val="center"/>
      </w:trPr>
      <w:tc>
        <w:tcPr>
          <w:tcW w:w="2680" w:type="dxa"/>
          <w:vMerge/>
          <w:tcBorders>
            <w:left w:val="single" w:sz="4" w:space="0" w:color="auto"/>
            <w:right w:val="single" w:sz="4" w:space="0" w:color="auto"/>
          </w:tcBorders>
          <w:noWrap/>
          <w:vAlign w:val="center"/>
          <w:hideMark/>
        </w:tcPr>
        <w:p w14:paraId="0A3636D5"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hideMark/>
        </w:tcPr>
        <w:p w14:paraId="5CE2422C"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F11860C"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Versión</w:t>
          </w:r>
        </w:p>
      </w:tc>
      <w:tc>
        <w:tcPr>
          <w:tcW w:w="2409" w:type="dxa"/>
          <w:tcBorders>
            <w:top w:val="nil"/>
            <w:left w:val="nil"/>
            <w:bottom w:val="single" w:sz="4" w:space="0" w:color="auto"/>
            <w:right w:val="single" w:sz="4" w:space="0" w:color="auto"/>
          </w:tcBorders>
          <w:noWrap/>
          <w:vAlign w:val="center"/>
          <w:hideMark/>
        </w:tcPr>
        <w:p w14:paraId="0E506210"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w:t>
          </w:r>
        </w:p>
      </w:tc>
    </w:tr>
    <w:tr w:rsidR="003579D7" w:rsidRPr="00CC7BE8" w14:paraId="2A928DCD" w14:textId="77777777" w:rsidTr="00D912E9">
      <w:trPr>
        <w:trHeight w:val="50"/>
        <w:jc w:val="center"/>
      </w:trPr>
      <w:tc>
        <w:tcPr>
          <w:tcW w:w="2680" w:type="dxa"/>
          <w:vMerge/>
          <w:tcBorders>
            <w:left w:val="single" w:sz="4" w:space="0" w:color="auto"/>
            <w:right w:val="single" w:sz="4" w:space="0" w:color="auto"/>
          </w:tcBorders>
          <w:noWrap/>
          <w:vAlign w:val="center"/>
        </w:tcPr>
        <w:p w14:paraId="62FFD5B0"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tcPr>
        <w:p w14:paraId="0BB5AE1D"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tcPr>
        <w:p w14:paraId="53E53499"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Clasificación</w:t>
          </w:r>
        </w:p>
      </w:tc>
      <w:sdt>
        <w:sdtPr>
          <w:rPr>
            <w:rFonts w:ascii="Arial" w:hAnsi="Arial" w:cs="Arial"/>
            <w:sz w:val="20"/>
            <w:szCs w:val="20"/>
            <w:lang w:eastAsia="es-CO"/>
          </w:rPr>
          <w:id w:val="455065909"/>
          <w:placeholder>
            <w:docPart w:val="54E166441F8F4F7DBA9F3207BC32990E"/>
          </w:placeholder>
          <w:dropDownList>
            <w:listItem w:value="Elija un elemento."/>
            <w:listItem w:displayText="Pública" w:value="Pública"/>
            <w:listItem w:displayText="Pública Reservada" w:value="Pública Reservada"/>
            <w:listItem w:displayText="Pública Clasificada" w:value="Pública Clasificada"/>
          </w:dropDownList>
        </w:sdtPr>
        <w:sdtContent>
          <w:tc>
            <w:tcPr>
              <w:tcW w:w="2409" w:type="dxa"/>
              <w:tcBorders>
                <w:top w:val="nil"/>
                <w:left w:val="nil"/>
                <w:bottom w:val="single" w:sz="4" w:space="0" w:color="auto"/>
                <w:right w:val="single" w:sz="4" w:space="0" w:color="auto"/>
              </w:tcBorders>
              <w:noWrap/>
              <w:vAlign w:val="center"/>
            </w:tcPr>
            <w:p w14:paraId="1B1FB5EA"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Pública Clasificada</w:t>
              </w:r>
            </w:p>
          </w:tc>
        </w:sdtContent>
      </w:sdt>
    </w:tr>
    <w:tr w:rsidR="003579D7" w:rsidRPr="00CC7BE8" w14:paraId="7BA79B6A" w14:textId="77777777" w:rsidTr="00D912E9">
      <w:trPr>
        <w:trHeight w:val="70"/>
        <w:jc w:val="center"/>
      </w:trPr>
      <w:tc>
        <w:tcPr>
          <w:tcW w:w="2680" w:type="dxa"/>
          <w:vMerge/>
          <w:tcBorders>
            <w:left w:val="single" w:sz="4" w:space="0" w:color="auto"/>
            <w:right w:val="single" w:sz="4" w:space="0" w:color="auto"/>
          </w:tcBorders>
          <w:noWrap/>
          <w:vAlign w:val="center"/>
          <w:hideMark/>
        </w:tcPr>
        <w:p w14:paraId="5356C95D"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bottom w:val="single" w:sz="4" w:space="0" w:color="auto"/>
            <w:right w:val="single" w:sz="4" w:space="0" w:color="auto"/>
          </w:tcBorders>
          <w:noWrap/>
          <w:vAlign w:val="center"/>
          <w:hideMark/>
        </w:tcPr>
        <w:p w14:paraId="4377D119" w14:textId="77777777" w:rsidR="003579D7" w:rsidRPr="00CA20B0" w:rsidRDefault="003579D7" w:rsidP="003579D7">
          <w:pPr>
            <w:spacing w:line="276" w:lineRule="auto"/>
            <w:jc w:val="center"/>
            <w:rPr>
              <w:rFonts w:ascii="Arial" w:hAnsi="Arial" w:cs="Arial"/>
              <w:b/>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69D7D87"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Fecha:</w:t>
          </w:r>
        </w:p>
      </w:tc>
      <w:tc>
        <w:tcPr>
          <w:tcW w:w="2409" w:type="dxa"/>
          <w:tcBorders>
            <w:top w:val="nil"/>
            <w:left w:val="nil"/>
            <w:bottom w:val="single" w:sz="4" w:space="0" w:color="auto"/>
            <w:right w:val="single" w:sz="4" w:space="0" w:color="auto"/>
          </w:tcBorders>
          <w:noWrap/>
          <w:vAlign w:val="center"/>
          <w:hideMark/>
        </w:tcPr>
        <w:p w14:paraId="42E58EE4"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2025/09/23</w:t>
          </w:r>
        </w:p>
      </w:tc>
    </w:tr>
    <w:tr w:rsidR="003579D7" w:rsidRPr="00CC7BE8" w14:paraId="5134FAF8" w14:textId="77777777" w:rsidTr="00D912E9">
      <w:trPr>
        <w:trHeight w:val="50"/>
        <w:jc w:val="center"/>
      </w:trPr>
      <w:tc>
        <w:tcPr>
          <w:tcW w:w="2680" w:type="dxa"/>
          <w:vMerge/>
          <w:tcBorders>
            <w:left w:val="single" w:sz="4" w:space="0" w:color="auto"/>
            <w:bottom w:val="single" w:sz="4" w:space="0" w:color="auto"/>
            <w:right w:val="single" w:sz="4" w:space="0" w:color="auto"/>
          </w:tcBorders>
          <w:noWrap/>
          <w:vAlign w:val="center"/>
          <w:hideMark/>
        </w:tcPr>
        <w:p w14:paraId="6802227F" w14:textId="77777777" w:rsidR="003579D7" w:rsidRPr="00CC7BE8" w:rsidRDefault="003579D7" w:rsidP="003579D7">
          <w:pPr>
            <w:jc w:val="center"/>
            <w:rPr>
              <w:rFonts w:ascii="Arial" w:hAnsi="Arial" w:cs="Arial"/>
              <w:sz w:val="18"/>
              <w:szCs w:val="18"/>
              <w:lang w:eastAsia="es-CO"/>
            </w:rPr>
          </w:pPr>
        </w:p>
      </w:tc>
      <w:tc>
        <w:tcPr>
          <w:tcW w:w="7192" w:type="dxa"/>
          <w:gridSpan w:val="4"/>
          <w:tcBorders>
            <w:top w:val="nil"/>
            <w:left w:val="nil"/>
            <w:bottom w:val="single" w:sz="4" w:space="0" w:color="auto"/>
            <w:right w:val="single" w:sz="4" w:space="0" w:color="auto"/>
          </w:tcBorders>
          <w:noWrap/>
          <w:vAlign w:val="center"/>
          <w:hideMark/>
        </w:tcPr>
        <w:p w14:paraId="34F25F0B" w14:textId="77777777" w:rsidR="003579D7" w:rsidRPr="001C3B48" w:rsidRDefault="003579D7" w:rsidP="003579D7">
          <w:pPr>
            <w:pStyle w:val="Encabezado"/>
            <w:spacing w:line="276" w:lineRule="auto"/>
            <w:jc w:val="center"/>
            <w:rPr>
              <w:rFonts w:ascii="Arial" w:hAnsi="Arial" w:cs="Arial"/>
              <w:b/>
              <w:bCs/>
              <w:sz w:val="20"/>
              <w:szCs w:val="20"/>
            </w:rPr>
          </w:pPr>
          <w:r>
            <w:rPr>
              <w:rFonts w:ascii="Arial" w:hAnsi="Arial" w:cs="Arial"/>
              <w:b/>
              <w:bCs/>
              <w:sz w:val="20"/>
              <w:szCs w:val="20"/>
            </w:rPr>
            <w:t>ANEXO 9 INDICADORES</w:t>
          </w:r>
        </w:p>
      </w:tc>
    </w:tr>
    <w:tr w:rsidR="003579D7" w:rsidRPr="00CC7BE8" w14:paraId="121314F8" w14:textId="77777777" w:rsidTr="00D912E9">
      <w:trPr>
        <w:trHeight w:val="821"/>
        <w:jc w:val="center"/>
      </w:trPr>
      <w:tc>
        <w:tcPr>
          <w:tcW w:w="3460" w:type="dxa"/>
          <w:gridSpan w:val="2"/>
          <w:tcBorders>
            <w:top w:val="single" w:sz="4" w:space="0" w:color="auto"/>
            <w:left w:val="single" w:sz="4" w:space="0" w:color="auto"/>
            <w:bottom w:val="single" w:sz="4" w:space="0" w:color="auto"/>
            <w:right w:val="single" w:sz="4" w:space="0" w:color="auto"/>
          </w:tcBorders>
          <w:noWrap/>
          <w:vAlign w:val="center"/>
          <w:hideMark/>
        </w:tcPr>
        <w:p w14:paraId="788CCAFD" w14:textId="77777777" w:rsidR="003579D7" w:rsidRPr="00CA20B0" w:rsidRDefault="003579D7" w:rsidP="003579D7">
          <w:pPr>
            <w:pStyle w:val="Sinespaciado"/>
            <w:jc w:val="center"/>
          </w:pPr>
          <w:r w:rsidRPr="00CA20B0">
            <w:t>Aprobó:</w:t>
          </w:r>
        </w:p>
        <w:p w14:paraId="4C545661" w14:textId="77777777" w:rsidR="003579D7" w:rsidRPr="00CA20B0" w:rsidRDefault="003579D7" w:rsidP="003579D7">
          <w:pPr>
            <w:pStyle w:val="Sinespaciado"/>
            <w:jc w:val="center"/>
            <w:rPr>
              <w:b/>
              <w:bCs/>
            </w:rPr>
          </w:pPr>
          <w:r>
            <w:rPr>
              <w:b/>
              <w:bCs/>
            </w:rPr>
            <w:t xml:space="preserve">Álvaro Fernando Sánchez </w:t>
          </w:r>
          <w:proofErr w:type="spellStart"/>
          <w:r>
            <w:rPr>
              <w:b/>
              <w:bCs/>
            </w:rPr>
            <w:t>Acelas</w:t>
          </w:r>
          <w:proofErr w:type="spellEnd"/>
        </w:p>
        <w:p w14:paraId="5A82947D" w14:textId="77777777" w:rsidR="003579D7" w:rsidRPr="00CA20B0" w:rsidRDefault="003579D7" w:rsidP="003579D7">
          <w:pPr>
            <w:pStyle w:val="Sinespaciado"/>
            <w:jc w:val="center"/>
            <w:rPr>
              <w:lang w:eastAsia="es-CO"/>
            </w:rPr>
          </w:pPr>
          <w:r>
            <w:t>Gerente Médico</w:t>
          </w:r>
        </w:p>
      </w:tc>
      <w:tc>
        <w:tcPr>
          <w:tcW w:w="2727" w:type="dxa"/>
          <w:tcBorders>
            <w:top w:val="single" w:sz="4" w:space="0" w:color="auto"/>
            <w:left w:val="nil"/>
            <w:bottom w:val="single" w:sz="4" w:space="0" w:color="auto"/>
            <w:right w:val="single" w:sz="4" w:space="0" w:color="auto"/>
          </w:tcBorders>
          <w:noWrap/>
          <w:vAlign w:val="center"/>
          <w:hideMark/>
        </w:tcPr>
        <w:p w14:paraId="5E8763AA" w14:textId="77777777" w:rsidR="003579D7" w:rsidRPr="00CA20B0" w:rsidRDefault="003579D7" w:rsidP="003579D7">
          <w:pPr>
            <w:pStyle w:val="Sinespaciado"/>
            <w:jc w:val="center"/>
          </w:pPr>
          <w:r w:rsidRPr="00CA20B0">
            <w:t>Revisó:</w:t>
          </w:r>
        </w:p>
        <w:p w14:paraId="0B074BF3" w14:textId="77777777" w:rsidR="003579D7" w:rsidRPr="009D52E2" w:rsidRDefault="003579D7" w:rsidP="003579D7">
          <w:pPr>
            <w:pStyle w:val="Sinespaciado"/>
            <w:jc w:val="center"/>
            <w:rPr>
              <w:b/>
              <w:bCs/>
            </w:rPr>
          </w:pPr>
          <w:r>
            <w:rPr>
              <w:b/>
              <w:bCs/>
            </w:rPr>
            <w:t>Omar Ubaldo Vanegas</w:t>
          </w:r>
        </w:p>
        <w:p w14:paraId="31F95EED" w14:textId="77777777" w:rsidR="003579D7" w:rsidRPr="00CA20B0" w:rsidRDefault="003579D7" w:rsidP="003579D7">
          <w:pPr>
            <w:pStyle w:val="Sinespaciado"/>
            <w:jc w:val="center"/>
            <w:rPr>
              <w:b/>
              <w:lang w:eastAsia="es-CO"/>
            </w:rPr>
          </w:pPr>
          <w:r w:rsidRPr="00D60DA9">
            <w:t>Profesional Especializado</w:t>
          </w:r>
        </w:p>
      </w:tc>
      <w:tc>
        <w:tcPr>
          <w:tcW w:w="3685" w:type="dxa"/>
          <w:gridSpan w:val="2"/>
          <w:tcBorders>
            <w:top w:val="single" w:sz="4" w:space="0" w:color="auto"/>
            <w:left w:val="nil"/>
            <w:bottom w:val="single" w:sz="4" w:space="0" w:color="auto"/>
            <w:right w:val="single" w:sz="4" w:space="0" w:color="auto"/>
          </w:tcBorders>
          <w:noWrap/>
          <w:vAlign w:val="center"/>
          <w:hideMark/>
        </w:tcPr>
        <w:p w14:paraId="46BB8609" w14:textId="77777777" w:rsidR="003579D7" w:rsidRPr="00CA20B0" w:rsidRDefault="003579D7" w:rsidP="003579D7">
          <w:pPr>
            <w:pStyle w:val="Sinespaciado"/>
            <w:jc w:val="center"/>
          </w:pPr>
          <w:r w:rsidRPr="00CA20B0">
            <w:t>Elaboró:</w:t>
          </w:r>
        </w:p>
        <w:p w14:paraId="2311DC3E" w14:textId="77777777" w:rsidR="003579D7" w:rsidRPr="00CA20B0" w:rsidRDefault="003579D7" w:rsidP="003579D7">
          <w:pPr>
            <w:pStyle w:val="Sinespaciado"/>
            <w:jc w:val="center"/>
            <w:rPr>
              <w:b/>
            </w:rPr>
          </w:pPr>
          <w:r>
            <w:rPr>
              <w:b/>
            </w:rPr>
            <w:t xml:space="preserve">Shirly Mazo </w:t>
          </w:r>
          <w:proofErr w:type="spellStart"/>
          <w:r>
            <w:rPr>
              <w:b/>
            </w:rPr>
            <w:t>Guiral</w:t>
          </w:r>
          <w:proofErr w:type="spellEnd"/>
        </w:p>
        <w:p w14:paraId="7F3AE93F" w14:textId="77777777" w:rsidR="003579D7" w:rsidRPr="00CA20B0" w:rsidRDefault="003579D7" w:rsidP="003579D7">
          <w:pPr>
            <w:pStyle w:val="Sinespaciado"/>
            <w:jc w:val="center"/>
            <w:rPr>
              <w:bCs/>
            </w:rPr>
          </w:pPr>
          <w:proofErr w:type="spellStart"/>
          <w:r>
            <w:rPr>
              <w:bCs/>
            </w:rPr>
            <w:t>Lider</w:t>
          </w:r>
          <w:proofErr w:type="spellEnd"/>
          <w:r>
            <w:rPr>
              <w:bCs/>
            </w:rPr>
            <w:t xml:space="preserve"> SIG</w:t>
          </w:r>
        </w:p>
      </w:tc>
    </w:tr>
  </w:tbl>
  <w:p w14:paraId="7B5ED991" w14:textId="77777777" w:rsidR="00F36004" w:rsidRPr="00F36004" w:rsidRDefault="00F36004" w:rsidP="00F3600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2D664A"/>
    <w:multiLevelType w:val="hybridMultilevel"/>
    <w:tmpl w:val="3C9815A0"/>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num w:numId="1" w16cid:durableId="21312433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98"/>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6004"/>
    <w:rsid w:val="0005277D"/>
    <w:rsid w:val="00056063"/>
    <w:rsid w:val="001012EB"/>
    <w:rsid w:val="00102265"/>
    <w:rsid w:val="00111BED"/>
    <w:rsid w:val="00133D32"/>
    <w:rsid w:val="00195441"/>
    <w:rsid w:val="001C458C"/>
    <w:rsid w:val="001E1640"/>
    <w:rsid w:val="00207709"/>
    <w:rsid w:val="00211CB8"/>
    <w:rsid w:val="00234F97"/>
    <w:rsid w:val="002A42E7"/>
    <w:rsid w:val="002B2184"/>
    <w:rsid w:val="002C5037"/>
    <w:rsid w:val="002F2B3E"/>
    <w:rsid w:val="00300DBA"/>
    <w:rsid w:val="00321C2A"/>
    <w:rsid w:val="00332EA5"/>
    <w:rsid w:val="003579D7"/>
    <w:rsid w:val="00362589"/>
    <w:rsid w:val="00366EB8"/>
    <w:rsid w:val="00376D5B"/>
    <w:rsid w:val="00383F1C"/>
    <w:rsid w:val="00396195"/>
    <w:rsid w:val="003D135A"/>
    <w:rsid w:val="003E7C20"/>
    <w:rsid w:val="00405956"/>
    <w:rsid w:val="00410BBE"/>
    <w:rsid w:val="00423D0D"/>
    <w:rsid w:val="004404E0"/>
    <w:rsid w:val="00440B46"/>
    <w:rsid w:val="004A25BC"/>
    <w:rsid w:val="004A2727"/>
    <w:rsid w:val="004F48A3"/>
    <w:rsid w:val="0050494F"/>
    <w:rsid w:val="0052134D"/>
    <w:rsid w:val="0053002B"/>
    <w:rsid w:val="00537BA4"/>
    <w:rsid w:val="00570005"/>
    <w:rsid w:val="005E7820"/>
    <w:rsid w:val="0061291D"/>
    <w:rsid w:val="00662ACC"/>
    <w:rsid w:val="006842E7"/>
    <w:rsid w:val="0070002B"/>
    <w:rsid w:val="00716194"/>
    <w:rsid w:val="00740AEC"/>
    <w:rsid w:val="00784E99"/>
    <w:rsid w:val="007B543C"/>
    <w:rsid w:val="007C1ABD"/>
    <w:rsid w:val="007F2418"/>
    <w:rsid w:val="00806D16"/>
    <w:rsid w:val="008173BF"/>
    <w:rsid w:val="00872B38"/>
    <w:rsid w:val="008B444B"/>
    <w:rsid w:val="008E1E72"/>
    <w:rsid w:val="009071E5"/>
    <w:rsid w:val="0094126C"/>
    <w:rsid w:val="00983CA0"/>
    <w:rsid w:val="00993C36"/>
    <w:rsid w:val="009A7597"/>
    <w:rsid w:val="009D4889"/>
    <w:rsid w:val="00A227A0"/>
    <w:rsid w:val="00A417F8"/>
    <w:rsid w:val="00A5083A"/>
    <w:rsid w:val="00A97335"/>
    <w:rsid w:val="00AB6058"/>
    <w:rsid w:val="00B16533"/>
    <w:rsid w:val="00B27376"/>
    <w:rsid w:val="00B414C5"/>
    <w:rsid w:val="00B5007F"/>
    <w:rsid w:val="00BC4544"/>
    <w:rsid w:val="00BF4361"/>
    <w:rsid w:val="00C07323"/>
    <w:rsid w:val="00C1316E"/>
    <w:rsid w:val="00C26B80"/>
    <w:rsid w:val="00C4661A"/>
    <w:rsid w:val="00CB0334"/>
    <w:rsid w:val="00CC09FD"/>
    <w:rsid w:val="00CF2F9F"/>
    <w:rsid w:val="00D64B93"/>
    <w:rsid w:val="00D6512A"/>
    <w:rsid w:val="00D95354"/>
    <w:rsid w:val="00E215C3"/>
    <w:rsid w:val="00E45F5A"/>
    <w:rsid w:val="00E66778"/>
    <w:rsid w:val="00E953AE"/>
    <w:rsid w:val="00EA2C27"/>
    <w:rsid w:val="00EB2F59"/>
    <w:rsid w:val="00ED6BA1"/>
    <w:rsid w:val="00F049EC"/>
    <w:rsid w:val="00F07F43"/>
    <w:rsid w:val="00F36004"/>
    <w:rsid w:val="00F616A8"/>
    <w:rsid w:val="00F82DEE"/>
    <w:rsid w:val="00FB1903"/>
    <w:rsid w:val="00FE0E8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98"/>
    <o:shapelayout v:ext="edit">
      <o:idmap v:ext="edit" data="2"/>
    </o:shapelayout>
  </w:shapeDefaults>
  <w:decimalSymbol w:val="."/>
  <w:listSeparator w:val=","/>
  <w14:docId w14:val="16D06EA4"/>
  <w15:chartTrackingRefBased/>
  <w15:docId w15:val="{D0B09002-CF00-414A-BF60-214A57B39D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F36004"/>
    <w:pPr>
      <w:tabs>
        <w:tab w:val="center" w:pos="4419"/>
        <w:tab w:val="right" w:pos="8838"/>
      </w:tabs>
      <w:spacing w:after="0" w:line="240" w:lineRule="auto"/>
    </w:pPr>
  </w:style>
  <w:style w:type="character" w:customStyle="1" w:styleId="EncabezadoCar">
    <w:name w:val="Encabezado Car"/>
    <w:basedOn w:val="Fuentedeprrafopredeter"/>
    <w:link w:val="Encabezado"/>
    <w:rsid w:val="00F36004"/>
  </w:style>
  <w:style w:type="paragraph" w:styleId="Piedepgina">
    <w:name w:val="footer"/>
    <w:basedOn w:val="Normal"/>
    <w:link w:val="PiedepginaCar"/>
    <w:uiPriority w:val="99"/>
    <w:unhideWhenUsed/>
    <w:rsid w:val="00F3600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F36004"/>
  </w:style>
  <w:style w:type="table" w:styleId="Tablaconcuadrcula">
    <w:name w:val="Table Grid"/>
    <w:basedOn w:val="Tablanormal"/>
    <w:uiPriority w:val="39"/>
    <w:rsid w:val="00376D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B5007F"/>
    <w:pPr>
      <w:spacing w:before="100" w:beforeAutospacing="1" w:after="100" w:afterAutospacing="1" w:line="240" w:lineRule="auto"/>
    </w:pPr>
    <w:rPr>
      <w:rFonts w:ascii="Times New Roman" w:eastAsiaTheme="minorEastAsia" w:hAnsi="Times New Roman" w:cs="Times New Roman"/>
      <w:sz w:val="24"/>
      <w:szCs w:val="24"/>
      <w:lang w:val="es-419" w:eastAsia="es-419"/>
    </w:rPr>
  </w:style>
  <w:style w:type="paragraph" w:styleId="Prrafodelista">
    <w:name w:val="List Paragraph"/>
    <w:basedOn w:val="Normal"/>
    <w:uiPriority w:val="34"/>
    <w:qFormat/>
    <w:rsid w:val="00211CB8"/>
    <w:pPr>
      <w:ind w:left="720"/>
      <w:contextualSpacing/>
    </w:pPr>
    <w:rPr>
      <w:lang w:val="es-419"/>
    </w:rPr>
  </w:style>
  <w:style w:type="paragraph" w:styleId="Sinespaciado">
    <w:name w:val="No Spacing"/>
    <w:uiPriority w:val="1"/>
    <w:qFormat/>
    <w:rsid w:val="00234F9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962933">
      <w:bodyDiv w:val="1"/>
      <w:marLeft w:val="0"/>
      <w:marRight w:val="0"/>
      <w:marTop w:val="0"/>
      <w:marBottom w:val="0"/>
      <w:divBdr>
        <w:top w:val="none" w:sz="0" w:space="0" w:color="auto"/>
        <w:left w:val="none" w:sz="0" w:space="0" w:color="auto"/>
        <w:bottom w:val="none" w:sz="0" w:space="0" w:color="auto"/>
        <w:right w:val="none" w:sz="0" w:space="0" w:color="auto"/>
      </w:divBdr>
    </w:div>
    <w:div w:id="101845172">
      <w:bodyDiv w:val="1"/>
      <w:marLeft w:val="0"/>
      <w:marRight w:val="0"/>
      <w:marTop w:val="0"/>
      <w:marBottom w:val="0"/>
      <w:divBdr>
        <w:top w:val="none" w:sz="0" w:space="0" w:color="auto"/>
        <w:left w:val="none" w:sz="0" w:space="0" w:color="auto"/>
        <w:bottom w:val="none" w:sz="0" w:space="0" w:color="auto"/>
        <w:right w:val="none" w:sz="0" w:space="0" w:color="auto"/>
      </w:divBdr>
    </w:div>
    <w:div w:id="142432052">
      <w:bodyDiv w:val="1"/>
      <w:marLeft w:val="0"/>
      <w:marRight w:val="0"/>
      <w:marTop w:val="0"/>
      <w:marBottom w:val="0"/>
      <w:divBdr>
        <w:top w:val="none" w:sz="0" w:space="0" w:color="auto"/>
        <w:left w:val="none" w:sz="0" w:space="0" w:color="auto"/>
        <w:bottom w:val="none" w:sz="0" w:space="0" w:color="auto"/>
        <w:right w:val="none" w:sz="0" w:space="0" w:color="auto"/>
      </w:divBdr>
    </w:div>
    <w:div w:id="151340207">
      <w:bodyDiv w:val="1"/>
      <w:marLeft w:val="0"/>
      <w:marRight w:val="0"/>
      <w:marTop w:val="0"/>
      <w:marBottom w:val="0"/>
      <w:divBdr>
        <w:top w:val="none" w:sz="0" w:space="0" w:color="auto"/>
        <w:left w:val="none" w:sz="0" w:space="0" w:color="auto"/>
        <w:bottom w:val="none" w:sz="0" w:space="0" w:color="auto"/>
        <w:right w:val="none" w:sz="0" w:space="0" w:color="auto"/>
      </w:divBdr>
    </w:div>
    <w:div w:id="151800098">
      <w:bodyDiv w:val="1"/>
      <w:marLeft w:val="0"/>
      <w:marRight w:val="0"/>
      <w:marTop w:val="0"/>
      <w:marBottom w:val="0"/>
      <w:divBdr>
        <w:top w:val="none" w:sz="0" w:space="0" w:color="auto"/>
        <w:left w:val="none" w:sz="0" w:space="0" w:color="auto"/>
        <w:bottom w:val="none" w:sz="0" w:space="0" w:color="auto"/>
        <w:right w:val="none" w:sz="0" w:space="0" w:color="auto"/>
      </w:divBdr>
    </w:div>
    <w:div w:id="234248131">
      <w:bodyDiv w:val="1"/>
      <w:marLeft w:val="0"/>
      <w:marRight w:val="0"/>
      <w:marTop w:val="0"/>
      <w:marBottom w:val="0"/>
      <w:divBdr>
        <w:top w:val="none" w:sz="0" w:space="0" w:color="auto"/>
        <w:left w:val="none" w:sz="0" w:space="0" w:color="auto"/>
        <w:bottom w:val="none" w:sz="0" w:space="0" w:color="auto"/>
        <w:right w:val="none" w:sz="0" w:space="0" w:color="auto"/>
      </w:divBdr>
    </w:div>
    <w:div w:id="254049750">
      <w:bodyDiv w:val="1"/>
      <w:marLeft w:val="0"/>
      <w:marRight w:val="0"/>
      <w:marTop w:val="0"/>
      <w:marBottom w:val="0"/>
      <w:divBdr>
        <w:top w:val="none" w:sz="0" w:space="0" w:color="auto"/>
        <w:left w:val="none" w:sz="0" w:space="0" w:color="auto"/>
        <w:bottom w:val="none" w:sz="0" w:space="0" w:color="auto"/>
        <w:right w:val="none" w:sz="0" w:space="0" w:color="auto"/>
      </w:divBdr>
    </w:div>
    <w:div w:id="282662679">
      <w:bodyDiv w:val="1"/>
      <w:marLeft w:val="0"/>
      <w:marRight w:val="0"/>
      <w:marTop w:val="0"/>
      <w:marBottom w:val="0"/>
      <w:divBdr>
        <w:top w:val="none" w:sz="0" w:space="0" w:color="auto"/>
        <w:left w:val="none" w:sz="0" w:space="0" w:color="auto"/>
        <w:bottom w:val="none" w:sz="0" w:space="0" w:color="auto"/>
        <w:right w:val="none" w:sz="0" w:space="0" w:color="auto"/>
      </w:divBdr>
    </w:div>
    <w:div w:id="295141323">
      <w:bodyDiv w:val="1"/>
      <w:marLeft w:val="0"/>
      <w:marRight w:val="0"/>
      <w:marTop w:val="0"/>
      <w:marBottom w:val="0"/>
      <w:divBdr>
        <w:top w:val="none" w:sz="0" w:space="0" w:color="auto"/>
        <w:left w:val="none" w:sz="0" w:space="0" w:color="auto"/>
        <w:bottom w:val="none" w:sz="0" w:space="0" w:color="auto"/>
        <w:right w:val="none" w:sz="0" w:space="0" w:color="auto"/>
      </w:divBdr>
    </w:div>
    <w:div w:id="355085009">
      <w:bodyDiv w:val="1"/>
      <w:marLeft w:val="0"/>
      <w:marRight w:val="0"/>
      <w:marTop w:val="0"/>
      <w:marBottom w:val="0"/>
      <w:divBdr>
        <w:top w:val="none" w:sz="0" w:space="0" w:color="auto"/>
        <w:left w:val="none" w:sz="0" w:space="0" w:color="auto"/>
        <w:bottom w:val="none" w:sz="0" w:space="0" w:color="auto"/>
        <w:right w:val="none" w:sz="0" w:space="0" w:color="auto"/>
      </w:divBdr>
    </w:div>
    <w:div w:id="371225941">
      <w:bodyDiv w:val="1"/>
      <w:marLeft w:val="0"/>
      <w:marRight w:val="0"/>
      <w:marTop w:val="0"/>
      <w:marBottom w:val="0"/>
      <w:divBdr>
        <w:top w:val="none" w:sz="0" w:space="0" w:color="auto"/>
        <w:left w:val="none" w:sz="0" w:space="0" w:color="auto"/>
        <w:bottom w:val="none" w:sz="0" w:space="0" w:color="auto"/>
        <w:right w:val="none" w:sz="0" w:space="0" w:color="auto"/>
      </w:divBdr>
    </w:div>
    <w:div w:id="394737749">
      <w:bodyDiv w:val="1"/>
      <w:marLeft w:val="0"/>
      <w:marRight w:val="0"/>
      <w:marTop w:val="0"/>
      <w:marBottom w:val="0"/>
      <w:divBdr>
        <w:top w:val="none" w:sz="0" w:space="0" w:color="auto"/>
        <w:left w:val="none" w:sz="0" w:space="0" w:color="auto"/>
        <w:bottom w:val="none" w:sz="0" w:space="0" w:color="auto"/>
        <w:right w:val="none" w:sz="0" w:space="0" w:color="auto"/>
      </w:divBdr>
    </w:div>
    <w:div w:id="404840833">
      <w:bodyDiv w:val="1"/>
      <w:marLeft w:val="0"/>
      <w:marRight w:val="0"/>
      <w:marTop w:val="0"/>
      <w:marBottom w:val="0"/>
      <w:divBdr>
        <w:top w:val="none" w:sz="0" w:space="0" w:color="auto"/>
        <w:left w:val="none" w:sz="0" w:space="0" w:color="auto"/>
        <w:bottom w:val="none" w:sz="0" w:space="0" w:color="auto"/>
        <w:right w:val="none" w:sz="0" w:space="0" w:color="auto"/>
      </w:divBdr>
    </w:div>
    <w:div w:id="405346039">
      <w:bodyDiv w:val="1"/>
      <w:marLeft w:val="0"/>
      <w:marRight w:val="0"/>
      <w:marTop w:val="0"/>
      <w:marBottom w:val="0"/>
      <w:divBdr>
        <w:top w:val="none" w:sz="0" w:space="0" w:color="auto"/>
        <w:left w:val="none" w:sz="0" w:space="0" w:color="auto"/>
        <w:bottom w:val="none" w:sz="0" w:space="0" w:color="auto"/>
        <w:right w:val="none" w:sz="0" w:space="0" w:color="auto"/>
      </w:divBdr>
    </w:div>
    <w:div w:id="442504965">
      <w:bodyDiv w:val="1"/>
      <w:marLeft w:val="0"/>
      <w:marRight w:val="0"/>
      <w:marTop w:val="0"/>
      <w:marBottom w:val="0"/>
      <w:divBdr>
        <w:top w:val="none" w:sz="0" w:space="0" w:color="auto"/>
        <w:left w:val="none" w:sz="0" w:space="0" w:color="auto"/>
        <w:bottom w:val="none" w:sz="0" w:space="0" w:color="auto"/>
        <w:right w:val="none" w:sz="0" w:space="0" w:color="auto"/>
      </w:divBdr>
    </w:div>
    <w:div w:id="473647501">
      <w:bodyDiv w:val="1"/>
      <w:marLeft w:val="0"/>
      <w:marRight w:val="0"/>
      <w:marTop w:val="0"/>
      <w:marBottom w:val="0"/>
      <w:divBdr>
        <w:top w:val="none" w:sz="0" w:space="0" w:color="auto"/>
        <w:left w:val="none" w:sz="0" w:space="0" w:color="auto"/>
        <w:bottom w:val="none" w:sz="0" w:space="0" w:color="auto"/>
        <w:right w:val="none" w:sz="0" w:space="0" w:color="auto"/>
      </w:divBdr>
    </w:div>
    <w:div w:id="527568061">
      <w:bodyDiv w:val="1"/>
      <w:marLeft w:val="0"/>
      <w:marRight w:val="0"/>
      <w:marTop w:val="0"/>
      <w:marBottom w:val="0"/>
      <w:divBdr>
        <w:top w:val="none" w:sz="0" w:space="0" w:color="auto"/>
        <w:left w:val="none" w:sz="0" w:space="0" w:color="auto"/>
        <w:bottom w:val="none" w:sz="0" w:space="0" w:color="auto"/>
        <w:right w:val="none" w:sz="0" w:space="0" w:color="auto"/>
      </w:divBdr>
    </w:div>
    <w:div w:id="529994973">
      <w:bodyDiv w:val="1"/>
      <w:marLeft w:val="0"/>
      <w:marRight w:val="0"/>
      <w:marTop w:val="0"/>
      <w:marBottom w:val="0"/>
      <w:divBdr>
        <w:top w:val="none" w:sz="0" w:space="0" w:color="auto"/>
        <w:left w:val="none" w:sz="0" w:space="0" w:color="auto"/>
        <w:bottom w:val="none" w:sz="0" w:space="0" w:color="auto"/>
        <w:right w:val="none" w:sz="0" w:space="0" w:color="auto"/>
      </w:divBdr>
    </w:div>
    <w:div w:id="531505094">
      <w:bodyDiv w:val="1"/>
      <w:marLeft w:val="0"/>
      <w:marRight w:val="0"/>
      <w:marTop w:val="0"/>
      <w:marBottom w:val="0"/>
      <w:divBdr>
        <w:top w:val="none" w:sz="0" w:space="0" w:color="auto"/>
        <w:left w:val="none" w:sz="0" w:space="0" w:color="auto"/>
        <w:bottom w:val="none" w:sz="0" w:space="0" w:color="auto"/>
        <w:right w:val="none" w:sz="0" w:space="0" w:color="auto"/>
      </w:divBdr>
    </w:div>
    <w:div w:id="565531535">
      <w:bodyDiv w:val="1"/>
      <w:marLeft w:val="0"/>
      <w:marRight w:val="0"/>
      <w:marTop w:val="0"/>
      <w:marBottom w:val="0"/>
      <w:divBdr>
        <w:top w:val="none" w:sz="0" w:space="0" w:color="auto"/>
        <w:left w:val="none" w:sz="0" w:space="0" w:color="auto"/>
        <w:bottom w:val="none" w:sz="0" w:space="0" w:color="auto"/>
        <w:right w:val="none" w:sz="0" w:space="0" w:color="auto"/>
      </w:divBdr>
    </w:div>
    <w:div w:id="650839312">
      <w:bodyDiv w:val="1"/>
      <w:marLeft w:val="0"/>
      <w:marRight w:val="0"/>
      <w:marTop w:val="0"/>
      <w:marBottom w:val="0"/>
      <w:divBdr>
        <w:top w:val="none" w:sz="0" w:space="0" w:color="auto"/>
        <w:left w:val="none" w:sz="0" w:space="0" w:color="auto"/>
        <w:bottom w:val="none" w:sz="0" w:space="0" w:color="auto"/>
        <w:right w:val="none" w:sz="0" w:space="0" w:color="auto"/>
      </w:divBdr>
    </w:div>
    <w:div w:id="656155221">
      <w:bodyDiv w:val="1"/>
      <w:marLeft w:val="0"/>
      <w:marRight w:val="0"/>
      <w:marTop w:val="0"/>
      <w:marBottom w:val="0"/>
      <w:divBdr>
        <w:top w:val="none" w:sz="0" w:space="0" w:color="auto"/>
        <w:left w:val="none" w:sz="0" w:space="0" w:color="auto"/>
        <w:bottom w:val="none" w:sz="0" w:space="0" w:color="auto"/>
        <w:right w:val="none" w:sz="0" w:space="0" w:color="auto"/>
      </w:divBdr>
    </w:div>
    <w:div w:id="922838745">
      <w:bodyDiv w:val="1"/>
      <w:marLeft w:val="0"/>
      <w:marRight w:val="0"/>
      <w:marTop w:val="0"/>
      <w:marBottom w:val="0"/>
      <w:divBdr>
        <w:top w:val="none" w:sz="0" w:space="0" w:color="auto"/>
        <w:left w:val="none" w:sz="0" w:space="0" w:color="auto"/>
        <w:bottom w:val="none" w:sz="0" w:space="0" w:color="auto"/>
        <w:right w:val="none" w:sz="0" w:space="0" w:color="auto"/>
      </w:divBdr>
    </w:div>
    <w:div w:id="1000474093">
      <w:bodyDiv w:val="1"/>
      <w:marLeft w:val="0"/>
      <w:marRight w:val="0"/>
      <w:marTop w:val="0"/>
      <w:marBottom w:val="0"/>
      <w:divBdr>
        <w:top w:val="none" w:sz="0" w:space="0" w:color="auto"/>
        <w:left w:val="none" w:sz="0" w:space="0" w:color="auto"/>
        <w:bottom w:val="none" w:sz="0" w:space="0" w:color="auto"/>
        <w:right w:val="none" w:sz="0" w:space="0" w:color="auto"/>
      </w:divBdr>
    </w:div>
    <w:div w:id="1025593198">
      <w:bodyDiv w:val="1"/>
      <w:marLeft w:val="0"/>
      <w:marRight w:val="0"/>
      <w:marTop w:val="0"/>
      <w:marBottom w:val="0"/>
      <w:divBdr>
        <w:top w:val="none" w:sz="0" w:space="0" w:color="auto"/>
        <w:left w:val="none" w:sz="0" w:space="0" w:color="auto"/>
        <w:bottom w:val="none" w:sz="0" w:space="0" w:color="auto"/>
        <w:right w:val="none" w:sz="0" w:space="0" w:color="auto"/>
      </w:divBdr>
    </w:div>
    <w:div w:id="1045108331">
      <w:bodyDiv w:val="1"/>
      <w:marLeft w:val="0"/>
      <w:marRight w:val="0"/>
      <w:marTop w:val="0"/>
      <w:marBottom w:val="0"/>
      <w:divBdr>
        <w:top w:val="none" w:sz="0" w:space="0" w:color="auto"/>
        <w:left w:val="none" w:sz="0" w:space="0" w:color="auto"/>
        <w:bottom w:val="none" w:sz="0" w:space="0" w:color="auto"/>
        <w:right w:val="none" w:sz="0" w:space="0" w:color="auto"/>
      </w:divBdr>
    </w:div>
    <w:div w:id="1048140997">
      <w:bodyDiv w:val="1"/>
      <w:marLeft w:val="0"/>
      <w:marRight w:val="0"/>
      <w:marTop w:val="0"/>
      <w:marBottom w:val="0"/>
      <w:divBdr>
        <w:top w:val="none" w:sz="0" w:space="0" w:color="auto"/>
        <w:left w:val="none" w:sz="0" w:space="0" w:color="auto"/>
        <w:bottom w:val="none" w:sz="0" w:space="0" w:color="auto"/>
        <w:right w:val="none" w:sz="0" w:space="0" w:color="auto"/>
      </w:divBdr>
    </w:div>
    <w:div w:id="1062751770">
      <w:bodyDiv w:val="1"/>
      <w:marLeft w:val="0"/>
      <w:marRight w:val="0"/>
      <w:marTop w:val="0"/>
      <w:marBottom w:val="0"/>
      <w:divBdr>
        <w:top w:val="none" w:sz="0" w:space="0" w:color="auto"/>
        <w:left w:val="none" w:sz="0" w:space="0" w:color="auto"/>
        <w:bottom w:val="none" w:sz="0" w:space="0" w:color="auto"/>
        <w:right w:val="none" w:sz="0" w:space="0" w:color="auto"/>
      </w:divBdr>
    </w:div>
    <w:div w:id="1092238286">
      <w:bodyDiv w:val="1"/>
      <w:marLeft w:val="0"/>
      <w:marRight w:val="0"/>
      <w:marTop w:val="0"/>
      <w:marBottom w:val="0"/>
      <w:divBdr>
        <w:top w:val="none" w:sz="0" w:space="0" w:color="auto"/>
        <w:left w:val="none" w:sz="0" w:space="0" w:color="auto"/>
        <w:bottom w:val="none" w:sz="0" w:space="0" w:color="auto"/>
        <w:right w:val="none" w:sz="0" w:space="0" w:color="auto"/>
      </w:divBdr>
    </w:div>
    <w:div w:id="1129593968">
      <w:bodyDiv w:val="1"/>
      <w:marLeft w:val="0"/>
      <w:marRight w:val="0"/>
      <w:marTop w:val="0"/>
      <w:marBottom w:val="0"/>
      <w:divBdr>
        <w:top w:val="none" w:sz="0" w:space="0" w:color="auto"/>
        <w:left w:val="none" w:sz="0" w:space="0" w:color="auto"/>
        <w:bottom w:val="none" w:sz="0" w:space="0" w:color="auto"/>
        <w:right w:val="none" w:sz="0" w:space="0" w:color="auto"/>
      </w:divBdr>
    </w:div>
    <w:div w:id="1333948964">
      <w:bodyDiv w:val="1"/>
      <w:marLeft w:val="0"/>
      <w:marRight w:val="0"/>
      <w:marTop w:val="0"/>
      <w:marBottom w:val="0"/>
      <w:divBdr>
        <w:top w:val="none" w:sz="0" w:space="0" w:color="auto"/>
        <w:left w:val="none" w:sz="0" w:space="0" w:color="auto"/>
        <w:bottom w:val="none" w:sz="0" w:space="0" w:color="auto"/>
        <w:right w:val="none" w:sz="0" w:space="0" w:color="auto"/>
      </w:divBdr>
    </w:div>
    <w:div w:id="1381517697">
      <w:bodyDiv w:val="1"/>
      <w:marLeft w:val="0"/>
      <w:marRight w:val="0"/>
      <w:marTop w:val="0"/>
      <w:marBottom w:val="0"/>
      <w:divBdr>
        <w:top w:val="none" w:sz="0" w:space="0" w:color="auto"/>
        <w:left w:val="none" w:sz="0" w:space="0" w:color="auto"/>
        <w:bottom w:val="none" w:sz="0" w:space="0" w:color="auto"/>
        <w:right w:val="none" w:sz="0" w:space="0" w:color="auto"/>
      </w:divBdr>
    </w:div>
    <w:div w:id="1389764123">
      <w:bodyDiv w:val="1"/>
      <w:marLeft w:val="0"/>
      <w:marRight w:val="0"/>
      <w:marTop w:val="0"/>
      <w:marBottom w:val="0"/>
      <w:divBdr>
        <w:top w:val="none" w:sz="0" w:space="0" w:color="auto"/>
        <w:left w:val="none" w:sz="0" w:space="0" w:color="auto"/>
        <w:bottom w:val="none" w:sz="0" w:space="0" w:color="auto"/>
        <w:right w:val="none" w:sz="0" w:space="0" w:color="auto"/>
      </w:divBdr>
    </w:div>
    <w:div w:id="1405878857">
      <w:bodyDiv w:val="1"/>
      <w:marLeft w:val="0"/>
      <w:marRight w:val="0"/>
      <w:marTop w:val="0"/>
      <w:marBottom w:val="0"/>
      <w:divBdr>
        <w:top w:val="none" w:sz="0" w:space="0" w:color="auto"/>
        <w:left w:val="none" w:sz="0" w:space="0" w:color="auto"/>
        <w:bottom w:val="none" w:sz="0" w:space="0" w:color="auto"/>
        <w:right w:val="none" w:sz="0" w:space="0" w:color="auto"/>
      </w:divBdr>
    </w:div>
    <w:div w:id="1423989923">
      <w:bodyDiv w:val="1"/>
      <w:marLeft w:val="0"/>
      <w:marRight w:val="0"/>
      <w:marTop w:val="0"/>
      <w:marBottom w:val="0"/>
      <w:divBdr>
        <w:top w:val="none" w:sz="0" w:space="0" w:color="auto"/>
        <w:left w:val="none" w:sz="0" w:space="0" w:color="auto"/>
        <w:bottom w:val="none" w:sz="0" w:space="0" w:color="auto"/>
        <w:right w:val="none" w:sz="0" w:space="0" w:color="auto"/>
      </w:divBdr>
    </w:div>
    <w:div w:id="1447459095">
      <w:bodyDiv w:val="1"/>
      <w:marLeft w:val="0"/>
      <w:marRight w:val="0"/>
      <w:marTop w:val="0"/>
      <w:marBottom w:val="0"/>
      <w:divBdr>
        <w:top w:val="none" w:sz="0" w:space="0" w:color="auto"/>
        <w:left w:val="none" w:sz="0" w:space="0" w:color="auto"/>
        <w:bottom w:val="none" w:sz="0" w:space="0" w:color="auto"/>
        <w:right w:val="none" w:sz="0" w:space="0" w:color="auto"/>
      </w:divBdr>
    </w:div>
    <w:div w:id="1487673239">
      <w:bodyDiv w:val="1"/>
      <w:marLeft w:val="0"/>
      <w:marRight w:val="0"/>
      <w:marTop w:val="0"/>
      <w:marBottom w:val="0"/>
      <w:divBdr>
        <w:top w:val="none" w:sz="0" w:space="0" w:color="auto"/>
        <w:left w:val="none" w:sz="0" w:space="0" w:color="auto"/>
        <w:bottom w:val="none" w:sz="0" w:space="0" w:color="auto"/>
        <w:right w:val="none" w:sz="0" w:space="0" w:color="auto"/>
      </w:divBdr>
    </w:div>
    <w:div w:id="1491361565">
      <w:bodyDiv w:val="1"/>
      <w:marLeft w:val="0"/>
      <w:marRight w:val="0"/>
      <w:marTop w:val="0"/>
      <w:marBottom w:val="0"/>
      <w:divBdr>
        <w:top w:val="none" w:sz="0" w:space="0" w:color="auto"/>
        <w:left w:val="none" w:sz="0" w:space="0" w:color="auto"/>
        <w:bottom w:val="none" w:sz="0" w:space="0" w:color="auto"/>
        <w:right w:val="none" w:sz="0" w:space="0" w:color="auto"/>
      </w:divBdr>
    </w:div>
    <w:div w:id="1680351740">
      <w:bodyDiv w:val="1"/>
      <w:marLeft w:val="0"/>
      <w:marRight w:val="0"/>
      <w:marTop w:val="0"/>
      <w:marBottom w:val="0"/>
      <w:divBdr>
        <w:top w:val="none" w:sz="0" w:space="0" w:color="auto"/>
        <w:left w:val="none" w:sz="0" w:space="0" w:color="auto"/>
        <w:bottom w:val="none" w:sz="0" w:space="0" w:color="auto"/>
        <w:right w:val="none" w:sz="0" w:space="0" w:color="auto"/>
      </w:divBdr>
    </w:div>
    <w:div w:id="1704548864">
      <w:bodyDiv w:val="1"/>
      <w:marLeft w:val="0"/>
      <w:marRight w:val="0"/>
      <w:marTop w:val="0"/>
      <w:marBottom w:val="0"/>
      <w:divBdr>
        <w:top w:val="none" w:sz="0" w:space="0" w:color="auto"/>
        <w:left w:val="none" w:sz="0" w:space="0" w:color="auto"/>
        <w:bottom w:val="none" w:sz="0" w:space="0" w:color="auto"/>
        <w:right w:val="none" w:sz="0" w:space="0" w:color="auto"/>
      </w:divBdr>
    </w:div>
    <w:div w:id="1798184295">
      <w:bodyDiv w:val="1"/>
      <w:marLeft w:val="0"/>
      <w:marRight w:val="0"/>
      <w:marTop w:val="0"/>
      <w:marBottom w:val="0"/>
      <w:divBdr>
        <w:top w:val="none" w:sz="0" w:space="0" w:color="auto"/>
        <w:left w:val="none" w:sz="0" w:space="0" w:color="auto"/>
        <w:bottom w:val="none" w:sz="0" w:space="0" w:color="auto"/>
        <w:right w:val="none" w:sz="0" w:space="0" w:color="auto"/>
      </w:divBdr>
    </w:div>
    <w:div w:id="1988821352">
      <w:bodyDiv w:val="1"/>
      <w:marLeft w:val="0"/>
      <w:marRight w:val="0"/>
      <w:marTop w:val="0"/>
      <w:marBottom w:val="0"/>
      <w:divBdr>
        <w:top w:val="none" w:sz="0" w:space="0" w:color="auto"/>
        <w:left w:val="none" w:sz="0" w:space="0" w:color="auto"/>
        <w:bottom w:val="none" w:sz="0" w:space="0" w:color="auto"/>
        <w:right w:val="none" w:sz="0" w:space="0" w:color="auto"/>
      </w:divBdr>
    </w:div>
    <w:div w:id="2082831039">
      <w:bodyDiv w:val="1"/>
      <w:marLeft w:val="0"/>
      <w:marRight w:val="0"/>
      <w:marTop w:val="0"/>
      <w:marBottom w:val="0"/>
      <w:divBdr>
        <w:top w:val="none" w:sz="0" w:space="0" w:color="auto"/>
        <w:left w:val="none" w:sz="0" w:space="0" w:color="auto"/>
        <w:bottom w:val="none" w:sz="0" w:space="0" w:color="auto"/>
        <w:right w:val="none" w:sz="0" w:space="0" w:color="auto"/>
      </w:divBdr>
    </w:div>
    <w:div w:id="2111929876">
      <w:bodyDiv w:val="1"/>
      <w:marLeft w:val="0"/>
      <w:marRight w:val="0"/>
      <w:marTop w:val="0"/>
      <w:marBottom w:val="0"/>
      <w:divBdr>
        <w:top w:val="none" w:sz="0" w:space="0" w:color="auto"/>
        <w:left w:val="none" w:sz="0" w:space="0" w:color="auto"/>
        <w:bottom w:val="none" w:sz="0" w:space="0" w:color="auto"/>
        <w:right w:val="none" w:sz="0" w:space="0" w:color="auto"/>
      </w:divBdr>
    </w:div>
    <w:div w:id="21406101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 Id="rId15"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cid:image001.png@01D2E4F6.28A315B0" TargetMode="External"/><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4E166441F8F4F7DBA9F3207BC32990E"/>
        <w:category>
          <w:name w:val="General"/>
          <w:gallery w:val="placeholder"/>
        </w:category>
        <w:types>
          <w:type w:val="bbPlcHdr"/>
        </w:types>
        <w:behaviors>
          <w:behavior w:val="content"/>
        </w:behaviors>
        <w:guid w:val="{2CD909FE-0B20-4B06-87EE-23ED8BBF0070}"/>
      </w:docPartPr>
      <w:docPartBody>
        <w:p w:rsidR="00000000" w:rsidRDefault="0013070F" w:rsidP="0013070F">
          <w:pPr>
            <w:pStyle w:val="54E166441F8F4F7DBA9F3207BC32990E"/>
          </w:pPr>
          <w:r w:rsidRPr="008F4321">
            <w:rPr>
              <w:rStyle w:val="Textodelmarcadordeposicin"/>
            </w:rPr>
            <w:t>Elija un elemento.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formatting="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379F"/>
    <w:rsid w:val="0013070F"/>
    <w:rsid w:val="001C458C"/>
    <w:rsid w:val="00207959"/>
    <w:rsid w:val="002E4D32"/>
    <w:rsid w:val="00383F1C"/>
    <w:rsid w:val="004A2727"/>
    <w:rsid w:val="0052134D"/>
    <w:rsid w:val="00537BA4"/>
    <w:rsid w:val="00541C6C"/>
    <w:rsid w:val="006544AC"/>
    <w:rsid w:val="006A50FC"/>
    <w:rsid w:val="006E35BF"/>
    <w:rsid w:val="0077379F"/>
    <w:rsid w:val="0078461D"/>
    <w:rsid w:val="007C1ABD"/>
    <w:rsid w:val="008B444B"/>
    <w:rsid w:val="009231BF"/>
    <w:rsid w:val="00945122"/>
    <w:rsid w:val="00C4661A"/>
    <w:rsid w:val="00CE5906"/>
    <w:rsid w:val="00D43705"/>
    <w:rsid w:val="00ED43C5"/>
    <w:rsid w:val="00FB1903"/>
    <w:rsid w:val="00FD5F3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13070F"/>
    <w:rPr>
      <w:color w:val="808080"/>
    </w:rPr>
  </w:style>
  <w:style w:type="paragraph" w:customStyle="1" w:styleId="089ECB048D84414692FA0A20FA6940F1">
    <w:name w:val="089ECB048D84414692FA0A20FA6940F1"/>
    <w:rsid w:val="00541C6C"/>
    <w:pPr>
      <w:spacing w:line="278" w:lineRule="auto"/>
    </w:pPr>
    <w:rPr>
      <w:kern w:val="2"/>
      <w:sz w:val="24"/>
      <w:szCs w:val="24"/>
      <w14:ligatures w14:val="standardContextual"/>
    </w:rPr>
  </w:style>
  <w:style w:type="paragraph" w:customStyle="1" w:styleId="54E166441F8F4F7DBA9F3207BC32990E">
    <w:name w:val="54E166441F8F4F7DBA9F3207BC32990E"/>
    <w:rsid w:val="0013070F"/>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126F20D58B83F64A8CDD1C5C1FF69842" ma:contentTypeVersion="10" ma:contentTypeDescription="Crear nuevo documento." ma:contentTypeScope="" ma:versionID="9255f9a326eea96cd4de7f2389545dcc">
  <xsd:schema xmlns:xsd="http://www.w3.org/2001/XMLSchema" xmlns:xs="http://www.w3.org/2001/XMLSchema" xmlns:p="http://schemas.microsoft.com/office/2006/metadata/properties" xmlns:ns3="167d3847-f918-4a7b-a51d-405dce038279" xmlns:ns4="e66f324d-f3af-43c6-8cbe-f5dbae6228ea" targetNamespace="http://schemas.microsoft.com/office/2006/metadata/properties" ma:root="true" ma:fieldsID="59dee9b0d59d73c82aebae10646f1bc4" ns3:_="" ns4:_="">
    <xsd:import namespace="167d3847-f918-4a7b-a51d-405dce038279"/>
    <xsd:import namespace="e66f324d-f3af-43c6-8cbe-f5dbae6228ea"/>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ServiceGenerationTime" minOccurs="0"/>
                <xsd:element ref="ns4:MediaServiceEventHashCode" minOccurs="0"/>
                <xsd:element ref="ns4: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67d3847-f918-4a7b-a51d-405dce038279" elementFormDefault="qualified">
    <xsd:import namespace="http://schemas.microsoft.com/office/2006/documentManagement/types"/>
    <xsd:import namespace="http://schemas.microsoft.com/office/infopath/2007/PartnerControls"/>
    <xsd:element name="SharedWithUsers" ma:index="8" nillable="true" ma:displayName="Compartido con"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description="" ma:internalName="SharedWithDetails" ma:readOnly="true">
      <xsd:simpleType>
        <xsd:restriction base="dms:Note">
          <xsd:maxLength value="255"/>
        </xsd:restriction>
      </xsd:simpleType>
    </xsd:element>
    <xsd:element name="SharingHintHash" ma:index="10" nillable="true" ma:displayName="Hash de la sugerencia para compartir"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66f324d-f3af-43c6-8cbe-f5dbae6228ea"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B378D7D-8F8A-4E15-9E69-BA183D8DC49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67d3847-f918-4a7b-a51d-405dce038279"/>
    <ds:schemaRef ds:uri="e66f324d-f3af-43c6-8cbe-f5dbae6228e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E13D423-217A-459C-9879-B938A86CBC29}">
  <ds:schemaRefs>
    <ds:schemaRef ds:uri="http://schemas.microsoft.com/sharepoint/v3/contenttype/forms"/>
  </ds:schemaRefs>
</ds:datastoreItem>
</file>

<file path=customXml/itemProps3.xml><?xml version="1.0" encoding="utf-8"?>
<ds:datastoreItem xmlns:ds="http://schemas.openxmlformats.org/officeDocument/2006/customXml" ds:itemID="{AF55E61D-1896-4E51-82A9-E198F987CF3B}">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291</TotalTime>
  <Pages>3</Pages>
  <Words>409</Words>
  <Characters>2610</Characters>
  <Application>Microsoft Office Word</Application>
  <DocSecurity>0</DocSecurity>
  <Lines>143</Lines>
  <Paragraphs>68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Claudia Moreno Peralta</dc:creator>
  <cp:keywords/>
  <dc:description/>
  <cp:lastModifiedBy>Analista Red 11</cp:lastModifiedBy>
  <cp:revision>40</cp:revision>
  <dcterms:created xsi:type="dcterms:W3CDTF">2022-06-04T23:46:00Z</dcterms:created>
  <dcterms:modified xsi:type="dcterms:W3CDTF">2025-09-24T15:10:00Z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0x010100126F20D58B83F64A8CDD1C5C1FF69842</vt:lpwstr>
  </property>
</Properties>
</file>