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CARDIOVASCULAR DE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890212568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