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891411743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 I.C.39,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205, 207, 213, 231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