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Santander</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CURVILCO DEL ORIENTE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800038389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N.°857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2026-10-31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MATERIAL DE OSTEOSINTESIS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Adherencia</w:t>
            </w:r>
          </w:p>
        </w:tc>
      </w:tr>
      <w:tr>
        <w:tc>
          <w:tcPr>
            <w:tcW w:type="dxa" w:w="4607"/>
          </w:tcPr>
          <w:p>
            <w:r>
              <w:t>Nombre del Indicador</w:t>
            </w:r>
          </w:p>
        </w:tc>
        <w:tc>
          <w:tcPr>
            <w:tcW w:type="dxa" w:w="4607"/>
          </w:tcPr>
          <w:p>
            <w:r>
              <w:t>Adherencia a la herramienta Tecnológica designada por la compañía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I.C.119</w:t>
            </w:r>
          </w:p>
        </w:tc>
      </w:tr>
      <w:tr>
        <w:tc>
          <w:tcPr>
            <w:tcW w:type="dxa" w:w="4607"/>
          </w:tcPr>
          <w:p>
            <w:r>
              <w:t>Descripción</w:t>
            </w:r>
          </w:p>
        </w:tc>
        <w:tc>
          <w:tcPr>
            <w:tcW w:type="dxa" w:w="4607"/>
          </w:tcPr>
          <w:p>
            <w:r>
              <w:t>Medir la gestión oportuna del proveedor en las herramientas tecnológicas designadas por la compañía, frente a los servicios autorizados.</w:t>
            </w:r>
          </w:p>
        </w:tc>
      </w:tr>
      <w:tr>
        <w:tc>
          <w:tcPr>
            <w:tcW w:type="dxa" w:w="4607"/>
          </w:tcPr>
          <w:p>
            <w:r>
              <w:t>Fórmula</w:t>
            </w:r>
          </w:p>
        </w:tc>
        <w:tc>
          <w:tcPr>
            <w:tcW w:type="dxa" w:w="4607"/>
          </w:tcPr>
          <w:p>
            <w:r>
              <w:t>Número de cargues completos en bitácora *</w:t>
              <w:br/>
              <w:t>100 / Número total de autorizaciones asignadas</w:t>
            </w:r>
          </w:p>
        </w:tc>
      </w:tr>
      <w:tr>
        <w:tc>
          <w:tcPr>
            <w:tcW w:type="dxa" w:w="4607"/>
          </w:tcPr>
          <w:p>
            <w:r>
              <w:t>Numerador</w:t>
            </w:r>
          </w:p>
        </w:tc>
        <w:tc>
          <w:tcPr>
            <w:tcW w:type="dxa" w:w="4607"/>
          </w:tcPr>
          <w:p>
            <w:r>
              <w:t>Número de cargues completos en bitácora *</w:t>
              <w:br/>
              <w:t>100</w:t>
            </w:r>
          </w:p>
        </w:tc>
      </w:tr>
      <w:tr>
        <w:tc>
          <w:tcPr>
            <w:tcW w:type="dxa" w:w="4607"/>
          </w:tcPr>
          <w:p>
            <w:r>
              <w:t>Fuente del Numerador</w:t>
            </w:r>
          </w:p>
        </w:tc>
        <w:tc>
          <w:tcPr>
            <w:tcW w:type="dxa" w:w="4607"/>
          </w:tcPr>
          <w:p>
            <w:r>
              <w:t>Bitácoras de la herramienta tecnológica de la compañía</w:t>
            </w:r>
          </w:p>
        </w:tc>
      </w:tr>
      <w:tr>
        <w:tc>
          <w:tcPr>
            <w:tcW w:type="dxa" w:w="4607"/>
          </w:tcPr>
          <w:p>
            <w:r>
              <w:t>Denominador</w:t>
            </w:r>
          </w:p>
        </w:tc>
        <w:tc>
          <w:tcPr>
            <w:tcW w:type="dxa" w:w="4607"/>
          </w:tcPr>
          <w:p>
            <w:r>
              <w:t>Número total de autorizaciones asignadas</w:t>
            </w:r>
          </w:p>
        </w:tc>
      </w:tr>
      <w:tr>
        <w:tc>
          <w:tcPr>
            <w:tcW w:type="dxa" w:w="4607"/>
          </w:tcPr>
          <w:p>
            <w:r>
              <w:t>Fuente del Denominador</w:t>
            </w:r>
          </w:p>
        </w:tc>
        <w:tc>
          <w:tcPr>
            <w:tcW w:type="dxa" w:w="4607"/>
          </w:tcPr>
          <w:p>
            <w:r>
              <w:t>Bitácoras de la herramienta tecnológica de la compañía</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 xml:space="preserve">Mensual </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El registro en la bitácora de la herramienta tecnológica de la compañía, contará con la siguiente información (compromiso de entrega, novedades, entrega efectiva):</w:t>
              <w:br/>
              <w:t>Compromiso de entrega: paciente – fecha – hora de cirugía – fecha – hora de entrega – material – persona de contacto en la IPS. (Registro en bitácora máximo 2 días hábiles)</w:t>
              <w:br/>
              <w:t>Novedades: paciente- IPS -descripción del evento – notificación del evento IPS, ente autorizador (nombre-fecha-hora), requiere soporte técnico (nombre-fecha-hora). (Registro en bitácora máximo 2 días hábiles)</w:t>
              <w:br/>
              <w:t>Entrega efectiva: fecha - hora de entrega –material entregado- persona que recibe en la IPS (Registro en bitácora máximo 4 días hábiles).</w:t>
              <w:br/>
              <w:t>*En las autorizaciones vencidas debe quedar la nota de escalamiento a la operación para renovar la autorización.</w:t>
              <w:br/>
              <w:t>* En autorizaciones anuladas por causa del proveedor debe quedar la nota de la causa por parte del prestador para no dar cumplimiento al servicio.</w:t>
              <w:br/>
              <w:t>* El proveedor deberá registrar en la bitácora del aplicativo tecnológico de la compañía el compromiso de entrega, novedades y entrega efectiva de cada uno de los suministros autorizados.</w:t>
            </w:r>
          </w:p>
        </w:tc>
      </w:tr>
      <w:tr>
        <w:tc>
          <w:tcPr>
            <w:tcW w:type="dxa" w:w="4607"/>
          </w:tcPr>
          <w:p>
            <w:r>
              <w:t>Metodología</w:t>
            </w:r>
          </w:p>
        </w:tc>
        <w:tc>
          <w:tcPr>
            <w:tcW w:type="dxa" w:w="4607"/>
          </w:tcPr>
          <w:p>
            <w:r>
              <w:t>Muestra: Se realizará la validación del 100% de la autorización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Falla en la herramienta de gestión establecida por la compañía</w:t>
              <w:br/>
              <w:t>•</w:t>
              <w:tab/>
              <w:t>Autorización anulada siempre y cuando no sea por una causa atribuible al proveedor</w:t>
              <w:br/>
              <w:t>•</w:t>
              <w:tab/>
              <w:t>Pendiente programación de cirugía.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AHT07</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Calidad </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Calidad del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I.C.120</w:t>
            </w:r>
          </w:p>
        </w:tc>
      </w:tr>
      <w:tr>
        <w:tc>
          <w:tcPr>
            <w:tcW w:type="dxa" w:w="4607"/>
          </w:tcPr>
          <w:p>
            <w:r>
              <w:t>Descripción</w:t>
            </w:r>
          </w:p>
        </w:tc>
        <w:tc>
          <w:tcPr>
            <w:tcW w:type="dxa" w:w="4607"/>
          </w:tcPr>
          <w:p>
            <w:r>
              <w:t xml:space="preserve">Medir la calidad del material de osteosíntesis suministrado por el proveedor para los asegurados de la compañía. </w:t>
            </w:r>
          </w:p>
        </w:tc>
      </w:tr>
      <w:tr>
        <w:tc>
          <w:tcPr>
            <w:tcW w:type="dxa" w:w="4607"/>
          </w:tcPr>
          <w:p>
            <w:r>
              <w:t>Fórmula</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Numerador</w:t>
            </w:r>
          </w:p>
        </w:tc>
        <w:tc>
          <w:tcPr>
            <w:tcW w:type="dxa" w:w="4607"/>
          </w:tcPr>
          <w:p>
            <w:r>
              <w:t>Número de reintervenciones asociadas a fatiga o fallas de calidad del material de osteosíntesis (extracciones de dispositivos relacionados con ruptura, cambios en el diseño no notificados al cliente, fallas o falencias en las materias primas del dispositivo)</w:t>
            </w:r>
          </w:p>
        </w:tc>
      </w:tr>
      <w:tr>
        <w:tc>
          <w:tcPr>
            <w:tcW w:type="dxa" w:w="4607"/>
          </w:tcPr>
          <w:p>
            <w:r>
              <w:t>Fuente del Numerador</w:t>
            </w:r>
          </w:p>
        </w:tc>
        <w:tc>
          <w:tcPr>
            <w:tcW w:type="dxa" w:w="4607"/>
          </w:tcPr>
          <w:p>
            <w:r>
              <w:t>Base de datos de autorizaciones del aplicativo Cuida 2.0, extracciones, bitácoras Cuida II, Sistemas de información del proveedor, encuestas médicos tratantes, análisis de caso, INVITA, reportes de calidad o de producción originadora y demás elementos que permitan la identificación de casos reintervenciones.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reintervenciones asociadas a fatiga o fallas de calidad del material de osteosíntesis</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*Las reintervenciones: extracciones de dispositivos relacionados con ruptura, cambios en el diseño no notificados al cliente, fallas o falencias en las materias primas del dispositivo.</w:t>
              <w:br/>
              <w:t>*En caso de que se presente posible falla del material o fractura del mismo, se debe garantizar el envío del material fracturado a la respectiva casa fabricante para que se le realice la trazabilidad de acuerdo al lote de fabricación que tiene cada pieza de material y así se genere un informe de total confianza para POSITIVA ARL y poder definir si el evento ocurrido tiene o no que ver con la calidad de fabricación.</w:t>
            </w:r>
          </w:p>
        </w:tc>
      </w:tr>
      <w:tr>
        <w:tc>
          <w:tcPr>
            <w:tcW w:type="dxa" w:w="4607"/>
          </w:tcPr>
          <w:p>
            <w:r>
              <w:t>Metodología</w:t>
            </w:r>
          </w:p>
        </w:tc>
        <w:tc>
          <w:tcPr>
            <w:tcW w:type="dxa" w:w="4607"/>
          </w:tcPr>
          <w:p>
            <w:r>
              <w:t>* Con base en la información recolectada validará la existencia de reintervenciones en el periodo.</w:t>
              <w:br/>
              <w:t>* Se notificará y requerirá al proveedor información relacionada con las reintervenciones identificadas, allegando la información necesaria de los casos.</w:t>
              <w:br/>
              <w:t>*El proveedor tiene un plazo de 10 días hábiles para demostrar que la falla no es atribuible a la calidad del producto.</w:t>
              <w:br/>
              <w:t xml:space="preserve">* De acuerdo con los resultados se aplicará la fórmula del indicador. </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CMO08</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entrega de material de osteosíntesis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I.C.118</w:t>
            </w:r>
          </w:p>
        </w:tc>
      </w:tr>
      <w:tr>
        <w:tc>
          <w:tcPr>
            <w:tcW w:type="dxa" w:w="4607"/>
          </w:tcPr>
          <w:p>
            <w:r>
              <w:t>Descripción</w:t>
            </w:r>
          </w:p>
        </w:tc>
        <w:tc>
          <w:tcPr>
            <w:tcW w:type="dxa" w:w="4607"/>
          </w:tcPr>
          <w:p>
            <w:r>
              <w:t xml:space="preserve">Medir la oportunidad en el suministro del material de osteosíntesis para los asegurados de la compañía. </w:t>
            </w:r>
          </w:p>
        </w:tc>
      </w:tr>
      <w:tr>
        <w:tc>
          <w:tcPr>
            <w:tcW w:type="dxa" w:w="4607"/>
          </w:tcPr>
          <w:p>
            <w:r>
              <w:t>Fórmula</w:t>
            </w:r>
          </w:p>
        </w:tc>
        <w:tc>
          <w:tcPr>
            <w:tcW w:type="dxa" w:w="4607"/>
          </w:tcPr>
          <w:p>
            <w:r>
              <w:t>Número de autorizaciones entregadas completas según compromiso adquirido en tiempo por el proveedor *100</w:t>
              <w:br/>
              <w:t xml:space="preserve">Número total de autorizaciones asignadas al proveedor. </w:t>
              <w:br/>
            </w:r>
          </w:p>
        </w:tc>
      </w:tr>
      <w:tr>
        <w:tc>
          <w:tcPr>
            <w:tcW w:type="dxa" w:w="4607"/>
          </w:tcPr>
          <w:p>
            <w:r>
              <w:t>Numerador</w:t>
            </w:r>
          </w:p>
        </w:tc>
        <w:tc>
          <w:tcPr>
            <w:tcW w:type="dxa" w:w="4607"/>
          </w:tcPr>
          <w:p>
            <w:r>
              <w:t>Número de autorizaciones entregadas completas según compromiso adquirido en tiempo por el proveedor *100</w:t>
            </w:r>
          </w:p>
        </w:tc>
      </w:tr>
      <w:tr>
        <w:tc>
          <w:tcPr>
            <w:tcW w:type="dxa" w:w="4607"/>
          </w:tcPr>
          <w:p>
            <w:r>
              <w:t>Fuente del Numerador</w:t>
            </w:r>
          </w:p>
        </w:tc>
        <w:tc>
          <w:tcPr>
            <w:tcW w:type="dxa" w:w="4607"/>
          </w:tcPr>
          <w:p>
            <w:r>
              <w:t>Soportes de las remisiones con fecha- hora -firma de recibido por parte de la IPS</w:t>
            </w:r>
          </w:p>
        </w:tc>
      </w:tr>
      <w:tr>
        <w:tc>
          <w:tcPr>
            <w:tcW w:type="dxa" w:w="4607"/>
          </w:tcPr>
          <w:p>
            <w:r>
              <w:t>Denominador</w:t>
            </w:r>
          </w:p>
        </w:tc>
        <w:tc>
          <w:tcPr>
            <w:tcW w:type="dxa" w:w="4607"/>
          </w:tcPr>
          <w:p>
            <w:r>
              <w:t xml:space="preserve">Número total de autorizaciones asignadas al proveedor. </w:t>
            </w:r>
          </w:p>
        </w:tc>
      </w:tr>
      <w:tr>
        <w:tc>
          <w:tcPr>
            <w:tcW w:type="dxa" w:w="4607"/>
          </w:tcPr>
          <w:p>
            <w:r>
              <w:t>Fuente del Denominador</w:t>
            </w:r>
          </w:p>
        </w:tc>
        <w:tc>
          <w:tcPr>
            <w:tcW w:type="dxa" w:w="4607"/>
          </w:tcPr>
          <w:p>
            <w:r>
              <w:t xml:space="preserve">Reporte de autorizaciones de la herramienta tecnológica designada por la compañía. </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0.98</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 oportunidad de la entrega se validará de acuerdo a los tiempos definidos y compromiso de entrega.</w:t>
              <w:br/>
              <w:t>*El proveedor entregará el 100% de los soportes de las remisiones con fecha- hora -firma de recibido por parte de la IPS atendidos en el periodo evaluado.</w:t>
            </w:r>
          </w:p>
        </w:tc>
      </w:tr>
      <w:tr>
        <w:tc>
          <w:tcPr>
            <w:tcW w:type="dxa" w:w="4607"/>
          </w:tcPr>
          <w:p>
            <w:r>
              <w:t>Metodología</w:t>
            </w:r>
          </w:p>
        </w:tc>
        <w:tc>
          <w:tcPr>
            <w:tcW w:type="dxa" w:w="4607"/>
          </w:tcPr>
          <w:p>
            <w:r>
              <w:t>Muestra: Se realizará la validación del 100% de la autorización asignadas en el periodo a evaluar.</w:t>
              <w:br/>
              <w:br/>
              <w:t xml:space="preserve">Metodología denominadora: </w:t>
              <w:br/>
              <w:br/>
              <w:t xml:space="preserve">1. Se revisará en la herramienta tecnológica todas las autorizaciones asignadas al proveedor. </w:t>
              <w:br/>
              <w:t xml:space="preserve">2. Se excluirán de la medición las autorizaciones que cumplan con los criterios definidos como exclusión. </w:t>
              <w:br/>
              <w:br/>
              <w:t xml:space="preserve">Metodología numeradora: </w:t>
              <w:br/>
              <w:br/>
              <w:t>1. Se revisará en la herramienta tecnológica que todas las autorizaciones cuenten con lo definido en el indicador(Observaciones) según aplique.</w:t>
            </w:r>
          </w:p>
        </w:tc>
      </w:tr>
      <w:tr>
        <w:tc>
          <w:tcPr>
            <w:tcW w:type="dxa" w:w="4607"/>
          </w:tcPr>
          <w:p>
            <w:r>
              <w:t>Exclusiones</w:t>
            </w:r>
          </w:p>
        </w:tc>
        <w:tc>
          <w:tcPr>
            <w:tcW w:type="dxa" w:w="4607"/>
          </w:tcPr>
          <w:p>
            <w:r>
              <w:t>•</w:t>
              <w:tab/>
              <w:t>Situación especial que genere un impedimento de entrega oportuna del material correspondiente, con evidencia de reporte.</w:t>
              <w:br/>
              <w:t>•</w:t>
              <w:tab/>
              <w:t>Autorización anulada, siempre y cuando el motivo de la anulación no sea por inoportunidad de entrega del material.</w:t>
              <w:br/>
              <w:t>•</w:t>
              <w:tab/>
              <w:t>Autorización Anulada por vencimiento.</w:t>
              <w:br/>
              <w:t>•</w:t>
              <w:tab/>
              <w:t>Médico/IPS, no aceptan el material entregado por el proveedor. (calidad del material)</w:t>
              <w:br/>
              <w:t>•</w:t>
              <w:tab/>
              <w:t>Proveedor entrega el material, sin embargo, no es utilizado en el procedimiento quirúrgico.</w:t>
              <w:br/>
              <w:t>•</w:t>
              <w:tab/>
              <w:t>Pendiente programación de cirugía.</w:t>
              <w:br/>
              <w:t>•</w:t>
              <w:tab/>
              <w:t>Motivos de fuerza mayor. (mediante reporte mensual definiendo los criterios de no cumplimiento)</w:t>
              <w:br/>
              <w:t>•</w:t>
              <w:tab/>
              <w:t>En los casos donde el médico cirujano ordene material de osteosíntesis adicional al autorizado posterior a la entrega por parte del proveedor de lo autorizado inicialmente</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OEM06</w:t>
            </w:r>
          </w:p>
        </w:tc>
      </w:tr>
      <w:tr>
        <w:tc>
          <w:tcPr>
            <w:tcW w:type="dxa" w:w="4607"/>
          </w:tcPr>
          <w:p>
            <w:r>
              <w:t>Tipo de Proveedor</w:t>
            </w:r>
          </w:p>
        </w:tc>
        <w:tc>
          <w:tcPr>
            <w:tcW w:type="dxa" w:w="4607"/>
          </w:tcPr>
          <w:p>
            <w:r>
              <w:t>MATERIAL DE OSTEOSINTESIS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MATERIAL DE OSTEOSINTESIS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Autorizaciones anuladas por no disponibilidad del material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I.C.121</w:t>
            </w:r>
          </w:p>
        </w:tc>
      </w:tr>
      <w:tr>
        <w:tc>
          <w:tcPr>
            <w:tcW w:type="dxa" w:w="4607"/>
          </w:tcPr>
          <w:p>
            <w:r>
              <w:t>Descripción</w:t>
            </w:r>
          </w:p>
        </w:tc>
        <w:tc>
          <w:tcPr>
            <w:tcW w:type="dxa" w:w="4607"/>
          </w:tcPr>
          <w:p>
            <w:r>
              <w:t xml:space="preserve">Medir las fallas y reprocesamiento del servicio para los asegurados.  </w:t>
            </w:r>
          </w:p>
        </w:tc>
      </w:tr>
      <w:tr>
        <w:tc>
          <w:tcPr>
            <w:tcW w:type="dxa" w:w="4607"/>
          </w:tcPr>
          <w:p>
            <w:r>
              <w:t>Fórmula</w:t>
            </w:r>
          </w:p>
        </w:tc>
        <w:tc>
          <w:tcPr>
            <w:tcW w:type="dxa" w:w="4607"/>
          </w:tcPr>
          <w:p>
            <w:r>
              <w:t>Número de autorizaciones anuladas por no disponibilidad del material de osteosíntesis</w:t>
            </w:r>
          </w:p>
        </w:tc>
      </w:tr>
      <w:tr>
        <w:tc>
          <w:tcPr>
            <w:tcW w:type="dxa" w:w="4607"/>
          </w:tcPr>
          <w:p>
            <w:r>
              <w:t>Numerador</w:t>
            </w:r>
          </w:p>
        </w:tc>
        <w:tc>
          <w:tcPr>
            <w:tcW w:type="dxa" w:w="4607"/>
          </w:tcPr>
          <w:p>
            <w:r>
              <w:t>Número de autorizaciones anuladas por no disponibilidad del material de osteosíntesis</w:t>
            </w:r>
          </w:p>
        </w:tc>
      </w:tr>
      <w:tr>
        <w:tc>
          <w:tcPr>
            <w:tcW w:type="dxa" w:w="4607"/>
          </w:tcPr>
          <w:p>
            <w:r>
              <w:t>Fuente del Numerador</w:t>
            </w:r>
          </w:p>
        </w:tc>
        <w:tc>
          <w:tcPr>
            <w:tcW w:type="dxa" w:w="4607"/>
          </w:tcPr>
          <w:p>
            <w:r>
              <w:t>Soportes de anulación de autorización es por no disponibilidad Reporte de autorización es del Aplicativo Tecnológico designado por la compañía</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autorizaciones anuladas por no disponibilidad del material de osteosintesis</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No aplica.</w:t>
            </w:r>
          </w:p>
        </w:tc>
      </w:tr>
      <w:tr>
        <w:tc>
          <w:tcPr>
            <w:tcW w:type="dxa" w:w="4607"/>
          </w:tcPr>
          <w:p>
            <w:r>
              <w:t>Metodología</w:t>
            </w:r>
          </w:p>
        </w:tc>
        <w:tc>
          <w:tcPr>
            <w:tcW w:type="dxa" w:w="4607"/>
          </w:tcPr>
          <w:p>
            <w:r>
              <w:br/>
              <w:t>1. Se realizará la validación del 100% de la autorización anuladas en el periodo a evaluar.</w:t>
              <w:br/>
              <w:br/>
              <w:t xml:space="preserve">2. Se revisará la causal de anulación de acuerdo con lo registrado en la herramienta tecnológica. </w:t>
              <w:br/>
              <w:br/>
              <w:t>3. Se identificaban los casos asociados a autorizaciones anuladas por no disponibilidad del material de osteosíntesis y se aplicara la fórmula.</w:t>
            </w:r>
          </w:p>
        </w:tc>
      </w:tr>
      <w:tr>
        <w:tc>
          <w:tcPr>
            <w:tcW w:type="dxa" w:w="4607"/>
          </w:tcPr>
          <w:p>
            <w:r>
              <w:t>Exclusiones</w:t>
            </w:r>
          </w:p>
        </w:tc>
        <w:tc>
          <w:tcPr>
            <w:tcW w:type="dxa" w:w="4607"/>
          </w:tcPr>
          <w:p>
            <w:r>
              <w:t>*Anulación por no entrega o no disponibilidad de material a causa de desastres naturales.</w:t>
              <w:br/>
              <w:t>*Anulación por no entrega o no disponibilidad de material por Casos fortuitos y/o eventos de fuerza mayor.</w:t>
              <w:br/>
              <w:t>*Anulación por no entrega o no disponibilidad de material por Problemas de orden público.</w:t>
              <w:br/>
              <w:t>*Anulación por no entrega o no disponibilidad de material por Escasez de insumos por importación o materia prima escasa.</w:t>
              <w:br/>
              <w:t>*Anulación por no entrega o no disponibilidad de material por elemento no contratado dentro del portafolio de servicios.</w:t>
              <w:br/>
              <w:t>Para aplicación de una exclusión esta debe estar debidamente soportada por parte del proveedor, en caso de no contar con soportes no será tomado como exclusión.</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AAM09</w:t>
            </w:r>
          </w:p>
        </w:tc>
      </w:tr>
      <w:tr>
        <w:tc>
          <w:tcPr>
            <w:tcW w:type="dxa" w:w="4607"/>
          </w:tcPr>
          <w:p>
            <w:r>
              <w:t>Tipo de Proveedor</w:t>
            </w:r>
          </w:p>
        </w:tc>
        <w:tc>
          <w:tcPr>
            <w:tcW w:type="dxa" w:w="4607"/>
          </w:tcPr>
          <w:p>
            <w:r>
              <w:t>MATERIAL DE OSTEOSINTESIS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