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CLINICA PALMIRA S.A.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891300047</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N.°511 y año: 2023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2027-07-15</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asignación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ISTU-AC en la población de pacientes con catéter urinario en la Unidad de Cuidado Intensivo UCI</w:t>
            </w:r>
          </w:p>
        </w:tc>
      </w:tr>
      <w:tr>
        <w:tc>
          <w:tcPr>
            <w:tcW w:type="dxa" w:w="4607"/>
          </w:tcPr>
          <w:p>
            <w:r>
              <w:t>Fórmula</w:t>
            </w:r>
          </w:p>
        </w:tc>
        <w:tc>
          <w:tcPr>
            <w:tcW w:type="dxa" w:w="4607"/>
          </w:tcPr>
          <w:p>
            <w:r>
              <w:t>(Sumatoria de los casos nuevos de infección del tracto urinario asociada a catéter (ISTU-AC) en UCI (adulto y pediátrica)en un mes de seguimiento en un periodo, /Número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urinario en UCI (adulto y pediátrica)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ITS- AC en la población de pacientes con catéter central en la Unidad de Cuidado Intensivo-UCI</w:t>
            </w:r>
          </w:p>
        </w:tc>
      </w:tr>
      <w:tr>
        <w:tc>
          <w:tcPr>
            <w:tcW w:type="dxa" w:w="4607"/>
          </w:tcPr>
          <w:p>
            <w:r>
              <w:t>Fórmula</w:t>
            </w:r>
          </w:p>
        </w:tc>
        <w:tc>
          <w:tcPr>
            <w:tcW w:type="dxa" w:w="4607"/>
          </w:tcPr>
          <w:p>
            <w:r>
              <w:t>(Sumatoria de casos nuevos de Infección del Torrente Sanguíneo Asociada a Catéter (ITS- AC) en UCI (Adulto y Pediátrica y Neonatal) /Número de días catéter central en UCI (Adulto y Pediátrica y Neonatal) en un mes de seguimiento*1000</w:t>
            </w:r>
          </w:p>
        </w:tc>
      </w:tr>
      <w:tr>
        <w:tc>
          <w:tcPr>
            <w:tcW w:type="dxa" w:w="4607"/>
          </w:tcPr>
          <w:p>
            <w:r>
              <w:t>Numerador</w:t>
            </w:r>
          </w:p>
        </w:tc>
        <w:tc>
          <w:tcPr>
            <w:tcW w:type="dxa" w:w="4607"/>
          </w:tcPr>
          <w:p>
            <w:r>
              <w:t>Sumatoria de casos nuevos de Infección del Torrente Sanguíneo Asociada a Catéter (ITS- AC) en UCI (Adulto y Pediátrica y Neonatal)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central en UCI (Adulto y Pediátrica y Neonatal)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UCIadulta, UCIpediátrica,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I.C.36, I.C.41</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203, 205, 207, 209, 215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