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CHRISTUS SINERGIA CLINICA PALMA REAL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900699086</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N.°810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2026-07-15</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asignación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asignación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asignación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asignación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asignación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asignación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tórax</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I.C.83</w:t>
            </w:r>
          </w:p>
        </w:tc>
      </w:tr>
      <w:tr>
        <w:tc>
          <w:tcPr>
            <w:tcW w:type="dxa" w:w="4607"/>
          </w:tcPr>
          <w:p>
            <w:r>
              <w:t>Descripción</w:t>
            </w:r>
          </w:p>
        </w:tc>
        <w:tc>
          <w:tcPr>
            <w:tcW w:type="dxa" w:w="4607"/>
          </w:tcPr>
          <w:p>
            <w:r>
              <w:t>Expresa el tiempo de espera en días calendario que transcurren entre la fecha de asignación de la cita para la consulta por cirugía de tórax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tórax de primera vez y la fecha en la cual el usuario la solicitó / número total de citas de cirugía de tórax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tórax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tórax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asignación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asignación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asignación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asignación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 xml:space="preserve">Es un estimador del riesgo de NAV en la población de pacientes con ventilador mecánico en la Unidad de Cuidado Intensivo-UCI </w:t>
            </w:r>
          </w:p>
        </w:tc>
      </w:tr>
      <w:tr>
        <w:tc>
          <w:tcPr>
            <w:tcW w:type="dxa" w:w="4607"/>
          </w:tcPr>
          <w:p>
            <w:r>
              <w:t>Fórmula</w:t>
            </w:r>
          </w:p>
        </w:tc>
        <w:tc>
          <w:tcPr>
            <w:tcW w:type="dxa" w:w="4607"/>
          </w:tcPr>
          <w:p>
            <w:r>
              <w:t>(Número de neumonías asociadas a ventilador nuevas en la UCI/Número de días con ventilador mecánico en UCI) en un mes de seguimiento*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ISTU-AC en la población de pacientes con catéter urinario en la Unidad de Cuidado Intensivo UCI</w:t>
            </w:r>
          </w:p>
        </w:tc>
      </w:tr>
      <w:tr>
        <w:tc>
          <w:tcPr>
            <w:tcW w:type="dxa" w:w="4607"/>
          </w:tcPr>
          <w:p>
            <w:r>
              <w:t>Fórmula</w:t>
            </w:r>
          </w:p>
        </w:tc>
        <w:tc>
          <w:tcPr>
            <w:tcW w:type="dxa" w:w="4607"/>
          </w:tcPr>
          <w:p>
            <w:r>
              <w:t>(Sumatoria de los casos nuevos de infección del tracto urinario asociada a catéter (ISTU-AC) en UCI (adulto y pediátrica)en un mes de seguimiento en un periodo, /Número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urinario en UCI (adulto y pediátrica)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ITS- AC en la población de pacientes con catéter central en la Unidad de Cuidado Intensivo-UCI</w:t>
            </w:r>
          </w:p>
        </w:tc>
      </w:tr>
      <w:tr>
        <w:tc>
          <w:tcPr>
            <w:tcW w:type="dxa" w:w="4607"/>
          </w:tcPr>
          <w:p>
            <w:r>
              <w:t>Fórmula</w:t>
            </w:r>
          </w:p>
        </w:tc>
        <w:tc>
          <w:tcPr>
            <w:tcW w:type="dxa" w:w="4607"/>
          </w:tcPr>
          <w:p>
            <w:r>
              <w:t>(Sumatoria de casos nuevos de Infección del Torrente Sanguíneo Asociada a Catéter (ITS- AC) en UCI (Adulto y Pediátrica y Neonatal) /Número de días catéter central en UCI (Adulto y Pediátrica y Neonatal) en un mes de seguimiento*1000</w:t>
            </w:r>
          </w:p>
        </w:tc>
      </w:tr>
      <w:tr>
        <w:tc>
          <w:tcPr>
            <w:tcW w:type="dxa" w:w="4607"/>
          </w:tcPr>
          <w:p>
            <w:r>
              <w:t>Numerador</w:t>
            </w:r>
          </w:p>
        </w:tc>
        <w:tc>
          <w:tcPr>
            <w:tcW w:type="dxa" w:w="4607"/>
          </w:tcPr>
          <w:p>
            <w:r>
              <w:t>Sumatoria de casos nuevos de Infección del Torrente Sanguíneo Asociada a Catéter (ITS- AC) en UCI (Adulto y Pediátrica y Neonatal)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central en UCI (Adulto y Pediátrica y Neonatal)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UCIadulta, UCIpediátrica,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7" name="Picture 4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 I.C.36, I.C.37, I.C.39, I.C.40, I.C.41, I.C.43, I.C.45, I.C.46,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203, 205, 207, 209, 210, 213, 214, 215, 231, 234, 235, 245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