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Informática y Ciencias Aplicadas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Ingeniería en Sistemas y Computación</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al </w:t>
      </w:r>
    </w:p>
    <w:p/>
    <w:p/>
    <w:p>
      <w:pPr>
        <w:jc w:val="center"/>
        <w:spacing w:after="160" w:line="360" w:lineRule="auto"/>
      </w:pPr>
      <w:r>
        <w:rPr>
          <w:rFonts w:ascii="Arial" w:hAnsi="Arial" w:eastAsia="Arial" w:cs="Arial"/>
          <w:sz w:val="28"/>
          <w:szCs w:val="28"/>
          <w:b w:val="1"/>
          <w:bCs w:val="1"/>
          <w:smallCaps w:val="0"/>
          <w:caps w:val="1"/>
        </w:rPr>
        <w:t xml:space="preserve"/>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10"/>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Arial" w:hAnsi="Arial" w:eastAsia="Arial" w:cs="Arial"/>
            <w:sz w:val="22"/>
            <w:szCs w:val="22"/>
            <w:smallCaps w:val="0"/>
            <w:caps w:val="1"/>
          </w:rPr>
          <w:t>5.2 Perfil Básico</w:t>
        </w:r>
        <w:r>
          <w:tab/>
        </w:r>
        <w:r>
          <w:fldChar w:fldCharType="begin"/>
        </w:r>
        <w:r>
          <w:instrText xml:space="preserve">PAGEREF _Toc11 \h</w:instrText>
        </w:r>
        <w:r>
          <w:fldChar w:fldCharType="end"/>
        </w:r>
      </w:hyperlink>
    </w:p>
    <w:p>
      <w:pPr>
        <w:tabs>
          <w:tab w:val="right" w:leader="dot" w:pos="9062"/>
        </w:tabs>
        <w:ind w:left="200"/>
      </w:pPr>
      <w:hyperlink w:anchor="_Toc12" w:history="1">
        <w:r>
          <w:rPr>
            <w:rFonts w:ascii="Arial" w:hAnsi="Arial" w:eastAsia="Arial" w:cs="Arial"/>
            <w:sz w:val="22"/>
            <w:szCs w:val="22"/>
            <w:smallCaps w:val="0"/>
            <w:caps w:val="1"/>
          </w:rPr>
          <w:t>5.2.1 Competencias Básicas</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Arial" w:hAnsi="Arial" w:eastAsia="Arial" w:cs="Arial"/>
            <w:sz w:val="22"/>
            <w:szCs w:val="22"/>
            <w:smallCaps w:val="0"/>
            <w:caps w:val="1"/>
          </w:rPr>
          <w:t>5.2 Perfil de Especialidad</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Arial" w:hAnsi="Arial" w:eastAsia="Arial" w:cs="Arial"/>
            <w:sz w:val="22"/>
            <w:szCs w:val="22"/>
            <w:smallCaps w:val="0"/>
            <w:caps w:val="1"/>
          </w:rPr>
          <w:t>5.2.1 Competencias de Especialidad</w:t>
        </w:r>
        <w:r>
          <w:tab/>
        </w:r>
        <w:r>
          <w:fldChar w:fldCharType="begin"/>
        </w:r>
        <w:r>
          <w:instrText xml:space="preserve">PAGEREF _Toc14 \h</w:instrText>
        </w:r>
        <w:r>
          <w:fldChar w:fldCharType="end"/>
        </w:r>
      </w:hyperlink>
    </w:p>
    <w:p>
      <w:pPr>
        <w:tabs>
          <w:tab w:val="right" w:leader="dot" w:pos="9062"/>
        </w:tabs>
        <w:ind w:left="200"/>
      </w:pPr>
      <w:hyperlink w:anchor="_Toc15" w:history="1">
        <w:r>
          <w:rPr>
            <w:rFonts w:ascii="Arial" w:hAnsi="Arial" w:eastAsia="Arial" w:cs="Arial"/>
            <w:sz w:val="22"/>
            <w:szCs w:val="22"/>
            <w:smallCaps w:val="0"/>
            <w:caps w:val="1"/>
          </w:rPr>
          <w:t>5.4 Valores Institucionales</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Arial" w:hAnsi="Arial" w:eastAsia="Arial" w:cs="Arial"/>
            <w:sz w:val="22"/>
            <w:szCs w:val="22"/>
            <w:smallCaps w:val="0"/>
            <w:caps w:val="1"/>
          </w:rPr>
          <w:t>5.5 Esferas de Actuación o Áreas de Desempeño</w:t>
        </w:r>
        <w:r>
          <w:tab/>
        </w:r>
        <w:r>
          <w:fldChar w:fldCharType="begin"/>
        </w:r>
        <w:r>
          <w:instrText xml:space="preserve">PAGEREF _Toc16 \h</w:instrText>
        </w:r>
        <w:r>
          <w:fldChar w:fldCharType="end"/>
        </w:r>
      </w:hyperlink>
    </w:p>
    <w:p>
      <w:pPr>
        <w:tabs>
          <w:tab w:val="right" w:leader="dot" w:pos="9062"/>
        </w:tabs>
      </w:pPr>
      <w:hyperlink w:anchor="_Toc17" w:history="1">
        <w:r>
          <w:rPr>
            <w:rFonts w:ascii="Arial" w:hAnsi="Arial" w:eastAsia="Arial" w:cs="Arial"/>
            <w:sz w:val="22"/>
            <w:szCs w:val="22"/>
            <w:smallCaps w:val="0"/>
            <w:caps w:val="1"/>
          </w:rPr>
          <w:t>6. Organización del Pensum.</w:t>
        </w:r>
        <w:r>
          <w:tab/>
        </w:r>
        <w:r>
          <w:fldChar w:fldCharType="begin"/>
        </w:r>
        <w:r>
          <w:instrText xml:space="preserve">PAGEREF _Toc17 \h</w:instrText>
        </w:r>
        <w:r>
          <w:fldChar w:fldCharType="end"/>
        </w:r>
      </w:hyperlink>
    </w:p>
    <w:p>
      <w:pPr>
        <w:tabs>
          <w:tab w:val="right" w:leader="dot" w:pos="9062"/>
        </w:tabs>
        <w:ind w:left="200"/>
      </w:pPr>
      <w:hyperlink w:anchor="_Toc18" w:history="1">
        <w:r>
          <w:rPr>
            <w:rFonts w:ascii="Arial" w:hAnsi="Arial" w:eastAsia="Arial" w:cs="Arial"/>
            <w:sz w:val="22"/>
            <w:szCs w:val="22"/>
            <w:smallCaps w:val="0"/>
            <w:caps w:val="1"/>
          </w:rPr>
          <w:t>6.1 Cuadro resumen del pensum de Ingeniería en Sistemas y Computación. Presencial</w:t>
        </w:r>
        <w:r>
          <w:tab/>
        </w:r>
        <w:r>
          <w:fldChar w:fldCharType="begin"/>
        </w:r>
        <w:r>
          <w:instrText xml:space="preserve">PAGEREF _Toc18 \h</w:instrText>
        </w:r>
        <w:r>
          <w:fldChar w:fldCharType="end"/>
        </w:r>
      </w:hyperlink>
    </w:p>
    <w:p>
      <w:r>
        <w:fldChar w:fldCharType="end"/>
      </w:r>
    </w:p>
    <w:p>
      <w:pPr>
        <w:sectPr>
          <w:headerReference w:type="default" r:id="rId11"/>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Ingeniería en Sistemas y Computación</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Ingeniería en Sistemas y Computación</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6"/>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Ingeniería en Sistemas y Computación</w:t>
            </w:r>
          </w:p>
        </w:tc>
      </w:tr>
      <w:tr>
        <w:trPr/>
        <w:tc>
          <w:tcPr>
            <w:tcW w:w="6000" w:type="dxa"/>
            <w:vAlign w:val="center"/>
          </w:tcPr>
          <w:p>
            <w:pPr>
              <w:numPr>
                <w:ilvl w:val="1"/>
                <w:numId w:val="6"/>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Ingeniería en Sistemas y Computación</w:t>
            </w:r>
          </w:p>
        </w:tc>
      </w:tr>
      <w:tr>
        <w:trPr/>
        <w:tc>
          <w:tcPr>
            <w:tcW w:w="6000" w:type="dxa"/>
            <w:vAlign w:val="center"/>
          </w:tcPr>
          <w:p>
            <w:pPr>
              <w:numPr>
                <w:ilvl w:val="1"/>
                <w:numId w:val="6"/>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 años y  ciclos</w:t>
            </w:r>
          </w:p>
        </w:tc>
      </w:tr>
      <w:tr>
        <w:trPr/>
        <w:tc>
          <w:tcPr>
            <w:tcW w:w="6000" w:type="dxa"/>
            <w:vAlign w:val="center"/>
          </w:tcPr>
          <w:p>
            <w:pPr>
              <w:numPr>
                <w:ilvl w:val="1"/>
                <w:numId w:val="6"/>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Presencial</w:t>
            </w:r>
          </w:p>
        </w:tc>
      </w:tr>
      <w:tr>
        <w:trPr/>
        <w:tc>
          <w:tcPr>
            <w:tcW w:w="6000" w:type="dxa"/>
            <w:vAlign w:val="center"/>
          </w:tcPr>
          <w:p>
            <w:pPr>
              <w:numPr>
                <w:ilvl w:val="1"/>
                <w:numId w:val="6"/>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 - </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 Ingeniería en Sistemas y Computación,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1" w:name="_Toc11"/>
      <w:r>
        <w:t>5.2 Perfil Básico</w:t>
      </w:r>
      <w:bookmarkEnd w:id="11"/>
    </w:p>
    <w:p>
      <w:pPr>
        <w:jc w:val="both"/>
        <w:spacing w:after="240" w:line="360" w:lineRule="auto"/>
      </w:pPr>
      <w:r>
        <w:rPr>
          <w:rFonts w:ascii="Arial" w:hAnsi="Arial" w:eastAsia="Arial" w:cs="Arial"/>
          <w:sz w:val="24"/>
          <w:szCs w:val="24"/>
        </w:rPr>
        <w:t xml:space="preserve">Las competencias básicas del profesional de Ingeniería en Sistemas y Computación, de la Universidad Tecnológica de El Salvador, son las siguientes:</w:t>
      </w:r>
    </w:p>
    <w:p>
      <w:pPr>
        <w:pStyle w:val="Heading2"/>
      </w:pPr>
      <w:bookmarkStart w:id="12" w:name="_Toc12"/>
      <w:r>
        <w:t>5.2.1 Competencias Básicas</w:t>
      </w:r>
      <w:bookmarkEnd w:id="12"/>
    </w:p>
    <w:p>
      <w:pPr>
        <w:jc w:val="both"/>
        <w:spacing w:after="200"/>
      </w:pPr>
      <w:r>
        <w:rPr>
          <w:rFonts w:ascii="Arial" w:hAnsi="Arial" w:eastAsia="Arial" w:cs="Arial"/>
          <w:sz w:val="18"/>
          <w:szCs w:val="18"/>
          <w:i w:val="1"/>
          <w:iCs w:val="1"/>
        </w:rPr>
        <w:t xml:space="preserve">Tabla 4 Competencias básicas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3" w:name="_Toc13"/>
      <w:r>
        <w:t>5.2 Perfil de Especialidad</w:t>
      </w:r>
      <w:bookmarkEnd w:id="13"/>
    </w:p>
    <w:p>
      <w:pPr>
        <w:jc w:val="both"/>
        <w:spacing w:after="240" w:line="360" w:lineRule="auto"/>
      </w:pPr>
      <w:r>
        <w:rPr>
          <w:rFonts w:ascii="Arial" w:hAnsi="Arial" w:eastAsia="Arial" w:cs="Arial"/>
          <w:sz w:val="24"/>
          <w:szCs w:val="24"/>
        </w:rPr>
        <w:t xml:space="preserve">Las competencias de Especialidad del profesional de Ingeniería en Sistemas y Computación, de la Universidad Tecnológica de El Salvador, son las siguientes:</w:t>
      </w:r>
    </w:p>
    <w:p>
      <w:pPr>
        <w:pStyle w:val="Heading2"/>
      </w:pPr>
      <w:bookmarkStart w:id="14" w:name="_Toc14"/>
      <w:r>
        <w:t>5.2.1 Competencias de Especialidad</w:t>
      </w:r>
      <w:bookmarkEnd w:id="14"/>
    </w:p>
    <w:p>
      <w:pPr>
        <w:jc w:val="both"/>
        <w:spacing w:after="200"/>
      </w:pPr>
      <w:r>
        <w:rPr>
          <w:rFonts w:ascii="Arial" w:hAnsi="Arial" w:eastAsia="Arial" w:cs="Arial"/>
          <w:sz w:val="18"/>
          <w:szCs w:val="18"/>
          <w:i w:val="1"/>
          <w:iCs w:val="1"/>
        </w:rPr>
        <w:t xml:space="preserve">Tabla 5 Competencias de especialidad</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de Especialidad</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pStyle w:val="Heading2"/>
      </w:pPr>
      <w:bookmarkStart w:id="15" w:name="_Toc15"/>
      <w:r>
        <w:t>5.4 Valores Institucionales</w:t>
      </w:r>
      <w:bookmarkEnd w:id="15"/>
    </w:p>
    <w:p>
      <w:pPr>
        <w:numPr>
          <w:ilvl w:val="0"/>
          <w:numId w:val="8"/>
        </w:numPr>
      </w:pPr>
      <w:r>
        <w:rPr>
          <w:rFonts w:ascii="Arial" w:hAnsi="Arial" w:eastAsia="Arial" w:cs="Arial"/>
          <w:sz w:val="24"/>
          <w:szCs w:val="24"/>
        </w:rPr>
        <w:t xml:space="preserve">Compromiso agresivo.</w:t>
      </w:r>
    </w:p>
    <w:p>
      <w:pPr>
        <w:numPr>
          <w:ilvl w:val="0"/>
          <w:numId w:val="8"/>
        </w:numPr>
      </w:pPr>
      <w:r>
        <w:rPr>
          <w:rFonts w:ascii="Arial" w:hAnsi="Arial" w:eastAsia="Arial" w:cs="Arial"/>
          <w:sz w:val="24"/>
          <w:szCs w:val="24"/>
        </w:rPr>
        <w:t xml:space="preserve">Innovación permanente.</w:t>
      </w:r>
    </w:p>
    <w:p>
      <w:pPr>
        <w:numPr>
          <w:ilvl w:val="0"/>
          <w:numId w:val="8"/>
        </w:numPr>
      </w:pPr>
      <w:r>
        <w:rPr>
          <w:rFonts w:ascii="Arial" w:hAnsi="Arial" w:eastAsia="Arial" w:cs="Arial"/>
          <w:sz w:val="24"/>
          <w:szCs w:val="24"/>
        </w:rPr>
        <w:t xml:space="preserve">Respeto y pensamiento positivo.</w:t>
      </w:r>
    </w:p>
    <w:p>
      <w:pPr>
        <w:numPr>
          <w:ilvl w:val="0"/>
          <w:numId w:val="8"/>
        </w:numPr>
      </w:pPr>
      <w:r>
        <w:rPr>
          <w:rFonts w:ascii="Arial" w:hAnsi="Arial" w:eastAsia="Arial" w:cs="Arial"/>
          <w:sz w:val="24"/>
          <w:szCs w:val="24"/>
        </w:rPr>
        <w:t xml:space="preserve">Liderazgo institucional.</w:t>
      </w:r>
    </w:p>
    <w:p>
      <w:pPr>
        <w:numPr>
          <w:ilvl w:val="0"/>
          <w:numId w:val="8"/>
        </w:numPr>
      </w:pPr>
      <w:r>
        <w:rPr>
          <w:rFonts w:ascii="Arial" w:hAnsi="Arial" w:eastAsia="Arial" w:cs="Arial"/>
          <w:sz w:val="24"/>
          <w:szCs w:val="24"/>
        </w:rPr>
        <w:t xml:space="preserve">Solidaridad y trascendencia cultural.</w:t>
      </w:r>
    </w:p>
    <w:p>
      <w:pPr>
        <w:numPr>
          <w:ilvl w:val="0"/>
          <w:numId w:val="8"/>
        </w:numPr>
      </w:pPr>
      <w:r>
        <w:rPr>
          <w:rFonts w:ascii="Arial" w:hAnsi="Arial" w:eastAsia="Arial" w:cs="Arial"/>
          <w:sz w:val="24"/>
          <w:szCs w:val="24"/>
        </w:rPr>
        <w:t xml:space="preserve">Integridad.</w:t>
      </w:r>
    </w:p>
    <w:p>
      <w:pPr>
        <w:sectPr>
          <w:pgSz w:orient="portrait" w:w="12240" w:h="15840"/>
          <w:pgMar w:top="1420" w:right="1420" w:bottom="1420" w:left="1700" w:header="200" w:footer="720" w:gutter="0"/>
          <w:cols w:num="1" w:space="720"/>
        </w:sectPr>
      </w:pPr>
    </w:p>
    <w:p>
      <w:pPr>
        <w:pStyle w:val="Heading2"/>
      </w:pPr>
      <w:bookmarkStart w:id="16" w:name="_Toc16"/>
      <w:r>
        <w:t>5.5 Esferas de Actuación o Áreas de Desempeño</w:t>
      </w:r>
      <w:bookmarkEnd w:id="16"/>
    </w:p>
    <w:p>
      <w:pPr>
        <w:jc w:val="both"/>
        <w:spacing w:after="240" w:line="360" w:lineRule="auto"/>
      </w:pPr>
      <w:r>
        <w:rPr>
          <w:rFonts w:ascii="Arial" w:hAnsi="Arial" w:eastAsia="Arial" w:cs="Arial"/>
          <w:sz w:val="24"/>
          <w:szCs w:val="24"/>
        </w:rPr>
        <w:t xml:space="preserve">Con la Carrera Ingeniería en Sistemas y Computación se podrá desempeñar en las siguientes áreas:</w:t>
      </w:r>
    </w:p>
    <w:p>
      <w:pPr>
        <w:jc w:val="both"/>
        <w:spacing w:after="200"/>
      </w:pPr>
      <w:r>
        <w:rPr>
          <w:rFonts w:ascii="Arial" w:hAnsi="Arial" w:eastAsia="Arial" w:cs="Arial"/>
          <w:sz w:val="18"/>
          <w:szCs w:val="18"/>
          <w:i w:val="1"/>
          <w:iCs w:val="1"/>
        </w:rPr>
        <w:t xml:space="preserve">Tabla 6 Esferas de actuación</w:t>
      </w:r>
    </w:p>
    <w:tbl>
      <w:tblGrid>
        <w:gridCol w:w="3000" w:type="dxa"/>
        <w:gridCol w:w="3000" w:type="dxa"/>
        <w:gridCol w:w="3000" w:type="dxa"/>
        <w:gridCol w:w="3000" w:type="dxa"/>
      </w:tblGrid>
      <w:tblPr>
        <w:tblStyle w:val="areas"/>
      </w:tblPr>
      <w:tr>
        <w:trPr/>
        <w:tc>
          <w:tcPr>
            <w:tcW w:w="3000" w:type="dxa"/>
            <w:vAlign w:val="center"/>
          </w:tcPr>
          <w:p>
            <w:pPr>
              <w:jc w:val="center"/>
              <w:spacing w:after="0" w:line="360" w:lineRule="auto"/>
            </w:pPr>
            <w:r>
              <w:rPr>
                <w:rFonts w:ascii="Arial" w:hAnsi="Arial" w:eastAsia="Arial" w:cs="Arial"/>
                <w:sz w:val="20"/>
                <w:szCs w:val="20"/>
                <w:b w:val="1"/>
                <w:bCs w:val="1"/>
              </w:rPr>
              <w:t xml:space="preserve">Área de desempeño</w:t>
            </w:r>
          </w:p>
        </w:tc>
        <w:tc>
          <w:tcPr>
            <w:tcW w:w="3000" w:type="dxa"/>
            <w:vAlign w:val="center"/>
          </w:tcPr>
          <w:p>
            <w:pPr>
              <w:jc w:val="center"/>
              <w:spacing w:after="0" w:line="360" w:lineRule="auto"/>
            </w:pPr>
            <w:r>
              <w:rPr>
                <w:rFonts w:ascii="Arial" w:hAnsi="Arial" w:eastAsia="Arial" w:cs="Arial"/>
                <w:sz w:val="20"/>
                <w:szCs w:val="20"/>
                <w:b w:val="1"/>
                <w:bCs w:val="1"/>
              </w:rPr>
              <w:t xml:space="preserve">Puesto a desempeñar</w:t>
            </w:r>
          </w:p>
        </w:tc>
        <w:tc>
          <w:tcPr>
            <w:tcW w:w="3000" w:type="dxa"/>
            <w:vAlign w:val="center"/>
          </w:tcPr>
          <w:p>
            <w:pPr>
              <w:jc w:val="center"/>
              <w:spacing w:after="0" w:line="360" w:lineRule="auto"/>
            </w:pPr>
            <w:r>
              <w:rPr>
                <w:rFonts w:ascii="Arial" w:hAnsi="Arial" w:eastAsia="Arial" w:cs="Arial"/>
                <w:sz w:val="20"/>
                <w:szCs w:val="20"/>
                <w:b w:val="1"/>
                <w:bCs w:val="1"/>
              </w:rPr>
              <w:t xml:space="preserve">Funciones del puesto</w:t>
            </w:r>
          </w:p>
        </w:tc>
        <w:tc>
          <w:tcPr>
            <w:tcW w:w="3000" w:type="dxa"/>
            <w:vAlign w:val="center"/>
          </w:tcPr>
          <w:p>
            <w:pPr>
              <w:jc w:val="center"/>
              <w:spacing w:after="0" w:line="360" w:lineRule="auto"/>
            </w:pPr>
            <w:r>
              <w:rPr>
                <w:rFonts w:ascii="Arial" w:hAnsi="Arial" w:eastAsia="Arial" w:cs="Arial"/>
                <w:sz w:val="20"/>
                <w:szCs w:val="20"/>
                <w:b w:val="1"/>
                <w:bCs w:val="1"/>
              </w:rPr>
              <w:t xml:space="preserve">Tipo de organización laboral</w:t>
            </w:r>
          </w:p>
        </w:tc>
      </w:tr>
    </w:tbl>
    <w:p>
      <w:pPr>
        <w:sectPr>
          <w:pgSz w:orient="portrait" w:w="12240" w:h="15840"/>
          <w:pgMar w:top="1420" w:right="1420" w:bottom="1420" w:left="1700" w:header="200" w:footer="720" w:gutter="0"/>
          <w:cols w:num="1" w:space="720"/>
        </w:sectPr>
      </w:pPr>
    </w:p>
    <w:p>
      <w:pPr>
        <w:pStyle w:val="Heading1"/>
      </w:pPr>
      <w:bookmarkStart w:id="17" w:name="_Toc17"/>
      <w:r>
        <w:t>6. Organización del Pensum.</w:t>
      </w:r>
      <w:bookmarkEnd w:id="17"/>
    </w:p>
    <w:p>
      <w:pPr/>
      <w:r>
        <w:rPr/>
        <w:t xml:space="preserve">Áreas de Formación profesional</w:t>
      </w:r>
    </w:p>
    <w:p>
      <w:pPr>
        <w:jc w:val="center"/>
      </w:pPr>
      <w:r>
        <w:pict>
          <v:shape type="#_x0000_t75" stroked="f" style="width:400pt; height:250pt; margin-left:0pt; margin-top:0pt; mso-position-horizontal:left; mso-position-vertical:top; mso-position-horizontal-relative:char; mso-position-vertical-relative:line;">
            <w10:wrap type="inline"/>
            <v:imagedata r:id="rId9" o:title=""/>
          </v:shape>
        </w:pict>
      </w:r>
    </w:p>
    <w:p>
      <w:pPr>
        <w:sectPr>
          <w:pgSz w:orient="portrait" w:w="12240" w:h="15840"/>
          <w:pgMar w:top="1420" w:right="1420" w:bottom="1420" w:left="1700" w:header="720" w:footer="720" w:gutter="0"/>
          <w:cols w:num="1" w:space="720"/>
        </w:sectPr>
      </w:pPr>
    </w:p>
    <w:p>
      <w:pPr/>
      <w:r>
        <w:rPr>
          <w:rFonts w:ascii="Arial" w:hAnsi="Arial" w:eastAsia="Arial" w:cs="Arial"/>
          <w:sz w:val="24"/>
          <w:szCs w:val="24"/>
          <w:b w:val="1"/>
          <w:bCs w:val="1"/>
        </w:rPr>
        <w:t xml:space="preserve">Estructura del plan de estudio</w:t>
      </w:r>
    </w:p>
    <w:p>
      <w:pPr>
        <w:jc w:val="both"/>
        <w:spacing w:after="240" w:line="360" w:lineRule="auto"/>
      </w:pPr>
      <w:r>
        <w:rPr>
          <w:rFonts w:ascii="Arial" w:hAnsi="Arial" w:eastAsia="Arial" w:cs="Arial"/>
          <w:sz w:val="24"/>
          <w:szCs w:val="24"/>
        </w:rPr>
        <w:t xml:space="preserve">El plan de estudio de Ingeniería en Sistemas y Computación está estructurado por asignaturas clasificadas en áreas de formación, las cuales comprenden varias asignaturas para cada una.</w:t>
      </w:r>
    </w:p>
    <w:p>
      <w:pPr>
        <w:pStyle w:val="Heading2"/>
      </w:pPr>
      <w:bookmarkStart w:id="18" w:name="_Toc18"/>
      <w:r>
        <w:t>6.1 Cuadro resumen del pensum de Ingeniería en Sistemas y Computación. Presencial</w:t>
      </w:r>
      <w:bookmarkEnd w:id="18"/>
    </w:p>
    <w:p>
      <w:pPr>
        <w:jc w:val="both"/>
        <w:spacing w:after="200"/>
      </w:pPr>
      <w:r>
        <w:rPr>
          <w:rFonts w:ascii="Arial" w:hAnsi="Arial" w:eastAsia="Arial" w:cs="Arial"/>
          <w:sz w:val="18"/>
          <w:szCs w:val="18"/>
          <w:i w:val="1"/>
          <w:iCs w:val="1"/>
        </w:rPr>
        <w:t xml:space="preserve">Tabla 7 Cuadro Resumen</w:t>
      </w:r>
    </w:p>
    <w:sectPr>
      <w:pgSz w:orient="portrait" w:w="12240" w:h="15840"/>
      <w:pgMar w:top="1420" w:right="1420" w:bottom="1420" w:left="1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Informática y Ciencias Aplicadas</w:t>
    </w:r>
  </w:p>
  <w:p>
    <w:pPr>
      <w:jc w:val="center"/>
      <w:spacing w:after="0"/>
    </w:pPr>
    <w:r>
      <w:rPr>
        <w:rFonts w:ascii="Arial" w:hAnsi="Arial" w:eastAsia="Arial" w:cs="Arial"/>
        <w:sz w:val="18"/>
        <w:szCs w:val="18"/>
        <w:smallCaps w:val="0"/>
        <w:caps w:val="1"/>
      </w:rPr>
      <w:t xml:space="preserve">Ingeniería en Sistemas y Computación. Modalidad Presencial</w:t>
    </w:r>
  </w:p>
  <w:p>
    <w:pPr>
      <w:jc w:val="center"/>
      <w:spacing w:after="0"/>
    </w:pPr>
    <w:r>
      <w:rPr>
        <w:rFonts w:ascii="Arial" w:hAnsi="Arial" w:eastAsia="Arial" w:cs="Arial"/>
        <w:sz w:val="18"/>
        <w:szCs w:val="18"/>
        <w:smallCaps w:val="0"/>
        <w:caps w:val="1"/>
      </w:rPr>
      <w:t xml:space="preserve">Vigencia del plan de estudio del  al </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5D9B873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195BBCB3"/>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abstractNum w:abstractNumId="8">
    <w:nsid w:val="6C301F4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areas">
    <w:name w:val="are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footer" Target="footer1.xml"/><Relationship Id="rId11"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2023-06-02T23:18:19-06:00</dcterms:created>
  <dcterms:modified xsi:type="dcterms:W3CDTF">2023-06-02T23:18:19-06:00</dcterms:modified>
</cp:coreProperties>
</file>

<file path=docProps/custom.xml><?xml version="1.0" encoding="utf-8"?>
<Properties xmlns="http://schemas.openxmlformats.org/officeDocument/2006/custom-properties" xmlns:vt="http://schemas.openxmlformats.org/officeDocument/2006/docPropsVTypes"/>
</file>