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Comparison of  Musical Genre Classification Methods</w:t>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Evan Gomolin</w:t>
      </w:r>
      <w:r>
        <w:rPr>
          <w:sz w:val="18"/>
          <w:szCs w:val="18"/>
        </w:rPr>
        <w:t xml:space="preserve"> </w:t>
        <w:br/>
      </w:r>
      <w:r>
        <w:rPr>
          <w:i/>
          <w:sz w:val="18"/>
          <w:szCs w:val="18"/>
        </w:rPr>
        <w:t>Faculty of Science</w:t>
      </w:r>
      <w:r>
        <w:rPr>
          <w:sz w:val="18"/>
          <w:szCs w:val="18"/>
        </w:rPr>
        <w:br/>
      </w:r>
      <w:r>
        <w:rPr>
          <w:i/>
          <w:sz w:val="18"/>
          <w:szCs w:val="18"/>
        </w:rPr>
        <w:t>Western University</w:t>
      </w:r>
      <w:r>
        <w:rPr>
          <w:i/>
          <w:sz w:val="18"/>
          <w:szCs w:val="18"/>
        </w:rPr>
        <w:br/>
      </w:r>
      <w:r>
        <w:rPr>
          <w:i w:val="false"/>
          <w:iCs w:val="false"/>
          <w:sz w:val="18"/>
          <w:szCs w:val="18"/>
        </w:rPr>
        <w:t>London, Canada</w:t>
      </w:r>
      <w:r>
        <w:rPr>
          <w:sz w:val="18"/>
          <w:szCs w:val="18"/>
        </w:rPr>
        <w:br/>
      </w:r>
      <w:r>
        <w:rPr>
          <w:sz w:val="18"/>
          <w:szCs w:val="18"/>
        </w:rPr>
        <w:t>egomolin@uwo.ca</w:t>
      </w:r>
    </w:p>
    <w:p>
      <w:pPr>
        <w:pStyle w:val="Author"/>
        <w:spacing w:beforeAutospacing="1" w:after="40"/>
        <w:rPr>
          <w:sz w:val="18"/>
          <w:szCs w:val="18"/>
        </w:rPr>
      </w:pPr>
      <w:r>
        <w:rPr/>
      </w:r>
    </w:p>
    <w:p>
      <w:pPr>
        <w:pStyle w:val="Normal"/>
        <w:rPr/>
      </w:pPr>
      <w:r>
        <w:br w:type="column"/>
      </w:r>
      <w:r>
        <w:rPr>
          <w:sz w:val="18"/>
          <w:szCs w:val="18"/>
        </w:rPr>
        <w:t>Ali Al-Tekriti</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i w:val="false"/>
          <w:iCs w:val="false"/>
          <w:sz w:val="18"/>
          <w:szCs w:val="18"/>
        </w:rPr>
        <w:t>London, Canada</w:t>
      </w:r>
      <w:r>
        <w:rPr>
          <w:sz w:val="18"/>
          <w:szCs w:val="18"/>
        </w:rPr>
        <w:br/>
      </w:r>
      <w:r>
        <w:rPr>
          <w:sz w:val="18"/>
          <w:szCs w:val="18"/>
        </w:rPr>
        <w:t>aaltekri@uwo.ca</w:t>
      </w:r>
    </w:p>
    <w:p>
      <w:pPr>
        <w:pStyle w:val="Normal"/>
        <w:spacing w:beforeAutospacing="1" w:after="40"/>
        <w:rPr/>
      </w:pPr>
      <w:r>
        <w:rPr>
          <w:sz w:val="18"/>
          <w:szCs w:val="18"/>
        </w:rPr>
        <w:t>David MacLean</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i w:val="false"/>
          <w:iCs w:val="false"/>
          <w:sz w:val="18"/>
          <w:szCs w:val="18"/>
        </w:rPr>
        <w:t>London, Canada</w:t>
      </w:r>
      <w:r>
        <w:rPr>
          <w:sz w:val="18"/>
          <w:szCs w:val="18"/>
        </w:rPr>
        <w:br/>
      </w:r>
      <w:hyperlink r:id="rId4">
        <w:r>
          <w:rPr>
            <w:rStyle w:val="InternetLink"/>
            <w:b w:val="false"/>
            <w:bCs w:val="false"/>
            <w:color w:val="000000"/>
            <w:sz w:val="18"/>
            <w:szCs w:val="18"/>
            <w:u w:val="none"/>
          </w:rPr>
          <w:t>dmacle22@uwo.ca</w:t>
        </w:r>
      </w:hyperlink>
    </w:p>
    <w:p>
      <w:pPr>
        <w:pStyle w:val="Normal"/>
        <w:spacing w:beforeAutospacing="1" w:after="40"/>
        <w:rPr>
          <w:sz w:val="18"/>
          <w:szCs w:val="18"/>
        </w:rPr>
      </w:pPr>
      <w:r>
        <w:rPr/>
      </w:r>
    </w:p>
    <w:p>
      <w:pPr>
        <w:pStyle w:val="Normal"/>
        <w:rPr/>
      </w:pPr>
      <w:r>
        <w:br w:type="column"/>
      </w:r>
      <w:r>
        <w:rPr>
          <w:sz w:val="18"/>
          <w:szCs w:val="18"/>
        </w:rPr>
        <w:t>Matvey Skripchenko</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i w:val="false"/>
          <w:iCs w:val="false"/>
          <w:sz w:val="18"/>
          <w:szCs w:val="18"/>
        </w:rPr>
        <w:t>London, Canada</w:t>
      </w:r>
      <w:r>
        <w:rPr>
          <w:sz w:val="18"/>
          <w:szCs w:val="18"/>
        </w:rPr>
        <w:br/>
        <w:t>?????</w:t>
      </w:r>
      <w:r>
        <w:rPr>
          <w:sz w:val="18"/>
          <w:szCs w:val="18"/>
        </w:rPr>
        <w:t>@uwo.ca</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w:t>
      </w:r>
      <w:r>
        <w:rPr/>
        <w:t>sklearn</w:t>
      </w:r>
      <w:r>
        <w:rPr/>
        <w:t xml:space="preserve">, </w:t>
      </w:r>
      <w:r>
        <w:rPr/>
        <w:t>FMA</w:t>
      </w:r>
      <w:r>
        <w:rPr/>
        <w:t xml:space="preserve">, </w:t>
      </w:r>
      <w:r>
        <w:rPr/>
        <w:t>genre classification</w:t>
      </w:r>
      <w:r>
        <w:rPr/>
        <w:t xml:space="preserve">, </w:t>
      </w:r>
      <w:r>
        <w:rPr/>
        <w:t>model comparison, music analysis</w:t>
      </w:r>
    </w:p>
    <w:p>
      <w:pPr>
        <w:pStyle w:val="Heading1"/>
        <w:numPr>
          <w:ilvl w:val="0"/>
          <w:numId w:val="3"/>
        </w:numPr>
        <w:ind w:hanging="0"/>
        <w:rPr/>
      </w:pPr>
      <w:r>
        <w:rPr/>
        <w:t xml:space="preserve">Introduction </w:t>
      </w:r>
    </w:p>
    <w:p>
      <w:pPr>
        <w:pStyle w:val="TextBody"/>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numPr>
          <w:ilvl w:val="0"/>
          <w:numId w:val="3"/>
        </w:numPr>
        <w:ind w:hanging="0"/>
        <w:rPr/>
      </w:pPr>
      <w:r>
        <w:rPr/>
        <w:t>Related Work</w:t>
      </w:r>
    </w:p>
    <w:p>
      <w:pPr>
        <w:pStyle w:val="Heading2"/>
        <w:numPr>
          <w:ilvl w:val="1"/>
          <w:numId w:val="3"/>
        </w:numPr>
        <w:rPr/>
      </w:pPr>
      <w:r>
        <w:rPr/>
        <w:t>Selecting a Template (Heading 2)</w:t>
      </w:r>
    </w:p>
    <w:p>
      <w:pPr>
        <w:pStyle w:val="TextBody"/>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numPr>
          <w:ilvl w:val="1"/>
          <w:numId w:val="3"/>
        </w:numPr>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numPr>
          <w:ilvl w:val="0"/>
          <w:numId w:val="3"/>
        </w:numPr>
        <w:ind w:hanging="0"/>
        <w:rPr/>
      </w:pPr>
      <w:r>
        <w:rPr/>
        <w:t>Methods</w:t>
      </w:r>
    </w:p>
    <w:p>
      <w:pPr>
        <w:pStyle w:val="TextBody"/>
        <w:rPr/>
      </w:pPr>
      <w:r>
        <w:rPr>
          <w:lang w:val="en-US"/>
        </w:rPr>
        <w:t xml:space="preserve">Our purpose with this experiment is to compare the accuracy of different classification models in the sklearn library when classifying music into genres.  Our methodology behind this experiment goes as follows: </w:t>
      </w:r>
    </w:p>
    <w:p>
      <w:pPr>
        <w:pStyle w:val="TextBody"/>
        <w:numPr>
          <w:ilvl w:val="0"/>
          <w:numId w:val="8"/>
        </w:numPr>
        <w:rPr/>
      </w:pPr>
      <w:r>
        <w:rPr>
          <w:lang w:val="en-US"/>
        </w:rPr>
        <w:t>Locate a sufficiently large and detailed dataset of music.</w:t>
      </w:r>
    </w:p>
    <w:p>
      <w:pPr>
        <w:pStyle w:val="TextBody"/>
        <w:numPr>
          <w:ilvl w:val="0"/>
          <w:numId w:val="8"/>
        </w:numPr>
        <w:rPr/>
      </w:pPr>
      <w:r>
        <w:rPr>
          <w:lang w:val="en-US"/>
        </w:rPr>
        <w:t>Preprocess the dataset such that it does not favour any single model.</w:t>
      </w:r>
    </w:p>
    <w:p>
      <w:pPr>
        <w:pStyle w:val="TextBody"/>
        <w:numPr>
          <w:ilvl w:val="0"/>
          <w:numId w:val="8"/>
        </w:numPr>
        <w:rPr/>
      </w:pPr>
      <w:r>
        <w:rPr>
          <w:lang w:val="en-US"/>
        </w:rPr>
        <w:t>Train many types of models from sklearn on identical preprocessed data</w:t>
      </w:r>
    </w:p>
    <w:p>
      <w:pPr>
        <w:pStyle w:val="TextBody"/>
        <w:numPr>
          <w:ilvl w:val="0"/>
          <w:numId w:val="8"/>
        </w:numPr>
        <w:rPr/>
      </w:pPr>
      <w:r>
        <w:rPr>
          <w:lang w:val="en-US"/>
        </w:rPr>
        <w:t xml:space="preserve">Test the models </w:t>
      </w:r>
      <w:r>
        <w:rPr>
          <w:lang w:val="en-US"/>
        </w:rPr>
        <w:t>on reserved preprocessed data and compare their results.</w:t>
      </w:r>
    </w:p>
    <w:p>
      <w:pPr>
        <w:pStyle w:val="Heading2"/>
        <w:numPr>
          <w:ilvl w:val="1"/>
          <w:numId w:val="3"/>
        </w:numPr>
        <w:rPr/>
      </w:pPr>
      <w:r>
        <w:rPr/>
        <w:t>Data</w:t>
      </w:r>
    </w:p>
    <w:p>
      <w:pPr>
        <w:pStyle w:val="TextBody"/>
        <w:rPr/>
      </w:pPr>
      <w:r>
        <w:rPr/>
        <w:t xml:space="preserve">For the purposes of fair comparison, a dataset with a suffiently large number of songs and features must be selected.  </w:t>
      </w:r>
      <w:r>
        <w:rPr/>
        <w:t>This will limit any bias produced by the stastically unsound nature of smaller datasets.  For this experiment, we have selected the Free Music Archive (FMA) dataset created by Defferrard et al. [</w:t>
      </w:r>
      <w:r>
        <w:rPr>
          <w:b/>
          <w:bCs/>
        </w:rPr>
        <w:t>citation needed]</w:t>
      </w:r>
      <w:r>
        <w:rPr>
          <w:b w:val="false"/>
          <w:bCs w:val="false"/>
        </w:rPr>
        <w:t xml:space="preserve">.  The FMA dataset includes 106,574 </w:t>
      </w:r>
      <w:r>
        <w:rPr>
          <w:b w:val="false"/>
          <w:bCs w:val="false"/>
        </w:rPr>
        <w:t xml:space="preserve"> audio </w:t>
      </w:r>
      <w:r>
        <w:rPr>
          <w:b w:val="false"/>
          <w:bCs w:val="false"/>
        </w:rPr>
        <w:t xml:space="preserve">tracks </w:t>
      </w:r>
      <w:r>
        <w:rPr>
          <w:b w:val="false"/>
          <w:bCs w:val="false"/>
        </w:rPr>
        <w:t>of 30 seconds,</w:t>
      </w:r>
      <w:r>
        <w:rPr>
          <w:b w:val="false"/>
          <w:bCs w:val="false"/>
        </w:rPr>
        <w:t xml:space="preserve"> from 16,341 artists, across 14854 albums.  </w:t>
      </w:r>
      <w:r>
        <w:rPr>
          <w:b w:val="false"/>
          <w:bCs w:val="false"/>
        </w:rPr>
        <w:t>These tracks span 161 genres; however, as shown in Figure 1, the classes of genres are unbalanced.</w:t>
      </w:r>
      <w:r>
        <w:rPr>
          <w:b w:val="false"/>
          <w:bCs w:val="false"/>
        </w:rPr>
        <w:t xml:space="preserve"> </w:t>
      </w:r>
    </w:p>
    <w:p>
      <w:pPr>
        <w:pStyle w:val="TextBody"/>
        <w:rPr/>
      </w:pPr>
      <w:r>
        <w:rPr/>
        <w:drawing>
          <wp:anchor behindDoc="0" distT="0" distB="0" distL="0" distR="0" simplePos="0" locked="0" layoutInCell="1" allowOverlap="1" relativeHeight="2">
            <wp:simplePos x="0" y="0"/>
            <wp:positionH relativeFrom="column">
              <wp:posOffset>36830</wp:posOffset>
            </wp:positionH>
            <wp:positionV relativeFrom="paragraph">
              <wp:posOffset>79375</wp:posOffset>
            </wp:positionV>
            <wp:extent cx="3098800" cy="1210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98800" cy="1210310"/>
                    </a:xfrm>
                    <a:prstGeom prst="rect">
                      <a:avLst/>
                    </a:prstGeom>
                  </pic:spPr>
                </pic:pic>
              </a:graphicData>
            </a:graphic>
          </wp:anchor>
        </w:drawing>
      </w:r>
    </w:p>
    <w:p>
      <w:pPr>
        <w:pStyle w:val="Figurecaption"/>
        <w:numPr>
          <w:ilvl w:val="0"/>
          <w:numId w:val="2"/>
        </w:numPr>
        <w:ind w:left="0" w:hanging="0"/>
        <w:rPr/>
      </w:pPr>
      <w:r>
        <w:rPr>
          <w:iCs/>
        </w:rPr>
        <w:t>Number of tracks in the 36 most populous genres in the FMA dataset. [</w:t>
      </w:r>
      <w:r>
        <w:rPr>
          <w:b/>
          <w:bCs/>
          <w:iCs/>
        </w:rPr>
        <w:t>citation needed paper]</w:t>
      </w:r>
    </w:p>
    <w:p>
      <w:pPr>
        <w:pStyle w:val="TextBody"/>
        <w:rPr/>
      </w:pPr>
      <w:r>
        <w:rPr>
          <w:b w:val="false"/>
          <w:bCs w:val="false"/>
        </w:rPr>
        <w:t xml:space="preserve">In addition to the provided audio files, </w:t>
      </w:r>
      <w:r>
        <w:rPr>
          <w:b w:val="false"/>
          <w:bCs w:val="false"/>
        </w:rPr>
        <w:t xml:space="preserve">FMA provides hierarchical genre metadata. </w:t>
      </w:r>
      <w:r>
        <w:rPr>
          <w:b w:val="false"/>
          <w:bCs w:val="false"/>
        </w:rPr>
        <w:t xml:space="preserve">  The metadata associated with a </w:t>
      </w:r>
      <w:r>
        <w:rPr>
          <w:b w:val="false"/>
          <w:bCs w:val="false"/>
        </w:rPr>
        <w:t>genre</w:t>
      </w:r>
      <w:r>
        <w:rPr>
          <w:b w:val="false"/>
          <w:bCs w:val="false"/>
        </w:rPr>
        <w:t xml:space="preserve"> </w:t>
      </w:r>
      <w:r>
        <w:rPr>
          <w:b w:val="false"/>
          <w:bCs w:val="false"/>
        </w:rPr>
        <w:t xml:space="preserve">contains its parent genre, </w:t>
      </w:r>
      <w:r>
        <w:rPr>
          <w:b w:val="false"/>
          <w:bCs w:val="false"/>
        </w:rPr>
        <w:t>which indicates a more general genre that th</w:t>
      </w:r>
      <w:r>
        <w:rPr>
          <w:b w:val="false"/>
          <w:bCs w:val="false"/>
        </w:rPr>
        <w:t>e genre in question is a subset of</w:t>
      </w:r>
      <w:r>
        <w:rPr>
          <w:b w:val="false"/>
          <w:bCs w:val="false"/>
        </w:rPr>
        <w:t xml:space="preserve">.  For example, </w:t>
      </w:r>
      <w:r>
        <w:rPr>
          <w:b w:val="false"/>
          <w:bCs w:val="false"/>
        </w:rPr>
        <w:t>the genre</w:t>
      </w:r>
      <w:r>
        <w:rPr>
          <w:b w:val="false"/>
          <w:bCs w:val="false"/>
        </w:rPr>
        <w:t xml:space="preserve"> “Post-Rock” </w:t>
      </w:r>
      <w:r>
        <w:rPr>
          <w:b w:val="false"/>
          <w:bCs w:val="false"/>
        </w:rPr>
        <w:t xml:space="preserve">has a parent genre of </w:t>
      </w:r>
      <w:r>
        <w:rPr>
          <w:b w:val="false"/>
          <w:bCs w:val="false"/>
        </w:rPr>
        <w:t>“</w:t>
      </w:r>
      <w:r>
        <w:rPr>
          <w:b w:val="false"/>
          <w:bCs w:val="false"/>
        </w:rPr>
        <w:t>Alternative Rock</w:t>
      </w:r>
      <w:r>
        <w:rPr>
          <w:b w:val="false"/>
          <w:bCs w:val="false"/>
        </w:rPr>
        <w:t xml:space="preserve">” .  </w:t>
      </w:r>
      <w:r>
        <w:rPr>
          <w:b w:val="false"/>
          <w:bCs w:val="false"/>
        </w:rPr>
        <w:t>As seen in Figure 2, w</w:t>
      </w:r>
      <w:r>
        <w:rPr>
          <w:b w:val="false"/>
          <w:bCs w:val="false"/>
        </w:rPr>
        <w:t xml:space="preserve">e will refer to genres at the top of this hierarchy, </w:t>
      </w:r>
      <w:r>
        <w:rPr>
          <w:b w:val="false"/>
          <w:bCs w:val="false"/>
        </w:rPr>
        <w:t>i.e. genres with reflexive parent references,</w:t>
      </w:r>
      <w:r>
        <w:rPr>
          <w:b w:val="false"/>
          <w:bCs w:val="false"/>
        </w:rPr>
        <w:t xml:space="preserve"> as “root genres.”</w:t>
      </w:r>
    </w:p>
    <w:p>
      <w:pPr>
        <w:pStyle w:val="TextBody"/>
        <w:rPr>
          <w:b w:val="false"/>
          <w:b w:val="false"/>
          <w:bCs w:val="false"/>
        </w:rPr>
      </w:pPr>
      <w:r>
        <w:rPr/>
      </w:r>
    </w:p>
    <w:p>
      <w:pPr>
        <w:pStyle w:val="Figurecaption"/>
        <w:numPr>
          <w:ilvl w:val="0"/>
          <w:numId w:val="2"/>
        </w:numPr>
        <w:ind w:lef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23745" cy="24326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023745" cy="2432685"/>
                    </a:xfrm>
                    <a:prstGeom prst="rect">
                      <a:avLst/>
                    </a:prstGeom>
                  </pic:spPr>
                </pic:pic>
              </a:graphicData>
            </a:graphic>
          </wp:anchor>
        </w:drawing>
      </w:r>
      <w:r>
        <w:rPr>
          <w:b w:val="false"/>
          <w:bCs w:val="false"/>
          <w:iCs/>
        </w:rPr>
        <w:t xml:space="preserve">Example of </w:t>
      </w:r>
      <w:r>
        <w:rPr>
          <w:b w:val="false"/>
          <w:bCs w:val="false"/>
          <w:iCs/>
        </w:rPr>
        <w:t xml:space="preserve">a possible genre hierarchy.  Rock is the root genre of every genre in </w:t>
      </w:r>
      <w:r>
        <w:rPr>
          <w:b w:val="false"/>
          <w:bCs w:val="false"/>
          <w:iCs/>
        </w:rPr>
        <w:t>this</w:t>
      </w:r>
      <w:r>
        <w:rPr>
          <w:b w:val="false"/>
          <w:bCs w:val="false"/>
          <w:iCs/>
        </w:rPr>
        <w:t xml:space="preserve"> tree.</w:t>
      </w:r>
    </w:p>
    <w:p>
      <w:pPr>
        <w:pStyle w:val="TextBody"/>
        <w:rPr/>
      </w:pPr>
      <w:r>
        <w:rPr>
          <w:b w:val="false"/>
          <w:bCs w:val="false"/>
        </w:rPr>
        <w:t xml:space="preserve">FMA </w:t>
      </w:r>
      <w:r>
        <w:rPr>
          <w:b w:val="false"/>
          <w:bCs w:val="false"/>
        </w:rPr>
        <w:t xml:space="preserve">also </w:t>
      </w:r>
      <w:r>
        <w:rPr>
          <w:b w:val="false"/>
          <w:bCs w:val="false"/>
        </w:rPr>
        <w:t xml:space="preserve">includes metadata describing each of the tracks.  The metadata </w:t>
      </w:r>
      <w:r>
        <w:rPr>
          <w:b w:val="false"/>
          <w:bCs w:val="false"/>
        </w:rPr>
        <w:t>is</w:t>
      </w:r>
      <w:r>
        <w:rPr>
          <w:b w:val="false"/>
          <w:bCs w:val="false"/>
        </w:rPr>
        <w:t xml:space="preserve"> split into 3 main categories: track information, librosa-features, and Echonest-features.  Track information includes </w:t>
      </w:r>
      <w:r>
        <w:rPr>
          <w:b w:val="false"/>
          <w:bCs w:val="false"/>
        </w:rPr>
        <w:t xml:space="preserve">words describing the track, such as </w:t>
      </w:r>
      <w:r>
        <w:rPr>
          <w:b w:val="false"/>
          <w:bCs w:val="false"/>
        </w:rPr>
        <w:t xml:space="preserve">genre labels, artist names, location of recording, etc; </w:t>
      </w:r>
      <w:r>
        <w:rPr>
          <w:b w:val="false"/>
          <w:bCs w:val="false"/>
        </w:rPr>
        <w:t>as well as curated subsets and proposed splits.</w:t>
      </w:r>
      <w:r>
        <w:rPr>
          <w:b w:val="false"/>
          <w:bCs w:val="false"/>
        </w:rPr>
        <w:t xml:space="preserve">  </w:t>
      </w:r>
      <w:r>
        <w:rPr>
          <w:b w:val="false"/>
          <w:bCs w:val="false"/>
        </w:rPr>
        <w:t xml:space="preserve">The subsets allow for less powerful computers to be able to process the dataset </w:t>
      </w:r>
      <w:r>
        <w:rPr>
          <w:b w:val="false"/>
          <w:bCs w:val="false"/>
        </w:rPr>
        <w:t xml:space="preserve">and </w:t>
      </w:r>
      <w:r>
        <w:rPr>
          <w:b w:val="false"/>
          <w:bCs w:val="false"/>
        </w:rPr>
        <w:t xml:space="preserve">have </w:t>
      </w:r>
      <w:r>
        <w:rPr>
          <w:b w:val="false"/>
          <w:bCs w:val="false"/>
        </w:rPr>
        <w:t xml:space="preserve">been </w:t>
      </w:r>
      <w:r>
        <w:rPr>
          <w:b w:val="false"/>
          <w:bCs w:val="false"/>
        </w:rPr>
        <w:t xml:space="preserve">curated to maximize the number of tracks with high quality metadata. </w:t>
      </w:r>
      <w:r>
        <w:rPr>
          <w:b w:val="false"/>
          <w:bCs w:val="false"/>
        </w:rPr>
        <w:t>Whereas</w:t>
      </w:r>
      <w:r>
        <w:rPr>
          <w:b w:val="false"/>
          <w:bCs w:val="false"/>
        </w:rPr>
        <w:t xml:space="preserve"> </w:t>
      </w:r>
      <w:r>
        <w:rPr>
          <w:b w:val="false"/>
          <w:bCs w:val="false"/>
        </w:rPr>
        <w:t>the proposed splits indicate that 80% of the tracks are split into a training set, 10% into a validation set, and 10% into a test set.</w:t>
      </w:r>
      <w:r>
        <w:rPr>
          <w:b w:val="false"/>
          <w:bCs w:val="false"/>
        </w:rPr>
        <w:t xml:space="preserve">  </w:t>
      </w:r>
      <w:r>
        <w:rPr>
          <w:b w:val="false"/>
          <w:bCs w:val="false"/>
        </w:rPr>
        <w:t xml:space="preserve">The librosa-features metadata includes </w:t>
      </w:r>
      <w:r>
        <w:rPr>
          <w:b w:val="false"/>
          <w:bCs w:val="false"/>
        </w:rPr>
        <w:t xml:space="preserve">information, like Mel-frequency cepstral coefficients, </w:t>
      </w:r>
      <w:r>
        <w:rPr>
          <w:b w:val="false"/>
          <w:bCs w:val="false"/>
        </w:rPr>
        <w:t xml:space="preserve">extracted from each track by the music processing library librosa.  The Echonest-features metadata </w:t>
      </w:r>
      <w:r>
        <w:rPr>
          <w:b w:val="false"/>
          <w:bCs w:val="false"/>
        </w:rPr>
        <w:t xml:space="preserve">contains features extracted by the now dissolved company, Echonest; </w:t>
      </w:r>
      <w:r>
        <w:rPr>
          <w:b w:val="false"/>
          <w:bCs w:val="false"/>
        </w:rPr>
        <w:t xml:space="preserve">e.g., song tempo, or “danceability”. </w:t>
      </w:r>
      <w:r>
        <w:rPr>
          <w:b w:val="false"/>
          <w:bCs w:val="false"/>
        </w:rPr>
        <w:t xml:space="preserve"> </w:t>
      </w:r>
    </w:p>
    <w:p>
      <w:pPr>
        <w:pStyle w:val="TextBody"/>
        <w:rPr>
          <w:b w:val="false"/>
          <w:b w:val="false"/>
          <w:bCs w:val="false"/>
        </w:rPr>
      </w:pPr>
      <w:r>
        <w:rPr/>
      </w:r>
    </w:p>
    <w:p>
      <w:pPr>
        <w:pStyle w:val="Heading2"/>
        <w:numPr>
          <w:ilvl w:val="1"/>
          <w:numId w:val="3"/>
        </w:numPr>
        <w:rPr/>
      </w:pPr>
      <w:r>
        <w:rPr/>
        <w:t xml:space="preserve">Data </w:t>
      </w:r>
      <w:r>
        <w:rPr/>
        <w:t>Preprocessing</w:t>
      </w:r>
    </w:p>
    <w:p>
      <w:pPr>
        <w:pStyle w:val="TextBody"/>
        <w:ind w:hanging="0"/>
        <w:rPr/>
      </w:pPr>
      <w:r>
        <w:rPr/>
        <w:tab/>
      </w:r>
      <w:r>
        <w:rPr/>
        <w:t xml:space="preserve">In advance of training and comparing the various models, we developed a preprocessing stage to transform the FMA dataset into a consistent, usuable format.  </w:t>
      </w:r>
      <w:r>
        <w:rPr>
          <w:b w:val="false"/>
          <w:bCs w:val="false"/>
        </w:rPr>
        <w:t xml:space="preserve">The goal with our preprocessing </w:t>
      </w:r>
      <w:r>
        <w:rPr>
          <w:b w:val="false"/>
          <w:bCs w:val="false"/>
        </w:rPr>
        <w:t>stage</w:t>
      </w:r>
      <w:r>
        <w:rPr>
          <w:b w:val="false"/>
          <w:bCs w:val="false"/>
        </w:rPr>
        <w:t xml:space="preserve"> was to prepare the </w:t>
      </w:r>
      <w:r>
        <w:rPr>
          <w:b w:val="false"/>
          <w:bCs w:val="false"/>
        </w:rPr>
        <w:t>meta</w:t>
      </w:r>
      <w:r>
        <w:rPr>
          <w:b w:val="false"/>
          <w:bCs w:val="false"/>
        </w:rPr>
        <w:t xml:space="preserve">data in a </w:t>
      </w:r>
      <w:r>
        <w:rPr>
          <w:b w:val="false"/>
          <w:bCs w:val="false"/>
        </w:rPr>
        <w:t>generic</w:t>
      </w:r>
      <w:r>
        <w:rPr>
          <w:b w:val="false"/>
          <w:bCs w:val="false"/>
        </w:rPr>
        <w:t xml:space="preserve"> way, such that the preprocessed </w:t>
      </w:r>
      <w:r>
        <w:rPr>
          <w:b w:val="false"/>
          <w:bCs w:val="false"/>
        </w:rPr>
        <w:t>metadata</w:t>
      </w:r>
      <w:r>
        <w:rPr>
          <w:b w:val="false"/>
          <w:bCs w:val="false"/>
        </w:rPr>
        <w:t xml:space="preserve"> </w:t>
      </w:r>
      <w:r>
        <w:rPr>
          <w:b w:val="false"/>
          <w:bCs w:val="false"/>
        </w:rPr>
        <w:t xml:space="preserve">was equally useful to all the models.  Additionally, the power of the computers which we had access to was considered </w:t>
      </w:r>
      <w:r>
        <w:rPr>
          <w:b w:val="false"/>
          <w:bCs w:val="false"/>
        </w:rPr>
        <w:t>when designing this stage</w:t>
      </w:r>
      <w:r>
        <w:rPr>
          <w:b w:val="false"/>
          <w:bCs w:val="false"/>
        </w:rPr>
        <w:t>.</w:t>
      </w:r>
    </w:p>
    <w:p>
      <w:pPr>
        <w:pStyle w:val="TextBody"/>
        <w:ind w:hanging="0"/>
        <w:rPr/>
      </w:pPr>
      <w:r>
        <w:rPr>
          <w:b w:val="false"/>
          <w:bCs w:val="false"/>
        </w:rPr>
        <w:tab/>
      </w:r>
      <w:r>
        <w:rPr>
          <w:b w:val="false"/>
          <w:bCs w:val="false"/>
        </w:rPr>
        <w:t xml:space="preserve">Given the computational resources we had access to, we chose to only use the “medium” sized subset of the FMA dataset, as defined in the metadata. </w:t>
      </w:r>
      <w:r>
        <w:rPr>
          <w:b w:val="false"/>
          <w:bCs w:val="false"/>
        </w:rPr>
        <w:t xml:space="preserve"> </w:t>
      </w:r>
      <w:r>
        <w:rPr>
          <w:b w:val="false"/>
          <w:bCs w:val="false"/>
        </w:rPr>
        <w:t xml:space="preserve">As shown in Figure 3, the resulting subset contained 25,000 tracks across 16 root genres.  </w:t>
      </w:r>
      <w:r>
        <w:rPr>
          <w:b w:val="false"/>
          <w:bCs w:val="false"/>
        </w:rPr>
        <w:t>Furthermore, we decided not to use the FMA audio files due to similar resource limitations.  Therefore, our dataset consists exclusively of metadata.</w:t>
      </w:r>
    </w:p>
    <w:p>
      <w:pPr>
        <w:pStyle w:val="TextBody"/>
        <w:ind w:hanging="0"/>
        <w:rPr/>
      </w:pPr>
      <w:r>
        <w:rPr>
          <w:b w:val="false"/>
          <w:bCs w:val="false"/>
        </w:rPr>
        <w:tab/>
      </w:r>
      <w:r>
        <w:rPr>
          <w:b w:val="false"/>
          <w:bCs w:val="false"/>
        </w:rPr>
        <w:t xml:space="preserve">Next, each track was relabeled using the root genre for which it is a child of, instead of its specific (sub)genre.  </w:t>
      </w:r>
      <w:r>
        <w:rPr>
          <w:b w:val="false"/>
          <w:bCs w:val="false"/>
        </w:rPr>
        <w:t>This allows us to limit the number of classes to 16, so that we ha</w:t>
      </w:r>
      <w:r>
        <w:rPr>
          <w:b w:val="false"/>
          <w:bCs w:val="false"/>
        </w:rPr>
        <w:t>d</w:t>
      </w:r>
      <w:r>
        <w:rPr>
          <w:b w:val="false"/>
          <w:bCs w:val="false"/>
        </w:rPr>
        <w:t xml:space="preserve"> sufficiently many tracks in each class.</w:t>
      </w:r>
    </w:p>
    <w:p>
      <w:pPr>
        <w:pStyle w:val="TextBody"/>
        <w:ind w:hanging="0"/>
        <w:rPr>
          <w:b w:val="false"/>
          <w:b w:val="false"/>
          <w:bCs w:val="false"/>
        </w:rPr>
      </w:pPr>
      <w:r>
        <w:rPr/>
        <w:drawing>
          <wp:anchor behindDoc="0" distT="0" distB="0" distL="0" distR="0" simplePos="0" locked="0" layoutInCell="1" allowOverlap="1" relativeHeight="4">
            <wp:simplePos x="0" y="0"/>
            <wp:positionH relativeFrom="column">
              <wp:posOffset>13970</wp:posOffset>
            </wp:positionH>
            <wp:positionV relativeFrom="paragraph">
              <wp:posOffset>49530</wp:posOffset>
            </wp:positionV>
            <wp:extent cx="3098800" cy="121348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098800" cy="1213485"/>
                    </a:xfrm>
                    <a:prstGeom prst="rect">
                      <a:avLst/>
                    </a:prstGeom>
                  </pic:spPr>
                </pic:pic>
              </a:graphicData>
            </a:graphic>
          </wp:anchor>
        </w:drawing>
      </w:r>
    </w:p>
    <w:p>
      <w:pPr>
        <w:pStyle w:val="Figurecaption"/>
        <w:numPr>
          <w:ilvl w:val="0"/>
          <w:numId w:val="2"/>
        </w:numPr>
        <w:ind w:left="0" w:hanging="0"/>
        <w:rPr/>
      </w:pPr>
      <w:r>
        <w:rPr>
          <w:b w:val="false"/>
          <w:bCs w:val="false"/>
          <w:iCs/>
        </w:rPr>
        <w:t>Number of tracks in “medium” subset of FMA across 16 root genres</w:t>
      </w:r>
      <w:r>
        <w:rPr>
          <w:b w:val="false"/>
          <w:bCs w:val="false"/>
          <w:iCs/>
        </w:rPr>
        <w:t>. [</w:t>
      </w:r>
      <w:r>
        <w:rPr>
          <w:b/>
          <w:bCs/>
          <w:iCs/>
        </w:rPr>
        <w:t>citation needed paper]</w:t>
      </w:r>
    </w:p>
    <w:p>
      <w:pPr>
        <w:pStyle w:val="TextBody"/>
        <w:ind w:hanging="0"/>
        <w:rPr>
          <w:b w:val="false"/>
          <w:b w:val="false"/>
          <w:bCs w:val="false"/>
        </w:rPr>
      </w:pPr>
      <w:r>
        <w:rPr/>
      </w:r>
    </w:p>
    <w:p>
      <w:pPr>
        <w:pStyle w:val="TextBody"/>
        <w:ind w:hanging="0"/>
        <w:rPr/>
      </w:pPr>
      <w:r>
        <w:rPr>
          <w:b w:val="false"/>
          <w:bCs w:val="false"/>
        </w:rPr>
        <w:tab/>
      </w:r>
      <w:r>
        <w:rPr>
          <w:b w:val="false"/>
          <w:bCs w:val="false"/>
        </w:rPr>
        <w:t xml:space="preserve">Once the tracks were relabeled, we organized the features associated with each of those tracks.  </w:t>
      </w:r>
      <w:r>
        <w:rPr>
          <w:b w:val="false"/>
          <w:bCs w:val="false"/>
        </w:rPr>
        <w:t xml:space="preserve"> </w:t>
      </w:r>
      <w:r>
        <w:rPr>
          <w:b w:val="false"/>
          <w:bCs w:val="false"/>
        </w:rPr>
        <w:t xml:space="preserve">First, we took the union of the librosa extracted features and the Echonest extracted features, because the source of the feature is irrelevant.  Then we split the features and their associated labels into training, validation, and test sets in accordance with the FMA propositions.  To prevent any unintended learning based on the natural order of the dataset, we randomly shuffled the order of the training set.  </w:t>
      </w:r>
      <w:r>
        <w:rPr>
          <w:b w:val="false"/>
          <w:bCs w:val="false"/>
        </w:rPr>
        <w:t>It is important to note that every model will receive the same random shuffling.</w:t>
      </w:r>
      <w:r>
        <w:rPr>
          <w:b w:val="false"/>
          <w:bCs w:val="false"/>
        </w:rPr>
        <w:t xml:space="preserve"> </w:t>
      </w:r>
      <w:r>
        <w:rPr>
          <w:b w:val="false"/>
          <w:bCs w:val="false"/>
        </w:rPr>
        <w:t xml:space="preserve">Finally, we centre all three sets about the </w:t>
      </w:r>
      <w:r>
        <w:rPr>
          <w:b w:val="false"/>
          <w:bCs w:val="false"/>
        </w:rPr>
        <w:t xml:space="preserve">training set’s </w:t>
      </w:r>
      <w:r>
        <w:rPr>
          <w:b w:val="false"/>
          <w:bCs w:val="false"/>
        </w:rPr>
        <w:t xml:space="preserve">mean, and make sure they are of unit variance </w:t>
      </w:r>
      <w:r>
        <w:rPr>
          <w:b w:val="false"/>
          <w:bCs w:val="false"/>
        </w:rPr>
        <w:t>using</w:t>
      </w:r>
      <w:r>
        <w:rPr>
          <w:b w:val="false"/>
          <w:bCs w:val="false"/>
        </w:rPr>
        <w:t xml:space="preserve"> (1).</w:t>
      </w:r>
    </w:p>
    <w:p>
      <w:pPr>
        <w:pStyle w:val="Equation"/>
        <w:widowControl/>
        <w:tabs>
          <w:tab w:val="center" w:pos="2520" w:leader="none"/>
          <w:tab w:val="right" w:pos="5040" w:leader="none"/>
        </w:tabs>
        <w:bidi w:val="0"/>
        <w:spacing w:lineRule="auto" w:line="216" w:before="240" w:after="240"/>
        <w:ind w:left="1531" w:right="0" w:hanging="0"/>
        <w:jc w:val="center"/>
        <w:rPr/>
      </w:pPr>
      <w:r>
        <w:rPr>
          <w:b w:val="false"/>
          <w:bCs w:val="false"/>
        </w:rPr>
        <w:t>y(c) = (c – m) / s</w:t>
      </w:r>
      <w:r>
        <w:rPr>
          <w:b w:val="false"/>
          <w:bCs w:val="false"/>
        </w:rPr>
        <w:tab/>
        <w:t></w:t>
      </w:r>
      <w:r>
        <w:rPr>
          <w:b w:val="false"/>
          <w:bCs w:val="false"/>
        </w:rPr>
        <w:t>1)</w:t>
      </w:r>
    </w:p>
    <w:p>
      <w:pPr>
        <w:pStyle w:val="TextBody"/>
        <w:ind w:hanging="0"/>
        <w:rPr/>
      </w:pPr>
      <w:r>
        <w:rPr>
          <w:b w:val="false"/>
          <w:bCs w:val="false"/>
        </w:rPr>
        <w:t xml:space="preserve">Where </w:t>
      </w:r>
      <w:r>
        <w:rPr>
          <w:rFonts w:ascii="Times New Roman" w:hAnsi="Times New Roman"/>
          <w:b w:val="false"/>
          <w:bCs w:val="false"/>
        </w:rPr>
        <w:t>μ</w:t>
      </w:r>
      <w:r>
        <w:rPr>
          <w:b w:val="false"/>
          <w:bCs w:val="false"/>
        </w:rPr>
        <w:t xml:space="preserve"> is the mean of the training set, </w:t>
      </w:r>
      <w:r>
        <w:rPr>
          <w:b w:val="false"/>
          <w:bCs w:val="false"/>
        </w:rPr>
        <w:t>and</w:t>
      </w:r>
      <w:r>
        <w:rPr>
          <w:b w:val="false"/>
          <w:bCs w:val="false"/>
        </w:rPr>
        <w:t xml:space="preserve"> </w:t>
      </w:r>
      <w:r>
        <w:rPr>
          <w:rFonts w:ascii="Times New Roman" w:hAnsi="Times New Roman"/>
          <w:b w:val="false"/>
          <w:bCs w:val="false"/>
        </w:rPr>
        <w:t>σ</w:t>
      </w:r>
      <w:r>
        <w:rPr>
          <w:b w:val="false"/>
          <w:bCs w:val="false"/>
        </w:rPr>
        <w:t xml:space="preserve"> is the standard deviation of the training set.  At this point all of our features are sufficiently preprocessed </w:t>
      </w:r>
      <w:r>
        <w:rPr>
          <w:b w:val="false"/>
          <w:bCs w:val="false"/>
        </w:rPr>
        <w:t>and ready to be passed on to the training stage</w:t>
      </w:r>
      <w:r>
        <w:rPr>
          <w:b w:val="false"/>
          <w:bCs w:val="false"/>
        </w:rPr>
        <w:t>.</w:t>
      </w:r>
    </w:p>
    <w:p>
      <w:pPr>
        <w:pStyle w:val="TextBody"/>
        <w:ind w:hanging="0"/>
        <w:rPr/>
      </w:pPr>
      <w:r>
        <w:rPr>
          <w:b w:val="false"/>
          <w:bCs w:val="false"/>
        </w:rPr>
        <w:tab/>
      </w:r>
    </w:p>
    <w:p>
      <w:pPr>
        <w:pStyle w:val="Heading2"/>
        <w:numPr>
          <w:ilvl w:val="1"/>
          <w:numId w:val="3"/>
        </w:numPr>
        <w:rPr/>
      </w:pPr>
      <w:r>
        <w:rPr/>
        <w:t>Model Training</w:t>
      </w:r>
    </w:p>
    <w:p>
      <w:pPr>
        <w:pStyle w:val="TextBody"/>
        <w:rPr/>
      </w:pPr>
      <w:r>
        <w:rPr/>
        <w:t>Our goal when selecting models was to construct a set of  of classifiers with high variety.  This would allow us to measure how changes to the type of model affected the classification results.   For this experiment we selected 10 models from the sklearn library.</w:t>
      </w:r>
    </w:p>
    <w:p>
      <w:pPr>
        <w:pStyle w:val="TextBody"/>
        <w:numPr>
          <w:ilvl w:val="0"/>
          <w:numId w:val="7"/>
        </w:numPr>
        <w:rPr/>
      </w:pPr>
      <w:r>
        <w:rPr/>
        <w:t>Logistic Regression</w:t>
      </w:r>
    </w:p>
    <w:p>
      <w:pPr>
        <w:pStyle w:val="TextBody"/>
        <w:numPr>
          <w:ilvl w:val="0"/>
          <w:numId w:val="7"/>
        </w:numPr>
        <w:rPr/>
      </w:pPr>
      <w:r>
        <w:rPr/>
        <w:t>Linear Support Vector Classification</w:t>
      </w:r>
    </w:p>
    <w:p>
      <w:pPr>
        <w:pStyle w:val="TextBody"/>
        <w:numPr>
          <w:ilvl w:val="0"/>
          <w:numId w:val="7"/>
        </w:numPr>
        <w:rPr/>
      </w:pPr>
      <w:r>
        <w:rPr/>
        <w:t>Support Vector Classification with Radial Basis Function Kernel</w:t>
      </w:r>
    </w:p>
    <w:p>
      <w:pPr>
        <w:pStyle w:val="TextBody"/>
        <w:numPr>
          <w:ilvl w:val="0"/>
          <w:numId w:val="7"/>
        </w:numPr>
        <w:rPr/>
      </w:pPr>
      <w:r>
        <w:rPr/>
        <w:t>k Nearest Neighbours</w:t>
      </w:r>
    </w:p>
    <w:p>
      <w:pPr>
        <w:pStyle w:val="TextBody"/>
        <w:numPr>
          <w:ilvl w:val="0"/>
          <w:numId w:val="7"/>
        </w:numPr>
        <w:rPr/>
      </w:pPr>
      <w:r>
        <w:rPr/>
        <w:t>Multilayer Perceptron Classifier</w:t>
      </w:r>
    </w:p>
    <w:p>
      <w:pPr>
        <w:pStyle w:val="TextBody"/>
        <w:numPr>
          <w:ilvl w:val="0"/>
          <w:numId w:val="7"/>
        </w:numPr>
        <w:rPr/>
      </w:pPr>
      <w:r>
        <w:rPr/>
        <w:t>Decision Tree Classifier</w:t>
      </w:r>
    </w:p>
    <w:p>
      <w:pPr>
        <w:pStyle w:val="TextBody"/>
        <w:numPr>
          <w:ilvl w:val="0"/>
          <w:numId w:val="7"/>
        </w:numPr>
        <w:rPr/>
      </w:pPr>
      <w:r>
        <w:rPr/>
        <w:t>Gaussian Naive Bayes</w:t>
      </w:r>
    </w:p>
    <w:p>
      <w:pPr>
        <w:pStyle w:val="TextBody"/>
        <w:numPr>
          <w:ilvl w:val="0"/>
          <w:numId w:val="7"/>
        </w:numPr>
        <w:rPr/>
      </w:pPr>
      <w:r>
        <w:rPr/>
        <w:t>Gradient Boosting Classifier</w:t>
      </w:r>
    </w:p>
    <w:p>
      <w:pPr>
        <w:pStyle w:val="TextBody"/>
        <w:numPr>
          <w:ilvl w:val="0"/>
          <w:numId w:val="7"/>
        </w:numPr>
        <w:rPr/>
      </w:pPr>
      <w:r>
        <w:rPr/>
        <w:t>Linear D</w:t>
      </w:r>
      <w:r>
        <w:rPr/>
        <w:t>is</w:t>
      </w:r>
      <w:r>
        <w:rPr/>
        <w:t>criminant Analysis</w:t>
      </w:r>
    </w:p>
    <w:p>
      <w:pPr>
        <w:pStyle w:val="TextBody"/>
        <w:numPr>
          <w:ilvl w:val="0"/>
          <w:numId w:val="7"/>
        </w:numPr>
        <w:rPr/>
      </w:pPr>
      <w:r>
        <w:rPr/>
        <w:t>Quadratic Dsicriminant Analysis</w:t>
      </w:r>
    </w:p>
    <w:p>
      <w:pPr>
        <w:pStyle w:val="TextBody"/>
        <w:rPr/>
      </w:pPr>
      <w:r>
        <w:rPr/>
      </w:r>
    </w:p>
    <w:p>
      <w:pPr>
        <w:pStyle w:val="TextBody"/>
        <w:rPr/>
      </w:pPr>
      <w:r>
        <w:rPr/>
        <w:t>For each model, we trained it on several different subsets of the entire feature set.  The purpose of this was to find the optimal performance of each model on the FMA dataset.  Therefore, we would not be comparing models on a subset of features that favours certain models.  Instead, every model can be evaluated by its best solution.</w:t>
      </w:r>
    </w:p>
    <w:p>
      <w:pPr>
        <w:pStyle w:val="TextBody"/>
        <w:rPr/>
      </w:pPr>
      <w:r>
        <w:rPr/>
        <w:t xml:space="preserve">[INSERT </w:t>
      </w:r>
      <w:r>
        <w:rPr/>
        <w:t>FIGURE W/FEATURE SET COMPARISON</w:t>
      </w:r>
      <w:r>
        <w:rPr/>
        <w:t>]</w:t>
      </w:r>
    </w:p>
    <w:p>
      <w:pPr>
        <w:pStyle w:val="TextBody"/>
        <w:ind w:hanging="0"/>
        <w:rPr/>
      </w:pPr>
      <w:r>
        <w:rPr/>
      </w:r>
    </w:p>
    <w:p>
      <w:pPr>
        <w:pStyle w:val="Heading2"/>
        <w:numPr>
          <w:ilvl w:val="1"/>
          <w:numId w:val="3"/>
        </w:numPr>
        <w:rPr/>
      </w:pPr>
      <w:r>
        <w:rPr/>
        <w:t xml:space="preserve">Model Testing </w:t>
      </w:r>
    </w:p>
    <w:p>
      <w:pPr>
        <w:pStyle w:val="TextBody"/>
        <w:ind w:hanging="0"/>
        <w:rPr/>
      </w:pPr>
      <w:r>
        <w:rPr/>
        <w:tab/>
      </w:r>
      <w:r>
        <w:rPr>
          <w:i w:val="false"/>
          <w:iCs w:val="false"/>
        </w:rPr>
        <w:t xml:space="preserve">Given every model, trained on its optimal subset of features, each </w:t>
      </w:r>
      <w:r>
        <w:rPr>
          <w:i w:val="false"/>
          <w:iCs w:val="false"/>
        </w:rPr>
        <w:t>one</w:t>
      </w:r>
      <w:r>
        <w:rPr>
          <w:i w:val="false"/>
          <w:iCs w:val="false"/>
        </w:rPr>
        <w:t xml:space="preserve"> </w:t>
      </w:r>
      <w:r>
        <w:rPr>
          <w:i w:val="false"/>
          <w:iCs w:val="false"/>
        </w:rPr>
        <w:t>predicts the genres of the test set features</w:t>
      </w:r>
      <w:r>
        <w:rPr>
          <w:i w:val="false"/>
          <w:iCs w:val="false"/>
        </w:rPr>
        <w:t xml:space="preserve">.  </w:t>
      </w:r>
      <w:r>
        <w:rPr>
          <w:i w:val="false"/>
          <w:iCs w:val="false"/>
        </w:rPr>
        <w:t>For each model, a confusion matrix is contructed to characterize the performance of that model.  Furthermore, the recall, and precision scores of each model operating on the test set are calculated with (2) and (3) respectively.</w:t>
      </w:r>
      <w:r>
        <w:rPr/>
        <w:br/>
      </w:r>
    </w:p>
    <w:p>
      <w:pPr>
        <w:pStyle w:val="Equation"/>
        <w:widowControl/>
        <w:numPr>
          <w:ilvl w:val="0"/>
          <w:numId w:val="0"/>
        </w:numPr>
        <w:tabs>
          <w:tab w:val="center" w:pos="2520" w:leader="none"/>
          <w:tab w:val="right" w:pos="5040" w:leader="none"/>
        </w:tabs>
        <w:bidi w:val="0"/>
        <w:spacing w:lineRule="auto" w:line="216" w:before="240" w:after="240"/>
        <w:ind w:left="907" w:right="0" w:hanging="0"/>
        <w:jc w:val="center"/>
        <w:rPr/>
      </w:pPr>
      <w:r>
        <w:rPr>
          <w:b w:val="false"/>
          <w:bCs w:val="false"/>
        </w:rPr>
        <w:t xml:space="preserve"> </w:t>
      </w:r>
      <w:r>
        <w:rPr>
          <w:rFonts w:ascii="Times New Roman" w:hAnsi="Times New Roman"/>
          <w:b w:val="false"/>
          <w:bCs w:val="false"/>
        </w:rPr>
        <w:t xml:space="preserve">RecallScore </w:t>
      </w:r>
      <w:r>
        <w:rPr>
          <w:b w:val="false"/>
          <w:bCs w:val="false"/>
        </w:rPr>
        <w:t xml:space="preserve">= </w:t>
      </w:r>
      <w:r>
        <w:rPr>
          <w:b w:val="false"/>
          <w:bCs w:val="false"/>
        </w:rPr>
        <w:t>T</w:t>
      </w:r>
      <w:r>
        <w:rPr>
          <w:rFonts w:ascii="Times New Roman" w:hAnsi="Times New Roman"/>
          <w:b w:val="false"/>
          <w:bCs w:val="false"/>
        </w:rPr>
        <w:t>p</w:t>
      </w:r>
      <w:r>
        <w:rPr>
          <w:b w:val="false"/>
          <w:bCs w:val="false"/>
        </w:rPr>
        <w:t xml:space="preserve"> / </w:t>
      </w:r>
      <w:r>
        <w:rPr>
          <w:b w:val="false"/>
          <w:bCs w:val="false"/>
        </w:rPr>
        <w:t>(</w:t>
      </w:r>
      <w:r>
        <w:rPr>
          <w:rFonts w:ascii="Times New Roman" w:hAnsi="Times New Roman"/>
          <w:b w:val="false"/>
          <w:bCs w:val="false"/>
        </w:rPr>
        <w:t>Tp</w:t>
      </w:r>
      <w:r>
        <w:rPr>
          <w:b w:val="false"/>
          <w:bCs w:val="false"/>
        </w:rPr>
        <w:t xml:space="preserve"> </w:t>
      </w:r>
      <w:r>
        <w:rPr>
          <w:b w:val="false"/>
          <w:bCs w:val="false"/>
        </w:rPr>
        <w:t xml:space="preserve">+ </w:t>
      </w:r>
      <w:r>
        <w:rPr>
          <w:rFonts w:ascii="Times New Roman" w:hAnsi="Times New Roman"/>
          <w:b w:val="false"/>
          <w:bCs w:val="false"/>
        </w:rPr>
        <w:t>Tn</w:t>
      </w:r>
      <w:r>
        <w:rPr>
          <w:b w:val="false"/>
          <w:bCs w:val="false"/>
        </w:rPr>
        <w:t>)</w:t>
      </w:r>
      <w:r>
        <w:rPr>
          <w:b w:val="false"/>
          <w:bCs w:val="false"/>
        </w:rPr>
        <w:tab/>
        <w:t></w:t>
      </w:r>
      <w:r>
        <w:rPr>
          <w:b w:val="false"/>
          <w:bCs w:val="false"/>
        </w:rPr>
        <w:t>2</w:t>
      </w:r>
      <w:r>
        <w:rPr>
          <w:b w:val="false"/>
          <w:bCs w:val="false"/>
        </w:rPr>
        <w:t>)</w:t>
      </w:r>
    </w:p>
    <w:p>
      <w:pPr>
        <w:pStyle w:val="Equation"/>
        <w:widowControl/>
        <w:numPr>
          <w:ilvl w:val="0"/>
          <w:numId w:val="0"/>
        </w:numPr>
        <w:tabs>
          <w:tab w:val="center" w:pos="2520" w:leader="none"/>
          <w:tab w:val="right" w:pos="5040" w:leader="none"/>
        </w:tabs>
        <w:bidi w:val="0"/>
        <w:spacing w:lineRule="auto" w:line="216" w:before="240" w:after="240"/>
        <w:ind w:left="907" w:right="0" w:hanging="0"/>
        <w:jc w:val="center"/>
        <w:rPr/>
      </w:pPr>
      <w:r>
        <w:rPr>
          <w:rFonts w:ascii="Times New Roman" w:hAnsi="Times New Roman"/>
          <w:b w:val="false"/>
          <w:bCs w:val="false"/>
        </w:rPr>
        <w:t xml:space="preserve">PrecisionScore </w:t>
      </w:r>
      <w:r>
        <w:rPr>
          <w:b w:val="false"/>
          <w:bCs w:val="false"/>
        </w:rPr>
        <w:t xml:space="preserve">= </w:t>
      </w:r>
      <w:r>
        <w:rPr>
          <w:b w:val="false"/>
          <w:bCs w:val="false"/>
        </w:rPr>
        <w:t>T</w:t>
      </w:r>
      <w:r>
        <w:rPr>
          <w:rFonts w:ascii="Times New Roman" w:hAnsi="Times New Roman"/>
          <w:b w:val="false"/>
          <w:bCs w:val="false"/>
        </w:rPr>
        <w:t>p</w:t>
      </w:r>
      <w:r>
        <w:rPr>
          <w:b w:val="false"/>
          <w:bCs w:val="false"/>
        </w:rPr>
        <w:t xml:space="preserve"> / </w:t>
      </w:r>
      <w:r>
        <w:rPr>
          <w:b w:val="false"/>
          <w:bCs w:val="false"/>
        </w:rPr>
        <w:t>(</w:t>
      </w:r>
      <w:r>
        <w:rPr>
          <w:rFonts w:ascii="Times New Roman" w:hAnsi="Times New Roman"/>
          <w:b w:val="false"/>
          <w:bCs w:val="false"/>
        </w:rPr>
        <w:t>Tp</w:t>
      </w:r>
      <w:r>
        <w:rPr>
          <w:b w:val="false"/>
          <w:bCs w:val="false"/>
        </w:rPr>
        <w:t xml:space="preserve"> </w:t>
      </w:r>
      <w:r>
        <w:rPr>
          <w:b w:val="false"/>
          <w:bCs w:val="false"/>
        </w:rPr>
        <w:t xml:space="preserve">+ </w:t>
      </w:r>
      <w:r>
        <w:rPr>
          <w:rFonts w:ascii="Times New Roman" w:hAnsi="Times New Roman"/>
          <w:b w:val="false"/>
          <w:bCs w:val="false"/>
        </w:rPr>
        <w:t>Fp</w:t>
      </w:r>
      <w:r>
        <w:rPr>
          <w:b w:val="false"/>
          <w:bCs w:val="false"/>
        </w:rPr>
        <w:t>)</w:t>
      </w:r>
      <w:r>
        <w:rPr>
          <w:b w:val="false"/>
          <w:bCs w:val="false"/>
        </w:rPr>
        <w:tab/>
        <w:t></w:t>
      </w:r>
      <w:r>
        <w:rPr>
          <w:b w:val="false"/>
          <w:bCs w:val="false"/>
        </w:rPr>
        <w:t>3</w:t>
      </w:r>
      <w:r>
        <w:rPr>
          <w:b w:val="false"/>
          <w:bCs w:val="false"/>
        </w:rPr>
        <w:t>)</w:t>
      </w:r>
    </w:p>
    <w:p>
      <w:pPr>
        <w:pStyle w:val="TextBody"/>
        <w:widowControl/>
        <w:numPr>
          <w:ilvl w:val="0"/>
          <w:numId w:val="0"/>
        </w:numPr>
        <w:tabs>
          <w:tab w:val="clear" w:pos="288"/>
          <w:tab w:val="left" w:pos="0" w:leader="none"/>
        </w:tabs>
        <w:bidi w:val="0"/>
        <w:spacing w:before="120" w:after="60"/>
        <w:ind w:left="0" w:hanging="0"/>
        <w:jc w:val="left"/>
        <w:outlineLvl w:val="1"/>
        <w:rPr/>
      </w:pPr>
      <w:r>
        <w:rPr>
          <w:b w:val="false"/>
          <w:bCs w:val="false"/>
        </w:rPr>
        <w:t>W</w:t>
      </w:r>
      <w:r>
        <w:rPr>
          <w:b w:val="false"/>
          <w:bCs w:val="false"/>
        </w:rPr>
        <w:t>here Tp is the number of true positive predictions, Tn is the number of true negative predictions, and Fp is the number of false positive predictions.</w:t>
      </w:r>
    </w:p>
    <w:p>
      <w:pPr>
        <w:pStyle w:val="TextBody"/>
        <w:widowControl/>
        <w:numPr>
          <w:ilvl w:val="0"/>
          <w:numId w:val="0"/>
        </w:numPr>
        <w:tabs>
          <w:tab w:val="clear" w:pos="288"/>
          <w:tab w:val="left" w:pos="0" w:leader="none"/>
        </w:tabs>
        <w:bidi w:val="0"/>
        <w:spacing w:before="120" w:after="60"/>
        <w:ind w:left="0" w:hanging="0"/>
        <w:jc w:val="left"/>
        <w:outlineLvl w:val="1"/>
        <w:rPr>
          <w:b w:val="false"/>
          <w:b w:val="false"/>
          <w:bCs w:val="false"/>
        </w:rPr>
      </w:pPr>
      <w:r>
        <w:rPr/>
      </w:r>
    </w:p>
    <w:p>
      <w:pPr>
        <w:pStyle w:val="Heading1"/>
        <w:numPr>
          <w:ilvl w:val="0"/>
          <w:numId w:val="3"/>
        </w:numPr>
        <w:ind w:hanging="0"/>
        <w:rPr/>
      </w:pPr>
      <w:r>
        <w:rPr/>
        <w:t xml:space="preserve">Experimental  </w:t>
      </w:r>
      <w:r>
        <w:rPr/>
        <w:t>Results</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8" w:type="dxa"/>
          <w:bottom w:w="0" w:type="dxa"/>
          <w:right w:w="108" w:type="dxa"/>
        </w:tblCellMar>
        <w:tblLook w:noVBand="0" w:noH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1"/>
        <w:numPr>
          <w:ilvl w:val="0"/>
          <w:numId w:val="3"/>
        </w:numPr>
        <w:ind w:hanging="0"/>
        <w:rPr/>
      </w:pPr>
      <w:r>
        <w:rPr/>
        <w:t>Discussion</w:t>
      </w:r>
    </w:p>
    <w:p>
      <w:pPr>
        <w:pStyle w:val="Heading1"/>
        <w:numPr>
          <w:ilvl w:val="0"/>
          <w:numId w:val="3"/>
        </w:numPr>
        <w:ind w:hanging="0"/>
        <w:rPr>
          <w:i w:val="false"/>
          <w:i w:val="false"/>
          <w:iCs w:val="false"/>
        </w:rPr>
      </w:pPr>
      <w:r>
        <w:rPr>
          <w:i w:val="false"/>
          <w:iCs w:val="false"/>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4"/>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4"/>
        </w:numPr>
        <w:ind w:left="354" w:hanging="354"/>
        <w:rPr/>
      </w:pPr>
      <w:r>
        <w:rPr/>
        <w:t>J. Clerk Maxwell, A Treatise on Electricity and Magnetism, 3rd ed., vol. 2. Oxford: Clarendon, 1892, pp.68–73.</w:t>
      </w:r>
    </w:p>
    <w:p>
      <w:pPr>
        <w:pStyle w:val="References"/>
        <w:numPr>
          <w:ilvl w:val="0"/>
          <w:numId w:val="4"/>
        </w:numPr>
        <w:ind w:left="354" w:hanging="354"/>
        <w:rPr/>
      </w:pPr>
      <w:r>
        <w:rPr/>
        <w:t>I. S. Jacobs and C. P. Bean, “Fine particles, thin films and exchange anisotropy,” in Magnetism, vol. III, G. T. Rado and H. Suhl, Eds. New York: Academic, 1963, pp. 271–350.</w:t>
      </w:r>
    </w:p>
    <w:p>
      <w:pPr>
        <w:pStyle w:val="References"/>
        <w:numPr>
          <w:ilvl w:val="0"/>
          <w:numId w:val="4"/>
        </w:numPr>
        <w:ind w:left="354" w:hanging="354"/>
        <w:rPr/>
      </w:pPr>
      <w:r>
        <w:rPr/>
        <w:t>K. Elissa, “Title of paper if known,” unpublished.</w:t>
      </w:r>
    </w:p>
    <w:p>
      <w:pPr>
        <w:pStyle w:val="References"/>
        <w:numPr>
          <w:ilvl w:val="0"/>
          <w:numId w:val="4"/>
        </w:numPr>
        <w:ind w:left="354" w:hanging="354"/>
        <w:rPr/>
      </w:pPr>
      <w:r>
        <w:rPr/>
        <w:t>R. Nicole, “Title of paper with only first word capitalized,” J. Name Stand. Abbrev., in press.</w:t>
      </w:r>
    </w:p>
    <w:p>
      <w:pPr>
        <w:pStyle w:val="References"/>
        <w:numPr>
          <w:ilvl w:val="0"/>
          <w:numId w:val="4"/>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4"/>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dmacle22@uwo.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LibreOffice/6.1.5.2$Linux_X86_64 LibreOffice_project/10$Build-2</Application>
  <Pages>4</Pages>
  <Words>2429</Words>
  <Characters>12672</Characters>
  <CharactersWithSpaces>15009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en-CA</dc:language>
  <cp:lastModifiedBy/>
  <dcterms:modified xsi:type="dcterms:W3CDTF">2021-04-04T21:42:10Z</dcterms:modified>
  <cp:revision>8</cp:revision>
  <dc:subject/>
  <dc:title>Paper Title (use style: paper title)</dc:title>
</cp:coreProperties>
</file>