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7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Take-home</w:t>
      </w:r>
      <w:r>
        <w:t xml:space="preserve"> </w:t>
      </w:r>
      <w:r>
        <w:t xml:space="preserve">exercise01</w:t>
      </w:r>
    </w:p>
    <w:p>
      <w:pPr>
        <w:pStyle w:val="Author"/>
      </w:pPr>
      <w:r>
        <w:t xml:space="preserve">YUAN</w:t>
      </w:r>
      <w:r>
        <w:t xml:space="preserve"> </w:t>
      </w:r>
      <w:r>
        <w:t xml:space="preserve">Yihao</w:t>
      </w:r>
    </w:p>
    <w:p>
      <w:pPr>
        <w:pStyle w:val="Date"/>
      </w:pPr>
      <w:r>
        <w:t xml:space="preserve">2025-05-11</w:t>
      </w:r>
    </w:p>
    <w:bookmarkStart w:id="20" w:name="part-1"/>
    <w:p>
      <w:pPr>
        <w:pStyle w:val="Heading1"/>
      </w:pPr>
      <w:r>
        <w:t xml:space="preserve">Part 1</w:t>
      </w:r>
    </w:p>
    <w:bookmarkEnd w:id="20"/>
    <w:bookmarkStart w:id="25" w:name="overview"/>
    <w:p>
      <w:pPr>
        <w:pStyle w:val="Heading1"/>
      </w:pPr>
      <w:r>
        <w:t xml:space="preserve">1.0 Overview</w:t>
      </w:r>
    </w:p>
    <w:bookmarkStart w:id="21" w:name="background"/>
    <w:p>
      <w:pPr>
        <w:pStyle w:val="Heading2"/>
      </w:pPr>
      <w:r>
        <w:t xml:space="preserve">1.1 Background</w:t>
      </w:r>
    </w:p>
    <w:p>
      <w:pPr>
        <w:pStyle w:val="FirstParagraph"/>
      </w:pPr>
      <w:r>
        <w:t xml:space="preserve">Analysis on demographic structures and distribution of Singapore in 2024</w:t>
      </w:r>
    </w:p>
    <w:bookmarkEnd w:id="21"/>
    <w:bookmarkStart w:id="22" w:name="objective"/>
    <w:p>
      <w:pPr>
        <w:pStyle w:val="Heading2"/>
      </w:pPr>
      <w:r>
        <w:t xml:space="preserve">1.2 Objective</w:t>
      </w:r>
    </w:p>
    <w:p>
      <w:pPr>
        <w:pStyle w:val="FirstParagraph"/>
      </w:pPr>
      <w:r>
        <w:t xml:space="preserve">Identify the gender distribution by age</w:t>
      </w:r>
    </w:p>
    <w:p>
      <w:pPr>
        <w:pStyle w:val="BodyText"/>
      </w:pPr>
      <w:r>
        <w:t xml:space="preserve">Identify the age distribution by region</w:t>
      </w:r>
    </w:p>
    <w:p>
      <w:pPr>
        <w:pStyle w:val="BodyText"/>
      </w:pPr>
      <w:r>
        <w:t xml:space="preserve">Conduct more detailed analysis on the regions with distinct characteristics</w:t>
      </w:r>
    </w:p>
    <w:bookmarkEnd w:id="22"/>
    <w:bookmarkStart w:id="24" w:name="the-data"/>
    <w:p>
      <w:pPr>
        <w:pStyle w:val="Heading2"/>
      </w:pPr>
      <w:r>
        <w:t xml:space="preserve">1.3 The Data</w:t>
      </w:r>
    </w:p>
    <w:p>
      <w:pPr>
        <w:pStyle w:val="FirstParagraph"/>
      </w:pPr>
      <w:r>
        <w:rPr>
          <w:i/>
          <w:iCs/>
        </w:rPr>
        <w:t xml:space="preserve">Singapore Residents by Planning Area / Subzone, Single Year of Age and Sex, June 2024</w:t>
      </w:r>
      <w:r>
        <w:t xml:space="preserve"> dataset shares by </w:t>
      </w:r>
      <w:hyperlink r:id="rId23">
        <w:r>
          <w:rPr>
            <w:rStyle w:val="Hyperlink"/>
          </w:rPr>
          <w:t xml:space="preserve">Department of Statistics, Singapore (DOS)</w:t>
        </w:r>
      </w:hyperlink>
    </w:p>
    <w:bookmarkEnd w:id="24"/>
    <w:bookmarkEnd w:id="25"/>
    <w:bookmarkStart w:id="26" w:name="packages"/>
    <w:p>
      <w:pPr>
        <w:pStyle w:val="Heading1"/>
      </w:pPr>
      <w:r>
        <w:t xml:space="preserve">2. Packages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(ggiraph, plotly, </w:t>
      </w:r>
      <w:r>
        <w:br/>
      </w:r>
      <w:r>
        <w:rPr>
          <w:rStyle w:val="NormalTok"/>
        </w:rPr>
        <w:t xml:space="preserve">               patchwork, DT, tidyverse) </w:t>
      </w:r>
    </w:p>
    <w:bookmarkEnd w:id="26"/>
    <w:bookmarkStart w:id="33" w:name="getting-started"/>
    <w:p>
      <w:pPr>
        <w:pStyle w:val="Heading1"/>
      </w:pPr>
      <w:r>
        <w:t xml:space="preserve">3. Getting Started</w:t>
      </w:r>
    </w:p>
    <w:bookmarkStart w:id="27" w:name="importing-data"/>
    <w:p>
      <w:pPr>
        <w:pStyle w:val="Heading2"/>
      </w:pPr>
      <w:r>
        <w:t xml:space="preserve">3.1 Importing data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"respopagesex2024/respopagesex2024.csv"</w:t>
      </w:r>
      <w:r>
        <w:rPr>
          <w:rStyle w:val="NormalTok"/>
        </w:rPr>
        <w:t xml:space="preserve">)</w:t>
      </w:r>
    </w:p>
    <w:bookmarkEnd w:id="27"/>
    <w:bookmarkStart w:id="32" w:name="data-cleaning"/>
    <w:p>
      <w:pPr>
        <w:pStyle w:val="Heading2"/>
      </w:pPr>
      <w:r>
        <w:t xml:space="preserve">3.2 Data cleaning</w:t>
      </w:r>
    </w:p>
    <w:bookmarkStart w:id="28" w:name="check-missing-values"/>
    <w:p>
      <w:pPr>
        <w:pStyle w:val="Heading3"/>
      </w:pPr>
      <w:r>
        <w:t xml:space="preserve">3.2.1 Check missing values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is.na))</w:t>
      </w:r>
    </w:p>
    <w:p>
      <w:pPr>
        <w:pStyle w:val="SourceCode"/>
      </w:pPr>
      <w:r>
        <w:rPr>
          <w:rStyle w:val="VerbatimChar"/>
        </w:rPr>
        <w:t xml:space="preserve"># A tibble: 0 × 6</w:t>
      </w:r>
      <w:r>
        <w:br/>
      </w:r>
      <w:r>
        <w:rPr>
          <w:rStyle w:val="VerbatimChar"/>
        </w:rPr>
        <w:t xml:space="preserve"># ℹ 6 variables: PA &lt;chr&gt;, SZ &lt;chr&gt;, Age &lt;chr&gt;, Sex &lt;chr&gt;, Pop &lt;dbl&gt;,</w:t>
      </w:r>
      <w:r>
        <w:br/>
      </w:r>
      <w:r>
        <w:rPr>
          <w:rStyle w:val="VerbatimChar"/>
        </w:rPr>
        <w:t xml:space="preserve">#   Time &lt;dbl&gt;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(res_data))</w:t>
      </w:r>
    </w:p>
    <w:p>
      <w:pPr>
        <w:pStyle w:val="SourceCode"/>
      </w:pPr>
      <w:r>
        <w:rPr>
          <w:rStyle w:val="VerbatimChar"/>
        </w:rPr>
        <w:t xml:space="preserve">  PA   SZ  Age  Sex  Pop Time </w:t>
      </w:r>
      <w:r>
        <w:br/>
      </w:r>
      <w:r>
        <w:rPr>
          <w:rStyle w:val="VerbatimChar"/>
        </w:rPr>
        <w:t xml:space="preserve">   0    0    0    0    0    0 </w:t>
      </w:r>
    </w:p>
    <w:bookmarkEnd w:id="28"/>
    <w:bookmarkStart w:id="29" w:name="change-data-values"/>
    <w:p>
      <w:pPr>
        <w:pStyle w:val="Heading3"/>
      </w:pPr>
      <w:r>
        <w:t xml:space="preserve">3.2.2 Change data values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"90"</w:t>
      </w:r>
      <w:r>
        <w:rPr>
          <w:rStyle w:val="NormalTok"/>
        </w:rPr>
        <w:t xml:space="preserve">, 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(Age)) </w:t>
      </w:r>
    </w:p>
    <w:bookmarkEnd w:id="29"/>
    <w:bookmarkStart w:id="30" w:name="check-and-convert-data-type"/>
    <w:p>
      <w:pPr>
        <w:pStyle w:val="Heading3"/>
      </w:pPr>
      <w:r>
        <w:t xml:space="preserve">3.2.3 Check and Convert data type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(res_data)</w:t>
      </w:r>
    </w:p>
    <w:p>
      <w:pPr>
        <w:pStyle w:val="SourceCode"/>
      </w:pPr>
      <w:r>
        <w:rPr>
          <w:rStyle w:val="VerbatimChar"/>
        </w:rPr>
        <w:t xml:space="preserve">tibble [60,424 × 6] (S3: tbl_df/tbl/data.frame)</w:t>
      </w:r>
      <w:r>
        <w:br/>
      </w:r>
      <w:r>
        <w:rPr>
          <w:rStyle w:val="VerbatimChar"/>
        </w:rPr>
        <w:t xml:space="preserve"> $ PA  : chr [1:60424] "Ang Mo Kio" "Ang Mo Kio" "Ang Mo Kio" "Ang Mo Kio" ...</w:t>
      </w:r>
      <w:r>
        <w:br/>
      </w:r>
      <w:r>
        <w:rPr>
          <w:rStyle w:val="VerbatimChar"/>
        </w:rPr>
        <w:t xml:space="preserve"> $ SZ  : chr [1:60424]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: num [1:60424] 0 0 1 1 2 2 3 3 4 4 ...</w:t>
      </w:r>
      <w:r>
        <w:br/>
      </w:r>
      <w:r>
        <w:rPr>
          <w:rStyle w:val="VerbatimChar"/>
        </w:rPr>
        <w:t xml:space="preserve"> $ Sex : chr [1:60424] "Males" "Females" "Males" "Females" ...</w:t>
      </w:r>
      <w:r>
        <w:br/>
      </w:r>
      <w:r>
        <w:rPr>
          <w:rStyle w:val="VerbatimChar"/>
        </w:rPr>
        <w:t xml:space="preserve"> $ Pop : num [1:60424] 10 10 10 10 10 10 10 10 30 10 ...</w:t>
      </w:r>
      <w:r>
        <w:br/>
      </w:r>
      <w:r>
        <w:rPr>
          <w:rStyle w:val="VerbatimChar"/>
        </w:rPr>
        <w:t xml:space="preserve"> $ Time: num [1:60424] 2024 2024 2024 2024 2024 ...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  )</w:t>
      </w:r>
    </w:p>
    <w:bookmarkEnd w:id="30"/>
    <w:bookmarkStart w:id="31" w:name="data-glimpse"/>
    <w:p>
      <w:pPr>
        <w:pStyle w:val="Heading3"/>
      </w:pPr>
      <w:r>
        <w:t xml:space="preserve">3.2.4 Data glimpse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(res_data)</w:t>
      </w:r>
    </w:p>
    <w:p>
      <w:pPr>
        <w:pStyle w:val="SourceCode"/>
      </w:pPr>
      <w:r>
        <w:rPr>
          <w:rStyle w:val="VerbatimChar"/>
        </w:rPr>
        <w:t xml:space="preserve">tibble [60,424 × 6] (S3: tbl_df/tbl/data.frame)</w:t>
      </w:r>
      <w:r>
        <w:br/>
      </w:r>
      <w:r>
        <w:rPr>
          <w:rStyle w:val="VerbatimChar"/>
        </w:rPr>
        <w:t xml:space="preserve"> $ PA  : chr [1:60424] "Ang Mo Kio" "Ang Mo Kio" "Ang Mo Kio" "Ang Mo Kio" ...</w:t>
      </w:r>
      <w:r>
        <w:br/>
      </w:r>
      <w:r>
        <w:rPr>
          <w:rStyle w:val="VerbatimChar"/>
        </w:rPr>
        <w:t xml:space="preserve"> $ SZ  : chr [1:60424]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: num [1:60424] 0 0 1 1 2 2 3 3 4 4 ...</w:t>
      </w:r>
      <w:r>
        <w:br/>
      </w:r>
      <w:r>
        <w:rPr>
          <w:rStyle w:val="VerbatimChar"/>
        </w:rPr>
        <w:t xml:space="preserve"> $ Sex : chr [1:60424] "Males" "Females" "Males" "Females" ...</w:t>
      </w:r>
      <w:r>
        <w:br/>
      </w:r>
      <w:r>
        <w:rPr>
          <w:rStyle w:val="VerbatimChar"/>
        </w:rPr>
        <w:t xml:space="preserve"> $ Pop : num [1:60424] 10 10 10 10 10 10 10 10 30 10 ...</w:t>
      </w:r>
      <w:r>
        <w:br/>
      </w:r>
      <w:r>
        <w:rPr>
          <w:rStyle w:val="VerbatimChar"/>
        </w:rPr>
        <w:t xml:space="preserve"> $ Time: num [1:60424] 2024 2024 2024 2024 2024 ...</w:t>
      </w:r>
    </w:p>
    <w:bookmarkEnd w:id="31"/>
    <w:bookmarkEnd w:id="32"/>
    <w:bookmarkEnd w:id="33"/>
    <w:bookmarkStart w:id="46" w:name="exploratory-visual-analysis"/>
    <w:p>
      <w:pPr>
        <w:pStyle w:val="Heading1"/>
      </w:pPr>
      <w:r>
        <w:t xml:space="preserve">4. Exploratory Visual Analysis</w:t>
      </w:r>
    </w:p>
    <w:bookmarkStart w:id="37" w:name="population-by-age-and-sex"/>
    <w:p>
      <w:pPr>
        <w:pStyle w:val="Heading2"/>
      </w:pPr>
      <w:r>
        <w:t xml:space="preserve">4.1 Population by Age and Sex</w:t>
      </w:r>
    </w:p>
    <w:p>
      <w:pPr>
        <w:pStyle w:val="FirstParagraph"/>
      </w:pPr>
      <w:r>
        <w:t xml:space="preserve">The grey area represents the lower population for males and females. The colored bars represent the number of population exceeded another gender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br/>
      </w:r>
      <w:r>
        <w:rPr>
          <w:rStyle w:val="NormalTok"/>
        </w:rPr>
        <w:t xml:space="preserve">grouped_data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(Males, Females),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male_extra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(Males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Females, Males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Females,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female_extra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(Females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Males, Females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Males,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min_pop),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"gray70"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male_extra),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female_extra),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Age and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ake-home_Ex01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Obviously, in the age range of 0 to 30, the male population is larger than the female population. However, from 30 to 90, the female population is significantly larger than the male population.</w:t>
      </w:r>
    </w:p>
    <w:bookmarkEnd w:id="37"/>
    <w:bookmarkStart w:id="41" w:name="X69dd83025ad481abea48987554918c0ca640f91"/>
    <w:p>
      <w:pPr>
        <w:pStyle w:val="Heading2"/>
      </w:pPr>
      <w:r>
        <w:t xml:space="preserve">4.2 Population by Age Group and Planning Area Analyze the number of the aging population in each region.</w:t>
      </w:r>
    </w:p>
    <w:p>
      <w:pPr>
        <w:pStyle w:val="SourceCode"/>
      </w:pPr>
      <w:r>
        <w:rPr>
          <w:rStyle w:val="NormalTok"/>
        </w:rPr>
        <w:t xml:space="preserve">res_data_grouped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res_data_grouped_filtered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res_data_grouped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(res_data_grouped_filtered,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(PA, Pop),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Age Group and 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ake-home_Ex01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Given the large number of regions, it is proposed to construct new variables in order to more intuitively analyze and understand the distribution and proportion of the aging population.</w:t>
      </w:r>
    </w:p>
    <w:bookmarkEnd w:id="41"/>
    <w:bookmarkStart w:id="45" w:name="X2620a746c56a9e46853cf2d6bc71a48cee20b91"/>
    <w:p>
      <w:pPr>
        <w:pStyle w:val="Heading2"/>
      </w:pPr>
      <w:r>
        <w:t xml:space="preserve">4.3 Aging-to-Under-Age Population Ratio by Planning Area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br/>
      </w:r>
      <w:r>
        <w:rPr>
          <w:rStyle w:val="NormalTok"/>
        </w:rPr>
        <w:t xml:space="preserve">age_summary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res_data_grouped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 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age_ratio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AgeGroup,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Total)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Aging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Under 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(age_ratio,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ratio,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(PA, ratio)))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"Aging-to-Under-Age Population Ratio by 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 / Under Age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Take-home_Ex01_files/figure-docx/unnamed-chunk-1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Observation: From this chart, we can see the ranking of regions with a larger proportion of the elderly population.</w:t>
      </w:r>
    </w:p>
    <w:bookmarkEnd w:id="45"/>
    <w:bookmarkEnd w:id="46"/>
    <w:bookmarkStart w:id="50" w:name="part-2-peer-learning"/>
    <w:p>
      <w:pPr>
        <w:pStyle w:val="Heading1"/>
      </w:pPr>
      <w:r>
        <w:t xml:space="preserve">PART 2 Peer Learning</w:t>
      </w:r>
    </w:p>
    <w:p>
      <w:pPr>
        <w:pStyle w:val="FirstParagraph"/>
      </w:pPr>
      <w:r>
        <w:t xml:space="preserve">Comment for 2nd plot in https://pengxinhuang.netlify.app/take-home_ex01/#age-structure-comparison-across-planning-areas</w:t>
      </w:r>
    </w:p>
    <w:p>
      <w:pPr>
        <w:pStyle w:val="BodyText"/>
      </w:pPr>
      <w:r>
        <w:t xml:space="preserve">pros</w:t>
      </w:r>
      <w:r>
        <w:t xml:space="preserve"> </w:t>
      </w:r>
      <w:r>
        <w:t xml:space="preserve">1. Appropriate type of plot. Easier to know the distribution.</w:t>
      </w:r>
      <w:r>
        <w:t xml:space="preserve"> </w:t>
      </w:r>
      <w:r>
        <w:t xml:space="preserve">2. Choose some typical area to represent diffirent area’s distribution.</w:t>
      </w:r>
      <w:r>
        <w:t xml:space="preserve"> </w:t>
      </w:r>
      <w:r>
        <w:t xml:space="preserve">3. Put plots together to compare</w:t>
      </w:r>
    </w:p>
    <w:p>
      <w:pPr>
        <w:pStyle w:val="BodyText"/>
      </w:pPr>
      <w:r>
        <w:t xml:space="preserve">cons</w:t>
      </w:r>
      <w:r>
        <w:t xml:space="preserve"> </w:t>
      </w:r>
      <w:r>
        <w:t xml:space="preserve">1. X-axis: The data has negative numbers</w:t>
      </w:r>
      <w:r>
        <w:t xml:space="preserve"> </w:t>
      </w:r>
      <w:r>
        <w:t xml:space="preserve">2. Y-axis: The text overlaps, and the last group is NA</w:t>
      </w:r>
      <w:r>
        <w:t xml:space="preserve"> </w:t>
      </w:r>
      <w:r>
        <w:t xml:space="preserve">3. Overall: The X-axis index of the four pictures are different, which may cause some population misguidance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agg_data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Age_group,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agg_data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Pop_plot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Pop, Pop))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(agg_data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"Bedok"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"Bukit Timah"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"Tampines"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Pop_plot,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abs)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Pyramids of Selected Planning Areas (2024)"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"Representing new township (Tampines), mature estate (Bedok), high-income area (Bukit Timah),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and historical district (Outram)"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ake-home_Ex01_files/figure-docx/unnamed-chunk-1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23" Target="https://www.singstat.gov.s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singstat.gov.s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Take-home exercise01</dc:title>
  <dc:creator>YUAN Yihao</dc:creator>
  <dc:description>Part1 and Part2</dc:description>
  <cp:keywords/>
  <dcterms:created xsi:type="dcterms:W3CDTF">2025-05-16T03:18:07Z</dcterms:created>
  <dcterms:modified xsi:type="dcterms:W3CDTF">2025-05-16T03:18:07Z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2025-05-11</vt:lpwstr>
  </property>
  <property fmtid="{D5CDD505-2E9C-101B-9397-08002B2CF9AE}" pid="6" name="date-modified">
    <vt:lpwstr>2025-05-11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