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1E2E"/>
          <w:sz w:val="52"/>
          <w:szCs w:val="52"/>
        </w:rPr>
        <w:t xml:space="preserve">MELEE</w:t>
      </w:r>
    </w:p>
    <w:p>
      <w:pPr>
        <w:spacing w:after="40" w:before="0"/>
      </w:pPr>
      <w:r>
        <w:rPr>
          <w:rFonts w:ascii="Arial" w:cs="Arial" w:eastAsia="Arial" w:hAnsi="Arial"/>
          <w:i/>
          <w:iCs/>
          <w:color w:val="444466"/>
          <w:sz w:val="30"/>
          <w:szCs w:val="30"/>
        </w:rPr>
        <w:t xml:space="preserve">Product Testing Backlog</w:t>
      </w:r>
    </w:p>
    <w:p>
      <w:pPr>
        <w:spacing w:after="40" w:before="0"/>
      </w:pPr>
      <w:r>
        <w:rPr>
          <w:rFonts w:ascii="Arial" w:cs="Arial" w:eastAsia="Arial" w:hAnsi="Arial"/>
          <w:color w:val="888888"/>
          <w:sz w:val="20"/>
          <w:szCs w:val="20"/>
        </w:rPr>
        <w:t xml:space="preserve">What to measure when we have real users</w:t>
      </w:r>
    </w:p>
    <w:p>
      <w:pPr>
        <w:spacing w:after="80" w:before="0"/>
      </w:pPr>
      <w:r>
        <w:rPr>
          <w:rFonts w:ascii="Arial" w:cs="Arial" w:eastAsia="Arial" w:hAnsi="Arial"/>
          <w:color w:val="999999"/>
          <w:sz w:val="18"/>
          <w:szCs w:val="18"/>
        </w:rPr>
        <w:t xml:space="preserve">Version 1.0  ·  May 2026  ·  Living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b/>
                <w:bCs/>
                <w:color w:val="0D47A1"/>
                <w:sz w:val="19"/>
                <w:szCs w:val="19"/>
              </w:rPr>
              <w:t xml:space="preserve">This document is the living register of product hypotheses to test once Melee has real users at scale. It is companion to the Design Thinking doc (What If / What Works) and the Observation Log. Hypotheses here have not yet been tested. Add to this list freely. Mark status as evidence accumulates.</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How to use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Column</w:t>
            </w:r>
          </w:p>
        </w:tc>
        <w:tc>
          <w:tcPr>
            <w:tcW w:type="dxa" w:w="69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goes here</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Hypothesis</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specific, testable claim. Written as 'We believe X will cause 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Why it matters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What decision this informs. What would change if the hypothesis is wrong.</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How to test</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Minimum viable measurement. What to look for in data, Chatter logs, or survey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When this can be tested. Phase 1 = first friend group beta. Phase 2 = second group. Phase 3 = open beta scale.</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Status</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Untested · In progress · Validated · Invalidated · Inconclusive</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5C4A00"/>
                <w:sz w:val="19"/>
                <w:szCs w:val="19"/>
              </w:rPr>
              <w:t xml:space="preserve">PRINCIPLE: A hypothesis that cannot be falsified is not a hypothesis — it's a belief. Every item here should have a clear signal that would prove it wrong.</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1. Odds Exposure</w:t>
      </w:r>
    </w:p>
    <w:p>
      <w:pPr>
        <w:spacing w:after="80" w:before="60"/>
      </w:pPr>
      <w:r>
        <w:rPr>
          <w:rFonts w:ascii="Arial" w:cs="Arial" w:eastAsia="Arial" w:hAnsi="Arial"/>
          <w:color w:val="1E1E2E"/>
          <w:sz w:val="20"/>
          <w:szCs w:val="20"/>
        </w:rPr>
        <w:t xml:space="preserve">The core design decision: odds are shown during spectating, not during pick selection. The hypotheses below test whether this is the right call and refine how the spectating odds feature should work.</w:t>
      </w:r>
    </w:p>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1.1 Odds during pick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19"/>
                <w:szCs w:val="19"/>
              </w:rPr>
              <w:t xml:space="preserve">DECIDED: No odds during pick selection — platform-wide. These tests validate that decision.</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240"/>
        <w:gridCol w:w="2240"/>
        <w:gridCol w:w="2000"/>
      </w:tblGrid>
      <w:tr>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Hypothesis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it matters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to test</w:t>
            </w:r>
          </w:p>
        </w:tc>
        <w:tc>
          <w:tcPr>
            <w:tcW w:type="dxa" w:w="2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Phase / Status</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Players who pick without odds data produce more personality-driven picks (i.e., picks that diverge from consensus) than players who had access to probability data before committing.</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Validates the core 'vibes, not math' principle. If pick diversity doesn't differ, the decision is purely aesthetic. If it does, it's a product mechanic.</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If A/B feasible: compare pick diversity (% of picks that match the most-popular pick per Stage) between odds-exposed and odds-blind groups. Proxy if not: survey — 'Did you look up odds or predictions before making your picks?' Cross-reference with pick divergence from group consensus.</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2–3 / Untested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Showing odds during pick selection reduces Chatter volume because picks converge toward consensus and there is less to argue about.</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Directly tests whether odds contaminate the social mechanic, not just the experience. This is the strongest version of the argument for keeping odds out of picks.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Requires at least two groups on the same event — one with odds shown, one without. Compare Chatter post count and topic distribution (how much Chatter references pick divergence vs. pure reaction).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2–3 / Untested</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Users who had access to odds during selection are more likely to use 'I knew they were underdogs' as a post-hoc rationalization in Chatter, reducing accountability.</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Tests whether odds exposure changes the emotional character of Chatter — shifting from 'I believed in them' to 'the math said this could happen.' Accountability is core to Melee's social layer.</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Qualitative: read Chatter logs for rationalization language. Flag posts that cite probability or odds as context. Compare between groups.</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2–3 / Untested</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1.2 Odds during spectating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19"/>
                <w:szCs w:val="19"/>
              </w:rPr>
              <w:t xml:space="preserve">DECIDED: Group-scoped personalized probability is in scope for spectating. These tests validate the design and optimize the implementation.</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240"/>
        <w:gridCol w:w="2240"/>
        <w:gridCol w:w="2000"/>
      </w:tblGrid>
      <w:tr>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Hypothesis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it matters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to test</w:t>
            </w:r>
          </w:p>
        </w:tc>
        <w:tc>
          <w:tcPr>
            <w:tcW w:type="dxa" w:w="2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Phase / Status</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Surfacing personalized group-scoped probability ('your odds of overtaking Steve for 3rd') during spectating increases Chatter volume and frequency.</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This is the core hypothesis for the spectating odds feature. If it doesn't move Chatter, the feature is cosmetic. If it does, it is a reliable Chatter activation mechanic.</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Compare Chatter posting rate in sessions where odds are surfaced vs. baseline (pre-odds-feature sessions or control groups). Track whether Chatter posts explicitly reference standings or odds.</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1–2 / Untested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Users engage more with 'your path to winning' framing than '4% probability' framing when their odds are low.</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Determines how to frame probability display when numbers get unfavorable. Wrong framing makes the feature feel demoralizing rather than exciting.</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Qualitative: compare Chatter tone from users whose odds are low. Do they post defiantly ('I'm still in this') or go quiet? If they go quiet, the framing may be wrong. Survey: 'Did you check your standings odds during the 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1–2 / Untested</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Group-scoped probability is more engaging than generic public odds (e.g., Vegas lines) because it is personal and only exists in Melee.</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Validates Melee's differentiation claim. If users find generic odds equally useful, the feature is not a moat — it is a commodity.</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Survey: 'Did you look up external odds or predictions during the event? How did that compare to checking your Melee standings?' Qualitative: does Chatter reference Melee-specific probability ('I have a 3-pick path to winning') vs. general odds?</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1–2 / Untested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moment of a sharp probability drop (e.g., a key pick is eliminated and a user's odds fall from 40% to 8%) is the product's most reliable Chatter trigger.</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Identifies whether to design a specific notification or UI moment around odds drops. If validated, this is a Chatter activation pattern to engineer systematically.</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Log Chatter post timing relative to leaderboard shifts. Compare post frequency in the N minutes after a user's odds drop &gt;20% vs. baseline inter-post 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1–2 / Untested</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2. Social Layer (Chatter)</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240"/>
        <w:gridCol w:w="2240"/>
        <w:gridCol w:w="2000"/>
      </w:tblGrid>
      <w:tr>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Hypothesis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it matters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to test</w:t>
            </w:r>
          </w:p>
        </w:tc>
        <w:tc>
          <w:tcPr>
            <w:tcW w:type="dxa" w:w="2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Phase / Status</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Making Chatter persistent and accessible from every screen (floating button or persistent nav) will increase Chatter posting rate compared to the beta (where it was buried at the bottom of a tab).</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This is the core design mandate from beta observation #13. If persistence doesn't move the number, the problem is not navigation — it may be content or stakes.</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Compare Chatter post rate per user per day in Phase 1 (persistent Chatter) vs. beta baseline (buried Chatter). Control for event stakes (quarterfinals vs. early rounds).</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Losers post to Chatter more often and sooner after a result than winners.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Beta observation #11 suggests this. If validated at scale, it is a design principle: surface Chatter most prominently to users whose picks just got eliminated.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Log post timing relative to Outcome entry. Classify poster as 'correct pick' or 'incorrect pick' for that Stage. Compare median time-to-post between groups.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Chatter engagement spikes after leaderboard shifts, not just after game results.</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Tests whether the social trigger is 'my pick was right/wrong' or 'my standing changed.' Different triggers suggest different design priorities for notification and surfacing.</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Correlate Chatter volume with leaderboard position changes vs. Outcome entries. Some Outcomes don't move the leaderboard (expected result). Compare Chatter rate for expected vs. upset Outcomes.</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text group and Chatter run in parallel during events, not as substitutes — users engage with both simultaneously.</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Tests the 'Chatter vs. text' tension. If parallel usage is confirmed, Melee does not need to win the text group — it just needs to exist alongside it.</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Survey: 'During the event, were you also texting with people who were playing?' Cross-reference with Chatter activity. High text + high Chatter = parallel. Low Chatter + high text = substitution.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Timestamps on Chatter posts (MVP fix for observation #10) will increase the perceived freshness of the feed and reduce confusion about when content was posted.</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Direct fix for beta observation. Tests whether the UX change makes the feed feel more alive.</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Compare session depth (how far users scroll in Chatter) before and after timestamp addition. Survey: 'Did the Chatter feed feel current during the event?'</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3. Picks &amp; Accountability</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240"/>
        <w:gridCol w:w="2240"/>
        <w:gridCol w:w="2000"/>
      </w:tblGrid>
      <w:tr>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Hypothesis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it matters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to test</w:t>
            </w:r>
          </w:p>
        </w:tc>
        <w:tc>
          <w:tcPr>
            <w:tcW w:type="dxa" w:w="2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Phase / Status</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Pick transparency (seeing friends' picks before the deadline) drives pick changes — users adjust picks after seeing what their friends chose.</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Tests whether pre-event transparency is a social mechanic (it changes behavior) or just a social feature (people see it but don't react). The mind-game hypothesis.</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Query pick_history: flag any pick change that occurred after the user viewed another user's picks (requires session-level logging of 'viewed picks' events). Compare pick change rate between users who viewed others' picks vs. those who did not.</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Visible pick changes (Activity Feed) generate more Chatter than invisible ones (no Activity Feed).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Validates the Activity Feed as a Chatter activation mechanic. If changes are visible but generate no reaction, the feature is informational only — not social.</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Log Chatter posts that explicitly reference another user's pick change ('Really? You changed to Duke?'). Compare Chatter volume in windows around pick change events vs.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Pick change history (the 'receipt') generates Chatter after the deadline — users call out last-minute hedgers retroactively.</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Tests the 'receipts live forever' mechanic. The receipt is only valuable if people actually read it and react.</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Log Chatter posts in the post-deadline window that reference pick changes ('I saw you changed that at the last minute'). Track receipt-view events.</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pick confirmation step (before posting to Chatter) reduces accidental posts without reducing total Chatter volume.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Tests the UX resolution to the comment edit request. A confirmation step that kills the impulse is worse than no confirmation at all.</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Compare Chatter abandon rate (confirmation shown but not completed) vs. post completion rate. If &gt;20% abandon at confirmation, the friction is too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4. The Casual Friend</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240"/>
        <w:gridCol w:w="2240"/>
        <w:gridCol w:w="2000"/>
      </w:tblGrid>
      <w:tr>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Hypothesis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it matters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to test</w:t>
            </w:r>
          </w:p>
        </w:tc>
        <w:tc>
          <w:tcPr>
            <w:tcW w:type="dxa" w:w="2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Phase / Status</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autofill user finishing in the top half of the leaderboard generates more Chatter than any single expert win.</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This is the product's most important viral moment hypothesis. Validates zero-knowledge entry as a design principle, not just an accessibility feature.</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Track final leaderboard position by pick method (autofill vs. manual). When autofill user places top 3, log Chatter volume in the subsequent 24 hours. Compare to baseline Chatter rate for non-upset results. Survey Q7: cross-reference finishing position with lacrosse knowledge level.</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Users with no knowledge of the event are as likely to complete pick submission as domain experts.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Beta validated this for the lacrosse group. Tests whether it holds for new event types (Oscars, Survivor) where zero-knowledge entry is less intuitive.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Track bracket/ballot completion rate by self-reported event familiarity (Survey Q6 analog). Flag any persona that abandons pick submission without completing.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1–2 / Untested</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Group reminders sent by a friend (not the app) have higher submission compliance than app-generated reminders.</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Tests the 'social pressure mechanics' hypothesis. Friend-sent reminders are central to the Host experience design.</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Compare submission rate in groups where the Host sent a manual reminder vs. groups where no reminder was sent. Phase 2: compare manual reminder vs. app-generated reminder when both are available.</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2 / Untested</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5. Viral &amp; Growth</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240"/>
        <w:gridCol w:w="2240"/>
        <w:gridCol w:w="2000"/>
      </w:tblGrid>
      <w:tr>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Hypothesis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it matters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to test</w:t>
            </w:r>
          </w:p>
        </w:tc>
        <w:tc>
          <w:tcPr>
            <w:tcW w:type="dxa" w:w="2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Phase / Status</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Spectators (invite-only observers) convert to participants or Hosts in subsequent Melees at a higher rate than cold-start users.</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Validates the Spectator Mode design as a viral loop. If spectators don't convert, the feature is a courtesy — not a growth mechanic.</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Track spectator accounts. For each spectator in Melee N, check whether they appear as a participant or Host in Melee N+1 or later.</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OG card previews (rich link previews on invite links) increase Group join rate compared to bare URLs.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Validates the OG card MVP decision. Engineering cost was low — the question is whether the conversion lift justifies permanent maintenance.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Compare join rate for invite links shared with OG cards vs. bare URLs (if any bare URLs exist in the wild). Track click-through rate on invite links.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 user who plays one Melee with a second friend group (i.e., a Host running multiple Groups) returns for subsequent events at a higher rate than a user in only one Group.</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Tests the multi-group Host loyalty hypothesis. The product bets that Hosts are the unit of retention — this validates or challenges that bet.</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Segment users by number of Groups. Compare 90-day retention between single-Group and multi-Group users.</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2–3 / Untested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leaderboard screenshot (shared in a text thread) is the most common organic sharing behavior and the primary top-of-funnel signal.</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Beta observation suggested this but it was not formally tracked. Validates whether to build native share cards for leaderboards.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Survey: 'Did you share anything from the app with someone outside the group? What did you share?' Observation: track any screenshot mentions in Chatter ('I'm sending this to my cousin').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6. Host Experience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240"/>
        <w:gridCol w:w="2240"/>
        <w:gridCol w:w="2000"/>
      </w:tblGrid>
      <w:tr>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Hypothesis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it matters</w:t>
            </w:r>
          </w:p>
        </w:tc>
        <w:tc>
          <w:tcPr>
            <w:tcW w:type="dxa" w:w="22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to test</w:t>
            </w:r>
          </w:p>
        </w:tc>
        <w:tc>
          <w:tcPr>
            <w:tcW w:type="dxa" w:w="2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Phase / Status</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AI-assisted event creation reduces Host setup time to under 5 minutes for any supported event type.</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This is the core Host experience promise. If setup takes longer, the multi-group model breaks — Hosts will not create multiple events per year.</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Time Host sessions from event description to invite code generated. Median target: &lt;5 minutes. Flag any session &gt;10 minutes for qualitative review.</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Hosts who had a friction moment during setup are less likely to create a second Melee.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Tests whether Host friction is a retention killer. The Host is the unit of loyalty — their dropout is a structural problem.</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Post-tournament Host question: 'Was there any moment where you didn't know what to do, or had to figure something out?' Cross-reference with whether that Host creates a second Melee within 90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r>
        <w:tc>
          <w:tcPr>
            <w:tcW w:type="dxa" w:w="28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Outcome entry (Host entering results after the event) is the highest-friction Host task and the most likely dropout point.</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Outcome entry is the final Host obligation. If it is burdensome, Hosts may abandon before entering results — breaking the leaderboard and Chatter experience for everyone.</w:t>
            </w:r>
          </w:p>
        </w:tc>
        <w:tc>
          <w:tcPr>
            <w:tcW w:type="dxa" w:w="22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Track Outcome entry completion rate and time-to-entry after event conclusion. Flag events where Outcomes were never entered. Survey Host directly.</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Untested</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1E1E2E"/>
          <w:sz w:val="28"/>
          <w:szCs w:val="28"/>
        </w:rPr>
        <w:t xml:space="preserve">Adding new hypotheses</w:t>
      </w:r>
    </w:p>
    <w:p>
      <w:pPr>
        <w:spacing w:after="80" w:before="60"/>
      </w:pPr>
      <w:r>
        <w:rPr>
          <w:rFonts w:ascii="Arial" w:cs="Arial" w:eastAsia="Arial" w:hAnsi="Arial"/>
          <w:color w:val="1E1E2E"/>
          <w:sz w:val="20"/>
          <w:szCs w:val="20"/>
        </w:rPr>
        <w:t xml:space="preserve">Any team member can add to this backlog. When adding a hypothesis:</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Requirement</w:t>
            </w:r>
          </w:p>
        </w:tc>
        <w:tc>
          <w:tcPr>
            <w:tcW w:type="dxa" w:w="6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Write it as a testable claim</w:t>
            </w:r>
          </w:p>
        </w:tc>
        <w:tc>
          <w:tcPr>
            <w:tcW w:type="dxa" w:w="63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'We believe X will cause Y' — not 'we should check if X is good'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Specify the minimum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What is the smallest dataset or observation that would move the needle? Don't over-engineer the measurement.</w:t>
            </w:r>
          </w:p>
        </w:tc>
      </w:tr>
      <w:tr>
        <w:tc>
          <w:tcPr>
            <w:tcW w:type="dxa" w:w="3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Note what would falsify it</w:t>
            </w:r>
          </w:p>
        </w:tc>
        <w:tc>
          <w:tcPr>
            <w:tcW w:type="dxa" w:w="63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If you can't describe what 'wrong' looks like, the hypothesis is too vague to 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Assign a phase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first friend group at scale. Phase 2 = second group. Phase 3 = open beta.</w:t>
            </w:r>
          </w:p>
        </w:tc>
      </w:tr>
      <w:tr>
        <w:tc>
          <w:tcPr>
            <w:tcW w:type="dxa" w:w="3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Link to the source</w:t>
            </w:r>
          </w:p>
        </w:tc>
        <w:tc>
          <w:tcPr>
            <w:tcW w:type="dxa" w:w="63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Note which What If provocation, Observation Log entry, or design decision prompted this hypothesis.</w:t>
            </w:r>
          </w:p>
        </w:tc>
      </w:tr>
    </w:tbl>
    <w:p>
      <w:pPr>
        <w:spacing w:after="40" w:before="40"/>
      </w:pPr>
      <w:r>
        <w:rPr>
          <w:sz w:val="20"/>
          <w:szCs w:val="20"/>
        </w:rPr>
        <w:t xml:space="preserve"/>
      </w:r>
    </w:p>
    <w:p>
      <w:pPr>
        <w:pBdr>
          <w:bottom w:val="single" w:color="CCCCCC" w:sz="4" w:space="1"/>
        </w:pBdr>
        <w:spacing w:after="200" w:before="200"/>
      </w:pPr>
      <w:r>
        <w:t xml:space="preserve"/>
      </w:r>
    </w:p>
    <w:p>
      <w:pPr>
        <w:spacing w:after="40" w:before="120"/>
        <w:jc w:val="center"/>
      </w:pPr>
      <w:r>
        <w:rPr>
          <w:rFonts w:ascii="Arial" w:cs="Arial" w:eastAsia="Arial" w:hAnsi="Arial"/>
          <w:color w:val="999999"/>
          <w:sz w:val="16"/>
          <w:szCs w:val="16"/>
        </w:rPr>
        <w:t xml:space="preserve">MELEE  ·  Product Testing Backlog  ·  v1.0  ·  Living  ·  May 2026</w:t>
      </w:r>
    </w:p>
    <w:p>
      <w:pPr>
        <w:spacing w:after="0" w:before="0"/>
        <w:jc w:val="center"/>
      </w:pPr>
      <w:r>
        <w:rPr>
          <w:rFonts w:ascii="Arial" w:cs="Arial" w:eastAsia="Arial" w:hAnsi="Arial"/>
          <w:i/>
          <w:iCs/>
          <w:color w:val="E63946"/>
          <w:sz w:val="16"/>
          <w:szCs w:val="16"/>
        </w:rPr>
        <w:t xml:space="preserve">You're watching anyway. Now watch together.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E1E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E1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2026-05-17T11:24:23.911Z</dcterms:created>
  <dcterms:modified xsi:type="dcterms:W3CDTF">2026-05-17T11:24:23.911Z</dcterms:modified>
</cp:coreProperties>
</file>

<file path=docProps/custom.xml><?xml version="1.0" encoding="utf-8"?>
<Properties xmlns="http://schemas.openxmlformats.org/officeDocument/2006/custom-properties" xmlns:vt="http://schemas.openxmlformats.org/officeDocument/2006/docPropsVTypes"/>
</file>