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Leistungsdaten Analyse ZAP3_M GLC 2024/25</w:t>
      </w:r>
    </w:p>
    <w:p>
      <w:pPr>
        <w:pStyle w:val="Heading2"/>
      </w:pPr>
      <w:r>
        <w:t>Statistische Zusammenfassung</w:t>
      </w:r>
    </w:p>
    <w:p>
      <w:r>
        <w:t>Auswertung der GLC Prüfungsdaten von der Saison 24/25. Eine Prüfung gilt als bestanden, wenn in der ZAP-Prüfung mindestens eine 4.5 geschrieben wurde. Für die GLC Prüfung wurde eine Notenskala eingeführt,wobei die 1 und die 6 festgesetzt werden und die Note dazwischen linear steigt. Für diesen GLC wurde die Note 1 bei 0% und die Note 6 bei 95% gesetzt</w:t>
      </w:r>
    </w:p>
    <w:p>
      <w:r>
        <w:drawing>
          <wp:inline xmlns:a="http://schemas.openxmlformats.org/drawingml/2006/main" xmlns:pic="http://schemas.openxmlformats.org/drawingml/2006/picture">
            <wp:extent cx="5486400" cy="2243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stats_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3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Legende:</w:t>
      </w:r>
    </w:p>
    <w:p>
      <w:pPr>
        <w:pStyle w:val="ListBullet"/>
      </w:pPr>
      <w:r>
        <w:t>PN = Prüfungsnote</w:t>
      </w:r>
    </w:p>
    <w:p>
      <w:pPr>
        <w:pStyle w:val="ListBullet"/>
      </w:pPr>
      <w:r>
        <w:t>EN = Erfolgsnote</w:t>
      </w:r>
    </w:p>
    <w:p>
      <w:r>
        <w:br w:type="page"/>
      </w:r>
    </w:p>
    <w:p>
      <w:pPr>
        <w:pStyle w:val="Heading2"/>
      </w:pPr>
      <w:r>
        <w:t>Übersicht</w:t>
      </w:r>
    </w:p>
    <w:p>
      <w:r>
        <w:t>Hier wird ein Überblick über die GLC Prüfung gegeben. Um die Noten vergleichen zu können, wurde die ZAP Note durch 6 geteilt.</w:t>
      </w:r>
    </w:p>
    <w:p>
      <w:r>
        <w:drawing>
          <wp:inline xmlns:a="http://schemas.openxmlformats.org/drawingml/2006/main" xmlns:pic="http://schemas.openxmlformats.org/drawingml/2006/picture">
            <wp:extent cx="5486400" cy="32580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lin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Der Plot zeigt den Mittelwert und die Varianz, der Prüfungsnoten des GLC.</w:t>
      </w:r>
    </w:p>
    <w:p>
      <w:r>
        <w:drawing>
          <wp:inline xmlns:a="http://schemas.openxmlformats.org/drawingml/2006/main" xmlns:pic="http://schemas.openxmlformats.org/drawingml/2006/picture">
            <wp:extent cx="5486400" cy="3263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violin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Ein Violin-Plot zeigt die Verteilung von Daten als Kombination eines Box-Plots und eines Dichte-Diagramm. Der weisse Linie in der Mitte repräsentiert den Median der Daten (der mittlere Wert), während der dickere schwarze Balken die mittleren 50% der Daten anzeigt. Der dünne schwarze Balken zeigt die restlichen Daten an (ohne statistische Ausreisser). Die 'Geigenform' selbst zeigt die Dichte der Daten: Je breiter der Violin-Plot an einer Stelle ist, desto mehr Datenpunkte befinden sich in diesem Wertebereich. Die EN wurde hier durch 6 geteilt um eine Vergleich im selben Plot zu ermöglichen.</w:t>
      </w:r>
    </w:p>
    <w:p>
      <w:r>
        <w:br w:type="page"/>
      </w:r>
    </w:p>
    <w:p>
      <w:pPr>
        <w:pStyle w:val="Heading2"/>
      </w:pPr>
      <w:r>
        <w:t>GLC</w:t>
      </w:r>
    </w:p>
    <w:p>
      <w:pPr>
        <w:pStyle w:val="Heading4"/>
      </w:pPr>
      <w:r>
        <w:t>Scatterplot:</w:t>
      </w:r>
    </w:p>
    <w:p>
      <w:r>
        <w:t>Folgender Scatterplot vergleicht die Prüfungsnote des GLC und der ZAP-Prüfung.Alle Schüler, die die Serie und die ZAP-Prüfung abgeschlossen haben, werden in diesem Plot dargestellt</w:t>
      </w:r>
    </w:p>
    <w:p>
      <w:r>
        <w:drawing>
          <wp:inline xmlns:a="http://schemas.openxmlformats.org/drawingml/2006/main" xmlns:pic="http://schemas.openxmlformats.org/drawingml/2006/picture">
            <wp:extent cx="5486400" cy="40920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vs_zap3-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2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4"/>
      </w:pPr>
      <w:r>
        <w:t>Histogramme:</w:t>
      </w:r>
    </w:p>
    <w:p>
      <w:r>
        <w:t>Folgende Histogramme zeigen die Verteilung der Prüfungsnote des GLC.Dabei sieht man wie sich die SuS mit guten guten Erfolgsnoten von dem allgemeinen Notenbild abheben.</w:t>
      </w:r>
    </w:p>
    <w:p>
      <w:r>
        <w:drawing>
          <wp:inline xmlns:a="http://schemas.openxmlformats.org/drawingml/2006/main" xmlns:pic="http://schemas.openxmlformats.org/drawingml/2006/picture">
            <wp:extent cx="5486400" cy="355293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histogram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Erfolgsquote:</w:t>
      </w:r>
    </w:p>
    <w:p>
      <w:r>
        <w:t>Folgender Plot zeigt die Erfolgsquote in der ZAP Prüfung basierend auf dem GLC.</w:t>
      </w:r>
    </w:p>
    <w:p>
      <w:r>
        <w:drawing>
          <wp:inline xmlns:a="http://schemas.openxmlformats.org/drawingml/2006/main" xmlns:pic="http://schemas.openxmlformats.org/drawingml/2006/picture">
            <wp:extent cx="5486400" cy="32662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success_chan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Korrelationstabelle:</w:t>
      </w:r>
    </w:p>
    <w:p>
      <w:r>
        <w:t>Folgende Tabelle zeigt die Korrelationen zwischen den verschiedenen Aufgaben und der Prüfungsnote des GLC.</w:t>
      </w:r>
    </w:p>
    <w:p>
      <w:r>
        <w:drawing>
          <wp:inline xmlns:a="http://schemas.openxmlformats.org/drawingml/2006/main" xmlns:pic="http://schemas.openxmlformats.org/drawingml/2006/picture">
            <wp:extent cx="5486400" cy="14772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corr_ta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7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