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Patterns of Traffic and Behavior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Roboto" w:cs="Roboto" w:eastAsia="Roboto" w:hAnsi="Roboto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Network Topology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[Target 1]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Operating System: Debian GNU/Linux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Purpose: The first target.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IP Address: 192.168.1.110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Roboto" w:cs="Roboto" w:eastAsia="Roboto" w:hAnsi="Roboto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Description of Targets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Fill in the following: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VMs on the network were vulnerable to attack: Target 1 [192.168.1.110] and Target 2 [192.168.1.255].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Each VM functions as an Apache web server and has SSH enabled, so ports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80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are possible ports of entry for attackers.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Roboto" w:cs="Roboto" w:eastAsia="Roboto" w:hAnsi="Roboto"/>
          <w:sz w:val="32"/>
          <w:szCs w:val="32"/>
        </w:rPr>
      </w:pPr>
      <w:bookmarkStart w:colFirst="0" w:colLast="0" w:name="_heading=h.2et92p0" w:id="4"/>
      <w:bookmarkEnd w:id="4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Monitoring the Targets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scan identifies the services below as potential points of entry: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Target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37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Traffic to these services should be carefully monitored. To this end, we have implemented the alerts below: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Excessive HTTP Errors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Excessive HTTP Errors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Metric: HTTP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Threshold: Above 400 for the last 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Vulnerability Mitigated: Brute Force Attacks. Resource Usage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Reliability: High Reliability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266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HTTP Request Size Monitor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HTTP Request Size Monitor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Metric: http.request.bytes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Threshold: Above 3500 for the last 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Vulnerability Mitigated: DOS (Denial of Service) Attacks.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Reliability: High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048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CPU Usage Monitor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CPU Usage Monitor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Metric: system.process.cpu.total.pct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Threshold: Above 0.5 for the last 5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Vulnerability Mitigated: Resource Management, Excessive CPU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Reliability: Medium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1460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Roboto" w:cs="Roboto" w:eastAsia="Roboto" w:hAnsi="Roboto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Suggestions for Going Further</w:t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Suggest a patch for each vulnerability identified by the alerts above.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Remember: alerts only detect malicious behavior. They do not prevent it.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It is not necessary to explain how to implement each patch.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logs and alerts generated during the assessment suggest that this network is susceptible to several active threats. The network should be hardened against them.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Vulnerability 1: Brute Force Attacks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Patch: Invalid Credentials Lock out. Limit activity/Whitelist to a specified IP address or range. Monitor server logs.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It Works:  It limits the number of attempts the attacker can commit. Only allows connections from trusted addresses.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Vulnerability 2: DOS Attacks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Patch: Install a Load Balancer.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It Works: Distributes requests amongst a number of servers which lightens the traffic burden on each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Vulnerability 3: Excessive CPU Usage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Patch: Create different levels of alert for CPU Usage. Limit max cpu usage for each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Why It Works:  Different levels of alerts can help monitor CPU usage. Power Core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tPepSBZCf8RLFQgNMPkLQOXZQ==">AMUW2mWtcCXbOr6UXX0TLoBclhK1tyFGzgCF/Oe1p0h/uIwZKnDEB4CVMLyaKZmdbHpwEAFReZDphfGBnOIjd5dojkDOdnz3Xk47iliwCnsCnSbbnaso+oHnI2j52MbTSixh8fq7lhGJ4uu9RgO+zkrpwQEIEjoEi+jBmtkKQnV/bt+veS8uHbfdNqXxG/cFXrva9POktogz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