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7679" w:rsidRDefault="00000000">
      <w:pPr>
        <w:pStyle w:val="Title"/>
      </w:pPr>
      <w:bookmarkStart w:id="0" w:name="_wpz2wi7yw55o" w:colFirst="0" w:colLast="0"/>
      <w:bookmarkEnd w:id="0"/>
      <w:r>
        <w:t>The Year in Business Dynamism</w:t>
      </w:r>
    </w:p>
    <w:p w:rsidR="003B7679" w:rsidRDefault="00000000">
      <w:pPr>
        <w:pStyle w:val="Heading1"/>
      </w:pPr>
      <w:bookmarkStart w:id="1" w:name="_t49836ahyr3z" w:colFirst="0" w:colLast="0"/>
      <w:bookmarkEnd w:id="1"/>
      <w:r>
        <w:t xml:space="preserve">Cited stats for </w:t>
      </w:r>
      <w:proofErr w:type="spellStart"/>
      <w:r>
        <w:t>datachecking</w:t>
      </w:r>
      <w:proofErr w:type="spellEnd"/>
    </w:p>
    <w:p w:rsidR="003B7679" w:rsidRDefault="00000000">
      <w:pPr>
        <w:pStyle w:val="Heading3"/>
      </w:pPr>
      <w:bookmarkStart w:id="2" w:name="_69b0djslli76" w:colFirst="0" w:colLast="0"/>
      <w:bookmarkEnd w:id="2"/>
      <w:r>
        <w:t>Business formation statistics - national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Total applications in 2024: </w:t>
      </w:r>
      <w:r>
        <w:rPr>
          <w:sz w:val="24"/>
          <w:szCs w:val="24"/>
          <w:highlight w:val="yellow"/>
        </w:rPr>
        <w:t>448,758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Total high propensity applications in 2024: </w:t>
      </w:r>
      <w:r>
        <w:rPr>
          <w:sz w:val="24"/>
          <w:szCs w:val="24"/>
          <w:highlight w:val="yellow"/>
        </w:rPr>
        <w:t>157,678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% change in business application filing since 2023, excluding December 2023 for comparison purposes: </w:t>
      </w:r>
      <w:r>
        <w:rPr>
          <w:sz w:val="24"/>
          <w:szCs w:val="24"/>
          <w:highlight w:val="yellow"/>
        </w:rPr>
        <w:t>-5.31%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Average monthly high propensity applications in 2024: </w:t>
      </w:r>
      <w:r>
        <w:rPr>
          <w:sz w:val="24"/>
          <w:szCs w:val="24"/>
          <w:highlight w:val="yellow"/>
        </w:rPr>
        <w:t>141,994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Total applications in January 2024:</w:t>
      </w:r>
      <w:r>
        <w:rPr>
          <w:sz w:val="24"/>
          <w:szCs w:val="24"/>
          <w:highlight w:val="yellow"/>
        </w:rPr>
        <w:t xml:space="preserve"> 447,715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Total applications in March 2024: </w:t>
      </w:r>
      <w:r>
        <w:rPr>
          <w:sz w:val="24"/>
          <w:szCs w:val="24"/>
          <w:highlight w:val="yellow"/>
        </w:rPr>
        <w:t>432,822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High propensity applications in July 2024 (low): </w:t>
      </w:r>
      <w:r>
        <w:rPr>
          <w:sz w:val="24"/>
          <w:szCs w:val="24"/>
          <w:highlight w:val="yellow"/>
        </w:rPr>
        <w:t>136,451</w:t>
      </w:r>
    </w:p>
    <w:p w:rsidR="003B7679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High propensity applications in November 2024: </w:t>
      </w:r>
      <w:r>
        <w:rPr>
          <w:sz w:val="24"/>
          <w:szCs w:val="24"/>
          <w:highlight w:val="yellow"/>
        </w:rPr>
        <w:t>157,678</w:t>
      </w:r>
    </w:p>
    <w:p w:rsidR="003B7679" w:rsidRDefault="00000000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47244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3" w:name="_nbas2gwk81k1" w:colFirst="0" w:colLast="0"/>
      <w:bookmarkEnd w:id="3"/>
      <w:r>
        <w:lastRenderedPageBreak/>
        <w:t>Business formation statistics - industry</w:t>
      </w:r>
    </w:p>
    <w:p w:rsidR="001440A4" w:rsidRDefault="001440A4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Applications in 2024 are higher than 2019 in </w:t>
      </w:r>
      <w:r w:rsidRPr="007F6913">
        <w:rPr>
          <w:sz w:val="24"/>
          <w:szCs w:val="24"/>
          <w:highlight w:val="yellow"/>
        </w:rPr>
        <w:t>1</w:t>
      </w:r>
      <w:r w:rsidR="007A4277" w:rsidRPr="007F6913">
        <w:rPr>
          <w:sz w:val="24"/>
          <w:szCs w:val="24"/>
          <w:highlight w:val="yellow"/>
        </w:rPr>
        <w:t>4</w:t>
      </w:r>
      <w:r w:rsidRPr="007F6913">
        <w:rPr>
          <w:sz w:val="24"/>
          <w:szCs w:val="24"/>
          <w:highlight w:val="yellow"/>
        </w:rPr>
        <w:t>/20</w:t>
      </w:r>
      <w:r>
        <w:rPr>
          <w:sz w:val="24"/>
          <w:szCs w:val="24"/>
        </w:rPr>
        <w:t xml:space="preserve"> industries; excluding December 2019.</w:t>
      </w:r>
    </w:p>
    <w:p w:rsidR="007F6913" w:rsidRDefault="007F6913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Mining fell </w:t>
      </w:r>
      <w:r w:rsidRPr="007F6913">
        <w:rPr>
          <w:sz w:val="24"/>
          <w:szCs w:val="24"/>
          <w:highlight w:val="yellow"/>
        </w:rPr>
        <w:t>30.7%</w:t>
      </w:r>
      <w:r>
        <w:rPr>
          <w:sz w:val="24"/>
          <w:szCs w:val="24"/>
        </w:rPr>
        <w:t xml:space="preserve"> between 2019 – 2024; excluding December 2019.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Retail trade high propensity applications Nov 2024: </w:t>
      </w:r>
      <w:r>
        <w:rPr>
          <w:sz w:val="24"/>
          <w:szCs w:val="24"/>
          <w:highlight w:val="yellow"/>
        </w:rPr>
        <w:t>33,934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Retail trade as a % of all high propensity applications in 2024 (4th highest): </w:t>
      </w:r>
      <w:r>
        <w:rPr>
          <w:sz w:val="24"/>
          <w:szCs w:val="24"/>
          <w:highlight w:val="yellow"/>
        </w:rPr>
        <w:t>13.6%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highest industry as a % of high propensity applications in 2024: </w:t>
      </w:r>
      <w:r>
        <w:rPr>
          <w:sz w:val="24"/>
          <w:szCs w:val="24"/>
          <w:highlight w:val="yellow"/>
        </w:rPr>
        <w:t xml:space="preserve">16.6%; </w:t>
      </w:r>
      <w:r>
        <w:rPr>
          <w:sz w:val="24"/>
          <w:szCs w:val="24"/>
        </w:rPr>
        <w:t>accommodation and food services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2nd highest industry as a % of high propensity applications in 2024: </w:t>
      </w:r>
      <w:r>
        <w:rPr>
          <w:sz w:val="24"/>
          <w:szCs w:val="24"/>
          <w:highlight w:val="yellow"/>
        </w:rPr>
        <w:t xml:space="preserve">15.7%; </w:t>
      </w:r>
      <w:r>
        <w:rPr>
          <w:sz w:val="24"/>
          <w:szCs w:val="24"/>
        </w:rPr>
        <w:t>construction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3</w:t>
      </w:r>
      <w:proofErr w:type="gramStart"/>
      <w:r>
        <w:rPr>
          <w:sz w:val="24"/>
          <w:szCs w:val="24"/>
        </w:rPr>
        <w:t>rd  highest</w:t>
      </w:r>
      <w:proofErr w:type="gramEnd"/>
      <w:r>
        <w:rPr>
          <w:sz w:val="24"/>
          <w:szCs w:val="24"/>
        </w:rPr>
        <w:t xml:space="preserve"> industry as a % of high propensity applications in 2024: </w:t>
      </w:r>
      <w:r>
        <w:rPr>
          <w:sz w:val="24"/>
          <w:szCs w:val="24"/>
          <w:highlight w:val="yellow"/>
        </w:rPr>
        <w:t xml:space="preserve">13.9%; </w:t>
      </w:r>
      <w:r>
        <w:rPr>
          <w:sz w:val="24"/>
          <w:szCs w:val="24"/>
        </w:rPr>
        <w:t>healthcare &amp; social assistance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Increase in healthcare &amp; social service high propensity applications Nov 2022-Nov 2024: </w:t>
      </w:r>
      <w:r>
        <w:rPr>
          <w:sz w:val="24"/>
          <w:szCs w:val="24"/>
          <w:highlight w:val="yellow"/>
        </w:rPr>
        <w:t>16.3%</w:t>
      </w:r>
    </w:p>
    <w:p w:rsidR="003B7679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Increase in healthcare &amp; social service high propensity applications Feb 2018-Feb 2020: </w:t>
      </w:r>
      <w:r>
        <w:rPr>
          <w:sz w:val="24"/>
          <w:szCs w:val="24"/>
          <w:highlight w:val="yellow"/>
        </w:rPr>
        <w:t>8.97%</w:t>
      </w:r>
    </w:p>
    <w:p w:rsidR="003B7679" w:rsidRDefault="00000000">
      <w:pPr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462588" cy="4683468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683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4" w:name="_gcqc5nnx1xlu" w:colFirst="0" w:colLast="0"/>
      <w:bookmarkEnd w:id="4"/>
      <w:r>
        <w:lastRenderedPageBreak/>
        <w:t>Business formation statistics - state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Number of states that saw a decline in high propensity applications 2023-2024: </w:t>
      </w:r>
      <w:r>
        <w:rPr>
          <w:sz w:val="24"/>
          <w:szCs w:val="24"/>
          <w:highlight w:val="yellow"/>
        </w:rPr>
        <w:t>39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% of states that saw a decline in high propensity applications 2023-2024: </w:t>
      </w:r>
      <w:r>
        <w:rPr>
          <w:sz w:val="24"/>
          <w:szCs w:val="24"/>
          <w:highlight w:val="yellow"/>
        </w:rPr>
        <w:t>76.5%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State with the largest decline 2023-2024, &amp; rate: Louisiana, with a decline of </w:t>
      </w:r>
      <w:r>
        <w:rPr>
          <w:sz w:val="24"/>
          <w:szCs w:val="24"/>
          <w:highlight w:val="yellow"/>
        </w:rPr>
        <w:t>15.9%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Top 3 states in terms of high propensity applications:</w:t>
      </w:r>
      <w:r>
        <w:rPr>
          <w:sz w:val="24"/>
          <w:szCs w:val="24"/>
          <w:highlight w:val="yellow"/>
        </w:rPr>
        <w:t xml:space="preserve"> California, Florida, Texas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Texas overtook New York for #3 spot in # of high propensity application filings in 2024 relative to 2023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Texas high propensity applications in 2019 (excl. December): </w:t>
      </w:r>
      <w:r>
        <w:rPr>
          <w:sz w:val="24"/>
          <w:szCs w:val="24"/>
          <w:highlight w:val="yellow"/>
        </w:rPr>
        <w:t>97,044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Texas </w:t>
      </w:r>
      <w:proofErr w:type="gramStart"/>
      <w:r>
        <w:rPr>
          <w:sz w:val="24"/>
          <w:szCs w:val="24"/>
        </w:rPr>
        <w:t>high  propensity</w:t>
      </w:r>
      <w:proofErr w:type="gramEnd"/>
      <w:r>
        <w:rPr>
          <w:sz w:val="24"/>
          <w:szCs w:val="24"/>
        </w:rPr>
        <w:t xml:space="preserve"> applications in 2024: </w:t>
      </w:r>
      <w:r>
        <w:rPr>
          <w:sz w:val="24"/>
          <w:szCs w:val="24"/>
          <w:highlight w:val="yellow"/>
        </w:rPr>
        <w:t>136,824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West Virginia increase in high propensity business applications 2019-2024: </w:t>
      </w:r>
      <w:r>
        <w:rPr>
          <w:sz w:val="24"/>
          <w:szCs w:val="24"/>
          <w:highlight w:val="yellow"/>
        </w:rPr>
        <w:t>41.9%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States that more than doubled high propensity applications:</w:t>
      </w:r>
      <w:r>
        <w:rPr>
          <w:sz w:val="24"/>
          <w:szCs w:val="24"/>
          <w:highlight w:val="yellow"/>
        </w:rPr>
        <w:t xml:space="preserve"> 2</w:t>
      </w:r>
    </w:p>
    <w:p w:rsidR="003B7679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States that had &gt; 50% increase in applications:</w:t>
      </w:r>
      <w:r>
        <w:rPr>
          <w:sz w:val="24"/>
          <w:szCs w:val="24"/>
          <w:highlight w:val="yellow"/>
        </w:rPr>
        <w:t xml:space="preserve"> 6</w:t>
      </w:r>
    </w:p>
    <w:p w:rsidR="003B7679" w:rsidRDefault="00000000">
      <w:pPr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281613" cy="497923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979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5" w:name="_8yzq5g5laemq" w:colFirst="0" w:colLast="0"/>
      <w:bookmarkEnd w:id="5"/>
      <w:r>
        <w:lastRenderedPageBreak/>
        <w:t>Business and employment dynamics - national</w:t>
      </w:r>
    </w:p>
    <w:p w:rsidR="003B7679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Establishment births Q1 2024: </w:t>
      </w:r>
      <w:r>
        <w:rPr>
          <w:sz w:val="24"/>
          <w:szCs w:val="24"/>
          <w:highlight w:val="yellow"/>
        </w:rPr>
        <w:t>322,000</w:t>
      </w:r>
    </w:p>
    <w:p w:rsidR="003B7679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Pre-pandemic trend in establishment birth growth: </w:t>
      </w:r>
      <w:r>
        <w:rPr>
          <w:sz w:val="24"/>
          <w:szCs w:val="24"/>
          <w:highlight w:val="yellow"/>
        </w:rPr>
        <w:t>221,900</w:t>
      </w:r>
    </w:p>
    <w:p w:rsidR="003B7679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Births since Q3 2021: </w:t>
      </w:r>
      <w:r>
        <w:rPr>
          <w:sz w:val="24"/>
          <w:szCs w:val="24"/>
          <w:highlight w:val="yellow"/>
        </w:rPr>
        <w:t>4,434,000</w:t>
      </w:r>
    </w:p>
    <w:p w:rsidR="003B7679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Births between Q3 2017 and Q1 2020: </w:t>
      </w:r>
      <w:r>
        <w:rPr>
          <w:sz w:val="24"/>
          <w:szCs w:val="24"/>
          <w:highlight w:val="yellow"/>
        </w:rPr>
        <w:t>2,816,000</w:t>
      </w:r>
    </w:p>
    <w:p w:rsidR="003B7679" w:rsidRDefault="00000000">
      <w:pPr>
        <w:jc w:val="center"/>
      </w:pPr>
      <w:r>
        <w:rPr>
          <w:noProof/>
        </w:rPr>
        <w:drawing>
          <wp:inline distT="114300" distB="114300" distL="114300" distR="114300">
            <wp:extent cx="5943600" cy="5067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3B7679"/>
    <w:p w:rsidR="003B7679" w:rsidRDefault="00000000">
      <w:pPr>
        <w:pStyle w:val="Heading3"/>
      </w:pPr>
      <w:bookmarkStart w:id="6" w:name="_hwwscpdwizrw" w:colFirst="0" w:colLast="0"/>
      <w:bookmarkEnd w:id="6"/>
      <w:r>
        <w:t>Business and employment dynamics - state</w:t>
      </w:r>
    </w:p>
    <w:p w:rsidR="003B7679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States that had more establishment births in Q1 2024 versus Q1 2020: </w:t>
      </w:r>
      <w:r>
        <w:rPr>
          <w:sz w:val="24"/>
          <w:szCs w:val="24"/>
          <w:highlight w:val="yellow"/>
        </w:rPr>
        <w:t>41</w:t>
      </w:r>
    </w:p>
    <w:p w:rsidR="003B7679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Georgia’s increase in establishment births: </w:t>
      </w:r>
      <w:r>
        <w:rPr>
          <w:sz w:val="24"/>
          <w:szCs w:val="24"/>
          <w:highlight w:val="yellow"/>
        </w:rPr>
        <w:t>Q1 2020 was 7,447, Q1 2024 was 34,988</w:t>
      </w:r>
    </w:p>
    <w:p w:rsidR="003B7679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Oregon’s drop: </w:t>
      </w:r>
      <w:r>
        <w:rPr>
          <w:sz w:val="24"/>
          <w:szCs w:val="24"/>
          <w:highlight w:val="yellow"/>
        </w:rPr>
        <w:t xml:space="preserve">Q1 2020 was </w:t>
      </w:r>
      <w:proofErr w:type="gramStart"/>
      <w:r>
        <w:rPr>
          <w:sz w:val="24"/>
          <w:szCs w:val="24"/>
          <w:highlight w:val="yellow"/>
        </w:rPr>
        <w:t>9,744 ,</w:t>
      </w:r>
      <w:proofErr w:type="gramEnd"/>
      <w:r>
        <w:rPr>
          <w:sz w:val="24"/>
          <w:szCs w:val="24"/>
          <w:highlight w:val="yellow"/>
        </w:rPr>
        <w:t xml:space="preserve"> Q1 2024 was 4,973</w:t>
      </w:r>
    </w:p>
    <w:p w:rsidR="003B7679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Connecticut’s drop: </w:t>
      </w:r>
      <w:r>
        <w:rPr>
          <w:sz w:val="24"/>
          <w:szCs w:val="24"/>
          <w:highlight w:val="yellow"/>
        </w:rPr>
        <w:t xml:space="preserve"> Q1 2020 was 6,682, Q1 2024 was 3,662</w:t>
      </w:r>
    </w:p>
    <w:p w:rsidR="003B7679" w:rsidRDefault="003B7679">
      <w:pPr>
        <w:rPr>
          <w:b/>
          <w:sz w:val="24"/>
          <w:szCs w:val="24"/>
        </w:rPr>
      </w:pPr>
    </w:p>
    <w:p w:rsidR="003B7679" w:rsidRDefault="003B7679">
      <w:pPr>
        <w:jc w:val="center"/>
        <w:rPr>
          <w:b/>
          <w:sz w:val="24"/>
          <w:szCs w:val="24"/>
        </w:rPr>
      </w:pPr>
    </w:p>
    <w:p w:rsidR="003B7679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5600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3B7679">
      <w:pPr>
        <w:rPr>
          <w:b/>
          <w:sz w:val="24"/>
          <w:szCs w:val="24"/>
        </w:rPr>
      </w:pPr>
    </w:p>
    <w:p w:rsidR="003B7679" w:rsidRDefault="00000000">
      <w:pPr>
        <w:pStyle w:val="Heading3"/>
      </w:pPr>
      <w:bookmarkStart w:id="7" w:name="_l1a4r6ndaerm" w:colFirst="0" w:colLast="0"/>
      <w:bookmarkEnd w:id="7"/>
      <w:r>
        <w:t xml:space="preserve">Business trends and outlook survey - nation </w:t>
      </w:r>
    </w:p>
    <w:p w:rsidR="003B7679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% saying conditions were above average or excellent in last surveyed period: </w:t>
      </w:r>
      <w:r>
        <w:rPr>
          <w:sz w:val="24"/>
          <w:szCs w:val="24"/>
          <w:highlight w:val="yellow"/>
        </w:rPr>
        <w:t>33%</w:t>
      </w:r>
    </w:p>
    <w:p w:rsidR="003B7679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% saying conditions were above average or excellent in last surveyed period of </w:t>
      </w:r>
      <w:proofErr w:type="spellStart"/>
      <w:r>
        <w:rPr>
          <w:sz w:val="24"/>
          <w:szCs w:val="24"/>
        </w:rPr>
        <w:t>november</w:t>
      </w:r>
      <w:proofErr w:type="spellEnd"/>
      <w:r>
        <w:rPr>
          <w:sz w:val="24"/>
          <w:szCs w:val="24"/>
        </w:rPr>
        <w:t xml:space="preserve"> 2023: </w:t>
      </w:r>
      <w:r>
        <w:rPr>
          <w:sz w:val="24"/>
          <w:szCs w:val="24"/>
          <w:highlight w:val="yellow"/>
        </w:rPr>
        <w:t>31%</w:t>
      </w:r>
    </w:p>
    <w:p w:rsidR="003B7679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943600" cy="52451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8" w:name="_mpjkvhcciuc8" w:colFirst="0" w:colLast="0"/>
      <w:bookmarkEnd w:id="8"/>
      <w:r>
        <w:t>Business trends and outlook survey - industry</w:t>
      </w:r>
    </w:p>
    <w:p w:rsidR="003B7679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Retail trade reporting average or </w:t>
      </w:r>
      <w:proofErr w:type="gramStart"/>
      <w:r>
        <w:rPr>
          <w:sz w:val="24"/>
          <w:szCs w:val="24"/>
        </w:rPr>
        <w:t>excellent  in</w:t>
      </w:r>
      <w:proofErr w:type="gramEnd"/>
      <w:r>
        <w:rPr>
          <w:sz w:val="24"/>
          <w:szCs w:val="24"/>
        </w:rPr>
        <w:t xml:space="preserve"> last surveyed period: </w:t>
      </w:r>
      <w:r>
        <w:rPr>
          <w:sz w:val="24"/>
          <w:szCs w:val="24"/>
          <w:highlight w:val="yellow"/>
        </w:rPr>
        <w:t>23%</w:t>
      </w:r>
    </w:p>
    <w:p w:rsidR="003B7679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Healthcare and social services reporting average or </w:t>
      </w:r>
      <w:proofErr w:type="gramStart"/>
      <w:r>
        <w:rPr>
          <w:sz w:val="24"/>
          <w:szCs w:val="24"/>
        </w:rPr>
        <w:t>excellent  in</w:t>
      </w:r>
      <w:proofErr w:type="gramEnd"/>
      <w:r>
        <w:rPr>
          <w:sz w:val="24"/>
          <w:szCs w:val="24"/>
        </w:rPr>
        <w:t xml:space="preserve"> last surveyed period:</w:t>
      </w:r>
      <w:r>
        <w:rPr>
          <w:sz w:val="24"/>
          <w:szCs w:val="24"/>
          <w:highlight w:val="yellow"/>
        </w:rPr>
        <w:t xml:space="preserve"> 21%</w:t>
      </w:r>
    </w:p>
    <w:p w:rsidR="003B7679" w:rsidRDefault="00000000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Accommodation and food services reporting average or </w:t>
      </w:r>
      <w:proofErr w:type="gramStart"/>
      <w:r>
        <w:rPr>
          <w:sz w:val="24"/>
          <w:szCs w:val="24"/>
        </w:rPr>
        <w:t>excellent  in</w:t>
      </w:r>
      <w:proofErr w:type="gramEnd"/>
      <w:r>
        <w:rPr>
          <w:sz w:val="24"/>
          <w:szCs w:val="24"/>
        </w:rPr>
        <w:t xml:space="preserve"> last surveyed period: </w:t>
      </w:r>
      <w:r>
        <w:rPr>
          <w:sz w:val="24"/>
          <w:szCs w:val="24"/>
          <w:highlight w:val="yellow"/>
        </w:rPr>
        <w:t>40%</w:t>
      </w:r>
    </w:p>
    <w:p w:rsidR="003B7679" w:rsidRDefault="00000000">
      <w:pPr>
        <w:rPr>
          <w:sz w:val="24"/>
          <w:szCs w:val="24"/>
        </w:rPr>
      </w:pPr>
      <w:r>
        <w:rPr>
          <w:noProof/>
        </w:rPr>
        <w:lastRenderedPageBreak/>
        <w:drawing>
          <wp:inline distT="114300" distB="114300" distL="114300" distR="114300">
            <wp:extent cx="5943600" cy="49276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000000">
      <w:pPr>
        <w:pStyle w:val="Heading3"/>
      </w:pPr>
      <w:bookmarkStart w:id="9" w:name="_vjaewq4jkm0x" w:colFirst="0" w:colLast="0"/>
      <w:bookmarkEnd w:id="9"/>
      <w:r>
        <w:t>Business trends and outlook survey - firm size</w:t>
      </w:r>
    </w:p>
    <w:p w:rsidR="003B7679" w:rsidRDefault="00000000">
      <w:pPr>
        <w:numPr>
          <w:ilvl w:val="0"/>
          <w:numId w:val="7"/>
        </w:numPr>
      </w:pPr>
      <w:r>
        <w:t>Businesses with fewer than 10 employees expecting conditions to be better than average or excellent compared to last surveyed period in 2023:</w:t>
      </w:r>
      <w:r>
        <w:rPr>
          <w:highlight w:val="yellow"/>
        </w:rPr>
        <w:t xml:space="preserve"> 3%</w:t>
      </w:r>
    </w:p>
    <w:p w:rsidR="003B7679" w:rsidRDefault="00000000">
      <w:r>
        <w:rPr>
          <w:noProof/>
        </w:rPr>
        <w:lastRenderedPageBreak/>
        <w:drawing>
          <wp:inline distT="114300" distB="114300" distL="114300" distR="114300">
            <wp:extent cx="5943600" cy="38735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7679" w:rsidRDefault="003B7679"/>
    <w:sectPr w:rsidR="003B767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56AEE"/>
    <w:multiLevelType w:val="multilevel"/>
    <w:tmpl w:val="0C9E73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014E99"/>
    <w:multiLevelType w:val="multilevel"/>
    <w:tmpl w:val="FC4221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675ECB"/>
    <w:multiLevelType w:val="multilevel"/>
    <w:tmpl w:val="DDFEF6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1C17303"/>
    <w:multiLevelType w:val="multilevel"/>
    <w:tmpl w:val="115EC4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24A0444"/>
    <w:multiLevelType w:val="multilevel"/>
    <w:tmpl w:val="C44ABD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7F315CC"/>
    <w:multiLevelType w:val="multilevel"/>
    <w:tmpl w:val="E09077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C664C0F"/>
    <w:multiLevelType w:val="multilevel"/>
    <w:tmpl w:val="625E1F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C020452"/>
    <w:multiLevelType w:val="multilevel"/>
    <w:tmpl w:val="F10035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7773385">
    <w:abstractNumId w:val="2"/>
  </w:num>
  <w:num w:numId="2" w16cid:durableId="78602340">
    <w:abstractNumId w:val="5"/>
  </w:num>
  <w:num w:numId="3" w16cid:durableId="1036078377">
    <w:abstractNumId w:val="4"/>
  </w:num>
  <w:num w:numId="4" w16cid:durableId="639001654">
    <w:abstractNumId w:val="3"/>
  </w:num>
  <w:num w:numId="5" w16cid:durableId="1591157175">
    <w:abstractNumId w:val="6"/>
  </w:num>
  <w:num w:numId="6" w16cid:durableId="833179434">
    <w:abstractNumId w:val="7"/>
  </w:num>
  <w:num w:numId="7" w16cid:durableId="861554420">
    <w:abstractNumId w:val="1"/>
  </w:num>
  <w:num w:numId="8" w16cid:durableId="1501890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679"/>
    <w:rsid w:val="001440A4"/>
    <w:rsid w:val="003B7679"/>
    <w:rsid w:val="007A4277"/>
    <w:rsid w:val="007F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18AE7B"/>
  <w15:docId w15:val="{4412A989-910E-C246-8930-7277B683F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512</Words>
  <Characters>2922</Characters>
  <Application>Microsoft Office Word</Application>
  <DocSecurity>0</DocSecurity>
  <Lines>24</Lines>
  <Paragraphs>6</Paragraphs>
  <ScaleCrop>false</ScaleCrop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Sarah Eckhardt</cp:lastModifiedBy>
  <cp:revision>4</cp:revision>
  <dcterms:created xsi:type="dcterms:W3CDTF">2024-12-16T14:35:00Z</dcterms:created>
  <dcterms:modified xsi:type="dcterms:W3CDTF">2024-12-16T15:19:00Z</dcterms:modified>
</cp:coreProperties>
</file>