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  <w:sz w:val="44"/>
        </w:rPr>
        <w:t>童慧行内部数据安全管理制度</w:t>
      </w:r>
    </w:p>
    <w:p>
      <w:pPr/>
      <w:r>
        <w:rPr>
          <w:b/>
        </w:rPr>
        <w:t>文档编号：</w:t>
      </w:r>
      <w:r>
        <w:t xml:space="preserve"> SEC-IM-001</w:t>
      </w:r>
    </w:p>
    <w:p>
      <w:pPr/>
      <w:r>
        <w:rPr>
          <w:b/>
        </w:rPr>
        <w:t>版本：</w:t>
      </w:r>
      <w:r>
        <w:t xml:space="preserve"> v1.0</w:t>
      </w:r>
    </w:p>
    <w:p>
      <w:pPr/>
      <w:r>
        <w:rPr>
          <w:b/>
        </w:rPr>
        <w:t>生效日期：</w:t>
      </w:r>
      <w:r>
        <w:t xml:space="preserve"> 2026 年 7 月 2 日</w:t>
      </w:r>
    </w:p>
    <w:p>
      <w:pPr>
        <w:pStyle w:val="Heading2"/>
      </w:pPr>
      <w:r>
        <w:rPr>
          <w:color w:val="2C5A9C"/>
          <w:sz w:val="32"/>
        </w:rPr>
        <w:t>一、目的</w:t>
      </w:r>
    </w:p>
    <w:p>
      <w:pPr/>
      <w:r>
        <w:t>规范童慧行内部员工对用户个人信息、业务数据的处理行为，确保符合《个人信息保护法》《数据安全法》《网络安全法》等法律法规要求，</w:t>
      </w:r>
      <w:r>
        <w:rPr>
          <w:b/>
        </w:rPr>
        <w:t>重点保护 14 周岁以下儿童个人信息</w:t>
      </w:r>
      <w:r>
        <w:t>。</w:t>
      </w:r>
    </w:p>
    <w:p>
      <w:pPr>
        <w:pStyle w:val="Heading2"/>
      </w:pPr>
      <w:r>
        <w:rPr>
          <w:color w:val="2C5A9C"/>
          <w:sz w:val="32"/>
        </w:rPr>
        <w:t>二、适用范围</w:t>
      </w:r>
    </w:p>
    <w:p>
      <w:pPr/>
      <w:r>
        <w:t>适用于童慧行全体员工、外包人员、临时人员、实习生及有权访问业务系统的所有人员。</w:t>
      </w:r>
    </w:p>
    <w:p>
      <w:pPr>
        <w:pStyle w:val="Heading2"/>
      </w:pPr>
      <w:r>
        <w:rPr>
          <w:color w:val="2C5A9C"/>
          <w:sz w:val="32"/>
        </w:rPr>
        <w:t>三、核心原则</w:t>
      </w:r>
    </w:p>
    <w:p>
      <w:pPr>
        <w:pStyle w:val="ListNumber"/>
        <w:ind w:left="283"/>
      </w:pPr>
    </w:p>
    <w:p>
      <w:pPr/>
      <w:r>
        <w:rPr>
          <w:b/>
        </w:rPr>
        <w:t>合法正当必要</w:t>
      </w:r>
      <w:r>
        <w:t>：只处理提供服务必需的数据</w:t>
      </w:r>
    </w:p>
    <w:p>
      <w:pPr>
        <w:pStyle w:val="ListNumber"/>
        <w:ind w:left="283"/>
      </w:pPr>
    </w:p>
    <w:p>
      <w:pPr/>
      <w:r>
        <w:rPr>
          <w:b/>
        </w:rPr>
        <w:t>最小授权</w:t>
      </w:r>
      <w:r>
        <w:t>：按需授权、最小权限、定期复核</w:t>
      </w:r>
    </w:p>
    <w:p>
      <w:pPr>
        <w:pStyle w:val="ListNumber"/>
        <w:ind w:left="283"/>
      </w:pPr>
    </w:p>
    <w:p>
      <w:pPr/>
      <w:r>
        <w:rPr>
          <w:b/>
        </w:rPr>
        <w:t>可知可控可溯</w:t>
      </w:r>
      <w:r>
        <w:t>：所有数据处理行为可审计、可追溯</w:t>
      </w:r>
    </w:p>
    <w:p>
      <w:pPr>
        <w:pStyle w:val="ListNumber"/>
        <w:ind w:left="283"/>
      </w:pPr>
    </w:p>
    <w:p>
      <w:pPr/>
      <w:r>
        <w:rPr>
          <w:b/>
        </w:rPr>
        <w:t>儿童优先</w:t>
      </w:r>
      <w:r>
        <w:t>：儿童个人信息享受最高保护等级</w:t>
      </w:r>
    </w:p>
    <w:p>
      <w:pPr>
        <w:pStyle w:val="ListNumber"/>
        <w:ind w:left="283"/>
      </w:pPr>
    </w:p>
    <w:p>
      <w:pPr/>
      <w:r>
        <w:rPr>
          <w:b/>
        </w:rPr>
        <w:t>问责到人</w:t>
      </w:r>
      <w:r>
        <w:t>：所有操作留痕到具体人员</w:t>
      </w:r>
    </w:p>
    <w:p>
      <w:pPr>
        <w:pStyle w:val="Heading2"/>
      </w:pPr>
      <w:r>
        <w:rPr>
          <w:color w:val="2C5A9C"/>
          <w:sz w:val="32"/>
        </w:rPr>
        <w:t>四、人员管理</w:t>
      </w:r>
    </w:p>
    <w:p>
      <w:pPr>
        <w:pStyle w:val="Heading3"/>
      </w:pPr>
      <w:r>
        <w:rPr>
          <w:color w:val="356AB5"/>
          <w:sz w:val="26"/>
        </w:rPr>
        <w:t>4.1 录用审查</w:t>
      </w:r>
    </w:p>
    <w:p>
      <w:pPr>
        <w:pStyle w:val="ListBullet"/>
        <w:ind w:left="283"/>
      </w:pPr>
    </w:p>
    <w:p>
      <w:pPr/>
      <w:r>
        <w:t>关键岗位（数据访问、技术、安全）须通过背景调查</w:t>
      </w:r>
    </w:p>
    <w:p>
      <w:pPr>
        <w:pStyle w:val="ListBullet"/>
        <w:ind w:left="283"/>
      </w:pPr>
    </w:p>
    <w:p>
      <w:pPr/>
      <w:r>
        <w:t>涉密岗位须签订《保密协议》《数据安全责任书》</w:t>
      </w:r>
    </w:p>
    <w:p>
      <w:pPr>
        <w:pStyle w:val="ListBullet"/>
        <w:ind w:left="283"/>
      </w:pPr>
    </w:p>
    <w:p>
      <w:pPr/>
      <w:r>
        <w:t>新员工须通过数据安全培训并考核合格</w:t>
      </w:r>
    </w:p>
    <w:p>
      <w:pPr>
        <w:pStyle w:val="Heading3"/>
      </w:pPr>
      <w:r>
        <w:rPr>
          <w:color w:val="356AB5"/>
          <w:sz w:val="26"/>
        </w:rPr>
        <w:t>4.2 离职管理</w:t>
      </w:r>
    </w:p>
    <w:p>
      <w:pPr>
        <w:pStyle w:val="ListBullet"/>
        <w:ind w:left="283"/>
      </w:pPr>
    </w:p>
    <w:p>
      <w:pPr/>
      <w:r>
        <w:t>离职当天即冻结所有业务系统权限</w:t>
      </w:r>
    </w:p>
    <w:p>
      <w:pPr>
        <w:pStyle w:val="ListBullet"/>
        <w:ind w:left="283"/>
      </w:pPr>
    </w:p>
    <w:p>
      <w:pPr/>
      <w:r>
        <w:t>收回所有设备（电脑、U 盾、令牌、门禁卡）</w:t>
      </w:r>
    </w:p>
    <w:p>
      <w:pPr>
        <w:pStyle w:val="ListBullet"/>
        <w:ind w:left="283"/>
      </w:pPr>
    </w:p>
    <w:p>
      <w:pPr/>
      <w:r>
        <w:t>签署《数据安全交接确认书》</w:t>
      </w:r>
    </w:p>
    <w:p>
      <w:pPr>
        <w:pStyle w:val="ListBullet"/>
        <w:ind w:left="283"/>
      </w:pPr>
    </w:p>
    <w:p>
      <w:pPr/>
      <w:r>
        <w:t>离职后</w:t>
      </w:r>
      <w:r>
        <w:rPr>
          <w:b/>
        </w:rPr>
        <w:t>永久保密义务</w:t>
      </w:r>
      <w:r>
        <w:t>（不因离职而免除）</w:t>
      </w:r>
    </w:p>
    <w:p>
      <w:pPr>
        <w:pStyle w:val="Heading3"/>
      </w:pPr>
      <w:r>
        <w:rPr>
          <w:color w:val="356AB5"/>
          <w:sz w:val="26"/>
        </w:rPr>
        <w:t>4.3 转岗管理</w:t>
      </w:r>
    </w:p>
    <w:p>
      <w:pPr>
        <w:pStyle w:val="ListBullet"/>
        <w:ind w:left="283"/>
      </w:pPr>
    </w:p>
    <w:p>
      <w:pPr/>
      <w:r>
        <w:t>转岗前须重新评估、调整权限</w:t>
      </w:r>
    </w:p>
    <w:p>
      <w:pPr>
        <w:pStyle w:val="ListBullet"/>
        <w:ind w:left="283"/>
      </w:pPr>
    </w:p>
    <w:p>
      <w:pPr/>
      <w:r>
        <w:t>不得在原岗位保留任何"影子"权限</w:t>
      </w:r>
    </w:p>
    <w:p>
      <w:pPr>
        <w:pStyle w:val="Heading2"/>
      </w:pPr>
      <w:r>
        <w:rPr>
          <w:color w:val="2C5A9C"/>
          <w:sz w:val="32"/>
        </w:rPr>
        <w:t>五、权限管理</w:t>
      </w:r>
    </w:p>
    <w:p>
      <w:pPr>
        <w:pStyle w:val="Heading3"/>
      </w:pPr>
      <w:r>
        <w:rPr>
          <w:color w:val="356AB5"/>
          <w:sz w:val="26"/>
        </w:rPr>
        <w:t>5.1 账号权限分级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级别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可访问内容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授权审批人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复核周期</w:t>
            </w:r>
          </w:p>
        </w:tc>
      </w:tr>
      <w:tr>
        <w:tc>
          <w:tcPr>
            <w:tcW w:type="dxa" w:w="2160"/>
          </w:tcPr>
          <w:p>
            <w:r/>
            <w:r>
              <w:t>L0 公开</w:t>
            </w:r>
          </w:p>
        </w:tc>
        <w:tc>
          <w:tcPr>
            <w:tcW w:type="dxa" w:w="2160"/>
          </w:tcPr>
          <w:p>
            <w:r/>
            <w:r>
              <w:t>已脱敏的公开数据</w:t>
            </w:r>
          </w:p>
        </w:tc>
        <w:tc>
          <w:tcPr>
            <w:tcW w:type="dxa" w:w="2160"/>
          </w:tcPr>
          <w:p>
            <w:r/>
            <w:r>
              <w:t>部门负责人</w:t>
            </w:r>
          </w:p>
        </w:tc>
        <w:tc>
          <w:tcPr>
            <w:tcW w:type="dxa" w:w="2160"/>
          </w:tcPr>
          <w:p>
            <w:r/>
            <w:r>
              <w:t>6 个月</w:t>
            </w:r>
          </w:p>
        </w:tc>
      </w:tr>
      <w:tr>
        <w:tc>
          <w:tcPr>
            <w:tcW w:type="dxa" w:w="2160"/>
          </w:tcPr>
          <w:p>
            <w:r/>
            <w:r>
              <w:t>L1 一般</w:t>
            </w:r>
          </w:p>
        </w:tc>
        <w:tc>
          <w:tcPr>
            <w:tcW w:type="dxa" w:w="2160"/>
          </w:tcPr>
          <w:p>
            <w:r/>
            <w:r>
              <w:t>业务数据（不含敏感）</w:t>
            </w:r>
          </w:p>
        </w:tc>
        <w:tc>
          <w:tcPr>
            <w:tcW w:type="dxa" w:w="2160"/>
          </w:tcPr>
          <w:p>
            <w:r/>
            <w:r>
              <w:t>部门负责人</w:t>
            </w:r>
          </w:p>
        </w:tc>
        <w:tc>
          <w:tcPr>
            <w:tcW w:type="dxa" w:w="2160"/>
          </w:tcPr>
          <w:p>
            <w:r/>
            <w:r>
              <w:t>6 个月</w:t>
            </w:r>
          </w:p>
        </w:tc>
      </w:tr>
      <w:tr>
        <w:tc>
          <w:tcPr>
            <w:tcW w:type="dxa" w:w="2160"/>
          </w:tcPr>
          <w:p>
            <w:r/>
            <w:r>
              <w:t>L2 敏感</w:t>
            </w:r>
          </w:p>
        </w:tc>
        <w:tc>
          <w:tcPr>
            <w:tcW w:type="dxa" w:w="2160"/>
          </w:tcPr>
          <w:p>
            <w:r/>
            <w:r>
              <w:t>个人信息、订单数据</w:t>
            </w:r>
          </w:p>
        </w:tc>
        <w:tc>
          <w:tcPr>
            <w:tcW w:type="dxa" w:w="2160"/>
          </w:tcPr>
          <w:p>
            <w:r/>
            <w:r>
              <w:t>数据安全负责人</w:t>
            </w:r>
          </w:p>
        </w:tc>
        <w:tc>
          <w:tcPr>
            <w:tcW w:type="dxa" w:w="2160"/>
          </w:tcPr>
          <w:p>
            <w:r/>
            <w:r>
              <w:t>3 个月</w:t>
            </w:r>
          </w:p>
        </w:tc>
      </w:tr>
      <w:tr>
        <w:tc>
          <w:tcPr>
            <w:tcW w:type="dxa" w:w="2160"/>
          </w:tcPr>
          <w:p>
            <w:r/>
            <w:r>
              <w:t>L3 高度敏感</w:t>
            </w:r>
          </w:p>
        </w:tc>
        <w:tc>
          <w:tcPr>
            <w:tcW w:type="dxa" w:w="2160"/>
          </w:tcPr>
          <w:p>
            <w:r/>
            <w:r>
              <w:t>14 岁以下儿童个人信息</w:t>
            </w:r>
          </w:p>
        </w:tc>
        <w:tc>
          <w:tcPr>
            <w:tcW w:type="dxa" w:w="2160"/>
          </w:tcPr>
          <w:p>
            <w:r/>
            <w:r>
              <w:t>总负责人</w:t>
            </w:r>
          </w:p>
        </w:tc>
        <w:tc>
          <w:tcPr>
            <w:tcW w:type="dxa" w:w="2160"/>
          </w:tcPr>
          <w:p>
            <w:r/>
            <w:r>
              <w:t>1 个月</w:t>
            </w:r>
          </w:p>
        </w:tc>
      </w:tr>
      <w:tr>
        <w:tc>
          <w:tcPr>
            <w:tcW w:type="dxa" w:w="2160"/>
          </w:tcPr>
          <w:p>
            <w:r/>
            <w:r>
              <w:t>L4 最高</w:t>
            </w:r>
          </w:p>
        </w:tc>
        <w:tc>
          <w:tcPr>
            <w:tcW w:type="dxa" w:w="2160"/>
          </w:tcPr>
          <w:p>
            <w:r/>
            <w:r>
              <w:t>全部数据 + 管理后台</w:t>
            </w:r>
          </w:p>
        </w:tc>
        <w:tc>
          <w:tcPr>
            <w:tcW w:type="dxa" w:w="2160"/>
          </w:tcPr>
          <w:p>
            <w:r/>
            <w:r>
              <w:t>总负责人 + 法人</w:t>
            </w:r>
          </w:p>
        </w:tc>
        <w:tc>
          <w:tcPr>
            <w:tcW w:type="dxa" w:w="2160"/>
          </w:tcPr>
          <w:p>
            <w:r/>
            <w:r>
              <w:t>1 个月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5.2 权限申请</w:t>
      </w:r>
    </w:p>
    <w:p>
      <w:pPr>
        <w:pStyle w:val="ListBullet"/>
        <w:ind w:left="283"/>
      </w:pPr>
    </w:p>
    <w:p>
      <w:pPr/>
      <w:r>
        <w:t>填写《数据访问权限申请表》</w:t>
      </w:r>
    </w:p>
    <w:p>
      <w:pPr>
        <w:pStyle w:val="ListBullet"/>
        <w:ind w:left="283"/>
      </w:pPr>
    </w:p>
    <w:p>
      <w:pPr/>
      <w:r>
        <w:t>说明访问目的、数据范围、使用期限</w:t>
      </w:r>
    </w:p>
    <w:p>
      <w:pPr>
        <w:pStyle w:val="ListBullet"/>
        <w:ind w:left="283"/>
      </w:pPr>
    </w:p>
    <w:p>
      <w:pPr/>
      <w:r>
        <w:t>L2 及以上须数据安全负责人审批</w:t>
      </w:r>
    </w:p>
    <w:p>
      <w:pPr>
        <w:pStyle w:val="ListBullet"/>
        <w:ind w:left="283"/>
      </w:pPr>
    </w:p>
    <w:p>
      <w:pPr/>
      <w:r>
        <w:t>L3 及以上须总负责人审批</w:t>
      </w:r>
    </w:p>
    <w:p>
      <w:pPr>
        <w:pStyle w:val="ListBullet"/>
        <w:ind w:left="283"/>
      </w:pPr>
    </w:p>
    <w:p>
      <w:pPr/>
      <w:r>
        <w:t>紧急权限须 24 小时内补办正式审批</w:t>
      </w:r>
    </w:p>
    <w:p>
      <w:pPr>
        <w:pStyle w:val="Heading3"/>
      </w:pPr>
      <w:r>
        <w:rPr>
          <w:color w:val="356AB5"/>
          <w:sz w:val="26"/>
        </w:rPr>
        <w:t>5.3 权限复核</w:t>
      </w:r>
    </w:p>
    <w:p>
      <w:pPr>
        <w:pStyle w:val="ListBullet"/>
        <w:ind w:left="283"/>
      </w:pPr>
    </w:p>
    <w:p>
      <w:pPr/>
      <w:r>
        <w:t>L1 半年复核、L2 季度复核、L3/L4 月度复核</w:t>
      </w:r>
    </w:p>
    <w:p>
      <w:pPr>
        <w:pStyle w:val="ListBullet"/>
        <w:ind w:left="283"/>
      </w:pPr>
    </w:p>
    <w:p>
      <w:pPr/>
      <w:r>
        <w:t>复核内容：是否仍需要、是否有越权</w:t>
      </w:r>
    </w:p>
    <w:p>
      <w:pPr>
        <w:pStyle w:val="ListBullet"/>
        <w:ind w:left="283"/>
      </w:pPr>
    </w:p>
    <w:p>
      <w:pPr/>
      <w:r>
        <w:t>复核记录留档 3 年</w:t>
      </w:r>
    </w:p>
    <w:p>
      <w:pPr>
        <w:pStyle w:val="Heading3"/>
      </w:pPr>
      <w:r>
        <w:rPr>
          <w:color w:val="356AB5"/>
          <w:sz w:val="26"/>
        </w:rPr>
        <w:t>5.4 多因素认证</w:t>
      </w:r>
    </w:p>
    <w:p>
      <w:pPr>
        <w:pStyle w:val="ListBullet"/>
        <w:ind w:left="283"/>
      </w:pPr>
    </w:p>
    <w:p>
      <w:pPr/>
      <w:r>
        <w:t>管理员账号必须开启多因素认证</w:t>
      </w:r>
    </w:p>
    <w:p>
      <w:pPr>
        <w:pStyle w:val="ListBullet"/>
        <w:ind w:left="283"/>
      </w:pPr>
    </w:p>
    <w:p>
      <w:pPr/>
      <w:r>
        <w:t>L3 及以上访问需短信 + 令牌双因子</w:t>
      </w:r>
    </w:p>
    <w:p>
      <w:pPr>
        <w:pStyle w:val="Heading2"/>
      </w:pPr>
      <w:r>
        <w:rPr>
          <w:color w:val="2C5A9C"/>
          <w:sz w:val="32"/>
        </w:rPr>
        <w:t>六、儿童个人信息特别管理</w:t>
      </w:r>
    </w:p>
    <w:p>
      <w:pPr>
        <w:pStyle w:val="Heading3"/>
      </w:pPr>
      <w:r>
        <w:rPr>
          <w:color w:val="356AB5"/>
          <w:sz w:val="26"/>
        </w:rPr>
        <w:t>6.1 儿童数据识别</w:t>
      </w:r>
    </w:p>
    <w:p>
      <w:pPr>
        <w:pStyle w:val="ListBullet"/>
        <w:ind w:left="283"/>
      </w:pPr>
    </w:p>
    <w:p>
      <w:pPr/>
      <w:r>
        <w:t>系统自动标记 14 岁以下用户（</w:t>
      </w:r>
      <w:r>
        <w:rPr>
          <w:rFonts w:ascii="Consolas" w:hAnsi="Consolas"/>
          <w:color w:val="C7254E"/>
          <w:sz w:val="20"/>
        </w:rPr>
        <w:t>requiresParentConsent</w:t>
      </w:r>
      <w:r>
        <w:t xml:space="preserve"> 字段）</w:t>
      </w:r>
    </w:p>
    <w:p>
      <w:pPr>
        <w:pStyle w:val="ListBullet"/>
        <w:ind w:left="283"/>
      </w:pPr>
    </w:p>
    <w:p>
      <w:pPr/>
      <w:r>
        <w:t>14 岁以下用户数据标红、加密存储</w:t>
      </w:r>
    </w:p>
    <w:p>
      <w:pPr>
        <w:pStyle w:val="Heading3"/>
      </w:pPr>
      <w:r>
        <w:rPr>
          <w:color w:val="356AB5"/>
          <w:sz w:val="26"/>
        </w:rPr>
        <w:t>6.2 儿童数据访问</w:t>
      </w:r>
    </w:p>
    <w:p>
      <w:pPr>
        <w:pStyle w:val="ListBullet"/>
        <w:ind w:left="283"/>
      </w:pPr>
    </w:p>
    <w:p>
      <w:pPr/>
      <w:r>
        <w:rPr>
          <w:b/>
        </w:rPr>
        <w:t>最小必要</w:t>
      </w:r>
      <w:r>
        <w:t>：仅在必要场景下访问</w:t>
      </w:r>
    </w:p>
    <w:p>
      <w:pPr>
        <w:pStyle w:val="ListBullet"/>
        <w:ind w:left="283"/>
      </w:pPr>
    </w:p>
    <w:p>
      <w:pPr/>
      <w:r>
        <w:rPr>
          <w:b/>
        </w:rPr>
        <w:t>双人复核</w:t>
      </w:r>
      <w:r>
        <w:t>：查看儿童敏感数据需两人同时在场</w:t>
      </w:r>
    </w:p>
    <w:p>
      <w:pPr>
        <w:pStyle w:val="ListBullet"/>
        <w:ind w:left="283"/>
      </w:pPr>
    </w:p>
    <w:p>
      <w:pPr/>
      <w:r>
        <w:rPr>
          <w:b/>
        </w:rPr>
        <w:t>全留痕</w:t>
      </w:r>
      <w:r>
        <w:t>：所有访问行为永久记录</w:t>
      </w:r>
    </w:p>
    <w:p>
      <w:pPr>
        <w:pStyle w:val="ListBullet"/>
        <w:ind w:left="283"/>
      </w:pPr>
    </w:p>
    <w:p>
      <w:pPr/>
      <w:r>
        <w:rPr>
          <w:b/>
        </w:rPr>
        <w:t>禁止导出</w:t>
      </w:r>
      <w:r>
        <w:t>：禁止下载到本地、禁止外发</w:t>
      </w:r>
    </w:p>
    <w:p>
      <w:pPr>
        <w:pStyle w:val="Heading3"/>
      </w:pPr>
      <w:r>
        <w:rPr>
          <w:color w:val="356AB5"/>
          <w:sz w:val="26"/>
        </w:rPr>
        <w:t>6.3 儿童数据删除</w:t>
      </w:r>
    </w:p>
    <w:p>
      <w:pPr>
        <w:pStyle w:val="ListBullet"/>
        <w:ind w:left="283"/>
      </w:pPr>
    </w:p>
    <w:p>
      <w:pPr/>
      <w:r>
        <w:t>用户注销后立即删除</w:t>
      </w:r>
    </w:p>
    <w:p>
      <w:pPr>
        <w:pStyle w:val="ListBullet"/>
        <w:ind w:left="283"/>
      </w:pPr>
    </w:p>
    <w:p>
      <w:pPr/>
      <w:r>
        <w:t>监护人撤回同意后 15 个工作日内删除</w:t>
      </w:r>
    </w:p>
    <w:p>
      <w:pPr>
        <w:pStyle w:val="ListBullet"/>
        <w:ind w:left="283"/>
      </w:pPr>
    </w:p>
    <w:p>
      <w:pPr/>
      <w:r>
        <w:t>但</w:t>
      </w:r>
      <w:r>
        <w:rPr>
          <w:b/>
        </w:rPr>
        <w:t>监护人同意记录永久保留</w:t>
      </w:r>
      <w:r>
        <w:t>（合规要求）</w:t>
      </w:r>
    </w:p>
    <w:p>
      <w:pPr>
        <w:pStyle w:val="Heading2"/>
      </w:pPr>
      <w:r>
        <w:rPr>
          <w:color w:val="2C5A9C"/>
          <w:sz w:val="32"/>
        </w:rPr>
        <w:t>七、数据访问行为管理</w:t>
      </w:r>
    </w:p>
    <w:p>
      <w:pPr>
        <w:pStyle w:val="Heading3"/>
      </w:pPr>
      <w:r>
        <w:rPr>
          <w:color w:val="356AB5"/>
          <w:sz w:val="26"/>
        </w:rPr>
        <w:t>7.1 访问规范</w:t>
      </w:r>
    </w:p>
    <w:p>
      <w:pPr>
        <w:pStyle w:val="ListBullet"/>
        <w:ind w:left="283"/>
      </w:pPr>
    </w:p>
    <w:p>
      <w:pPr/>
      <w:r>
        <w:rPr>
          <w:b/>
        </w:rPr>
        <w:t>最小必要</w:t>
      </w:r>
      <w:r>
        <w:t>：只查完成工作所需的最少数据</w:t>
      </w:r>
    </w:p>
    <w:p>
      <w:pPr>
        <w:pStyle w:val="ListBullet"/>
        <w:ind w:left="283"/>
      </w:pPr>
    </w:p>
    <w:p>
      <w:pPr/>
      <w:r>
        <w:rPr>
          <w:b/>
        </w:rPr>
        <w:t>目的限定</w:t>
      </w:r>
      <w:r>
        <w:t>：每次访问有明确目的，超出工作目的即为违规</w:t>
      </w:r>
    </w:p>
    <w:p>
      <w:pPr>
        <w:pStyle w:val="ListBullet"/>
        <w:ind w:left="283"/>
      </w:pPr>
    </w:p>
    <w:p>
      <w:pPr/>
      <w:r>
        <w:rPr>
          <w:b/>
        </w:rPr>
        <w:t>禁止行为</w:t>
      </w:r>
      <w:r>
        <w:t>：</w:t>
      </w:r>
    </w:p>
    <w:p>
      <w:pPr>
        <w:pStyle w:val="ListBullet"/>
        <w:ind w:left="567"/>
      </w:pPr>
    </w:p>
    <w:p>
      <w:pPr/>
      <w:r>
        <w:t>私下查询、讨论、传播用户个人信息</w:t>
      </w:r>
    </w:p>
    <w:p>
      <w:pPr>
        <w:pStyle w:val="ListBullet"/>
        <w:ind w:left="567"/>
      </w:pPr>
    </w:p>
    <w:p>
      <w:pPr/>
      <w:r>
        <w:t>下载、复制到本地</w:t>
      </w:r>
    </w:p>
    <w:p>
      <w:pPr>
        <w:pStyle w:val="ListBullet"/>
        <w:ind w:left="567"/>
      </w:pPr>
    </w:p>
    <w:p>
      <w:pPr/>
      <w:r>
        <w:t>拍照、截图</w:t>
      </w:r>
    </w:p>
    <w:p>
      <w:pPr>
        <w:pStyle w:val="ListBullet"/>
        <w:ind w:left="567"/>
      </w:pPr>
    </w:p>
    <w:p>
      <w:pPr/>
      <w:r>
        <w:t>转发给不相关人员</w:t>
      </w:r>
    </w:p>
    <w:p>
      <w:pPr>
        <w:pStyle w:val="ListBullet"/>
        <w:ind w:left="567"/>
      </w:pPr>
    </w:p>
    <w:p>
      <w:pPr/>
      <w:r>
        <w:t>用于工作以外的目的</w:t>
      </w:r>
    </w:p>
    <w:p>
      <w:pPr>
        <w:pStyle w:val="Heading3"/>
      </w:pPr>
      <w:r>
        <w:rPr>
          <w:color w:val="356AB5"/>
          <w:sz w:val="26"/>
        </w:rPr>
        <w:t>7.2 监控审计</w:t>
      </w:r>
    </w:p>
    <w:p>
      <w:pPr>
        <w:pStyle w:val="ListBullet"/>
        <w:ind w:left="283"/>
      </w:pPr>
    </w:p>
    <w:p>
      <w:pPr/>
      <w:r>
        <w:t>全部数据库访问行为留痕</w:t>
      </w:r>
    </w:p>
    <w:p>
      <w:pPr>
        <w:pStyle w:val="ListBullet"/>
        <w:ind w:left="283"/>
      </w:pPr>
    </w:p>
    <w:p>
      <w:pPr/>
      <w:r>
        <w:t>异常行为自动告警（如短时间内大量查询）</w:t>
      </w:r>
    </w:p>
    <w:p>
      <w:pPr>
        <w:pStyle w:val="ListBullet"/>
        <w:ind w:left="283"/>
      </w:pPr>
    </w:p>
    <w:p>
      <w:pPr/>
      <w:r>
        <w:t>每月审计报告，至少包含：</w:t>
      </w:r>
    </w:p>
    <w:p>
      <w:pPr>
        <w:pStyle w:val="ListBullet"/>
        <w:ind w:left="567"/>
      </w:pPr>
    </w:p>
    <w:p>
      <w:pPr/>
      <w:r>
        <w:t>访问量统计</w:t>
      </w:r>
    </w:p>
    <w:p>
      <w:pPr>
        <w:pStyle w:val="ListBullet"/>
        <w:ind w:left="567"/>
      </w:pPr>
    </w:p>
    <w:p>
      <w:pPr/>
      <w:r>
        <w:t>异常访问告警</w:t>
      </w:r>
    </w:p>
    <w:p>
      <w:pPr>
        <w:pStyle w:val="ListBullet"/>
        <w:ind w:left="567"/>
      </w:pPr>
    </w:p>
    <w:p>
      <w:pPr/>
      <w:r>
        <w:t>违规处理情况</w:t>
      </w:r>
    </w:p>
    <w:p>
      <w:pPr>
        <w:pStyle w:val="Heading3"/>
      </w:pPr>
      <w:r>
        <w:rPr>
          <w:color w:val="356AB5"/>
          <w:sz w:val="26"/>
        </w:rPr>
        <w:t>7.3 违规处理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违规等级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行为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t>一般</w:t>
            </w:r>
          </w:p>
        </w:tc>
        <w:tc>
          <w:tcPr>
            <w:tcW w:type="dxa" w:w="2880"/>
          </w:tcPr>
          <w:p>
            <w:r/>
            <w:r>
              <w:t>误操作、首次越权</w:t>
            </w:r>
          </w:p>
        </w:tc>
        <w:tc>
          <w:tcPr>
            <w:tcW w:type="dxa" w:w="2880"/>
          </w:tcPr>
          <w:p>
            <w:r/>
            <w:r>
              <w:t>教育 + 取消权限</w:t>
            </w:r>
          </w:p>
        </w:tc>
      </w:tr>
      <w:tr>
        <w:tc>
          <w:tcPr>
            <w:tcW w:type="dxa" w:w="2880"/>
          </w:tcPr>
          <w:p>
            <w:r/>
            <w:r>
              <w:t>较重</w:t>
            </w:r>
          </w:p>
        </w:tc>
        <w:tc>
          <w:tcPr>
            <w:tcW w:type="dxa" w:w="2880"/>
          </w:tcPr>
          <w:p>
            <w:r/>
            <w:r>
              <w:t>故意违规、传播数据</w:t>
            </w:r>
          </w:p>
        </w:tc>
        <w:tc>
          <w:tcPr>
            <w:tcW w:type="dxa" w:w="2880"/>
          </w:tcPr>
          <w:p>
            <w:r/>
            <w:r>
              <w:t>记过 + 解除劳动合同</w:t>
            </w:r>
          </w:p>
        </w:tc>
      </w:tr>
      <w:tr>
        <w:tc>
          <w:tcPr>
            <w:tcW w:type="dxa" w:w="2880"/>
          </w:tcPr>
          <w:p>
            <w:r/>
            <w:r>
              <w:t>严重</w:t>
            </w:r>
          </w:p>
        </w:tc>
        <w:tc>
          <w:tcPr>
            <w:tcW w:type="dxa" w:w="2880"/>
          </w:tcPr>
          <w:p>
            <w:r/>
            <w:r>
              <w:t>倒卖数据、牟利</w:t>
            </w:r>
          </w:p>
        </w:tc>
        <w:tc>
          <w:tcPr>
            <w:tcW w:type="dxa" w:w="2880"/>
          </w:tcPr>
          <w:p>
            <w:r/>
            <w:r>
              <w:t>解除合同 + 追责 + 报警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八、数据存储与传输</w:t>
      </w:r>
    </w:p>
    <w:p>
      <w:pPr>
        <w:pStyle w:val="Heading3"/>
      </w:pPr>
      <w:r>
        <w:rPr>
          <w:color w:val="356AB5"/>
          <w:sz w:val="26"/>
        </w:rPr>
        <w:t>8.1 存储</w:t>
      </w:r>
    </w:p>
    <w:p>
      <w:pPr>
        <w:pStyle w:val="ListBullet"/>
        <w:ind w:left="283"/>
      </w:pPr>
    </w:p>
    <w:p>
      <w:pPr/>
      <w:r>
        <w:rPr>
          <w:b/>
        </w:rPr>
        <w:t>境内存储</w:t>
      </w:r>
      <w:r>
        <w:t>：所有用户数据存储于中国境内阿里云 ECS</w:t>
      </w:r>
    </w:p>
    <w:p>
      <w:pPr>
        <w:pStyle w:val="ListBullet"/>
        <w:ind w:left="283"/>
      </w:pPr>
    </w:p>
    <w:p>
      <w:pPr/>
      <w:r>
        <w:rPr>
          <w:b/>
        </w:rPr>
        <w:t>加密存储</w:t>
      </w:r>
      <w:r>
        <w:t>：</w:t>
      </w:r>
    </w:p>
    <w:p>
      <w:pPr>
        <w:pStyle w:val="ListBullet"/>
        <w:ind w:left="567"/>
      </w:pPr>
    </w:p>
    <w:p>
      <w:pPr/>
      <w:r>
        <w:t>密码：bcrypt（10 轮）</w:t>
      </w:r>
    </w:p>
    <w:p>
      <w:pPr>
        <w:pStyle w:val="ListBullet"/>
        <w:ind w:left="567"/>
      </w:pPr>
    </w:p>
    <w:p>
      <w:pPr/>
      <w:r>
        <w:t>敏感字段：字段级加密（AES-256）</w:t>
      </w:r>
    </w:p>
    <w:p>
      <w:pPr>
        <w:pStyle w:val="ListBullet"/>
        <w:ind w:left="283"/>
      </w:pPr>
    </w:p>
    <w:p>
      <w:pPr/>
      <w:r>
        <w:rPr>
          <w:b/>
        </w:rPr>
        <w:t>备份</w:t>
      </w:r>
      <w:r>
        <w:t>：每日全量备份到阿里云 OSS，保留 30 天</w:t>
      </w:r>
    </w:p>
    <w:p>
      <w:pPr>
        <w:pStyle w:val="Heading3"/>
      </w:pPr>
      <w:r>
        <w:rPr>
          <w:color w:val="356AB5"/>
          <w:sz w:val="26"/>
        </w:rPr>
        <w:t>8.2 传输</w:t>
      </w:r>
    </w:p>
    <w:p>
      <w:pPr>
        <w:pStyle w:val="ListBullet"/>
        <w:ind w:left="283"/>
      </w:pPr>
    </w:p>
    <w:p>
      <w:pPr/>
      <w:r>
        <w:rPr>
          <w:b/>
        </w:rPr>
        <w:t>全站 HTTPS</w:t>
      </w:r>
      <w:r>
        <w:t>：TLS 1.3，禁止 HTTP 明文</w:t>
      </w:r>
    </w:p>
    <w:p>
      <w:pPr>
        <w:pStyle w:val="ListBullet"/>
        <w:ind w:left="283"/>
      </w:pPr>
    </w:p>
    <w:p>
      <w:pPr/>
      <w:r>
        <w:rPr>
          <w:b/>
        </w:rPr>
        <w:t>API 加密</w:t>
      </w:r>
      <w:r>
        <w:t>：内部服务调用走 mTLS</w:t>
      </w:r>
    </w:p>
    <w:p>
      <w:pPr>
        <w:pStyle w:val="ListBullet"/>
        <w:ind w:left="283"/>
      </w:pPr>
    </w:p>
    <w:p>
      <w:pPr/>
      <w:r>
        <w:rPr>
          <w:b/>
        </w:rPr>
        <w:t>Cookie 安全</w:t>
      </w:r>
      <w:r>
        <w:t>：HttpOnly、Secure、SameSite=Lax</w:t>
      </w:r>
    </w:p>
    <w:p>
      <w:pPr>
        <w:pStyle w:val="Heading3"/>
      </w:pPr>
      <w:r>
        <w:rPr>
          <w:color w:val="356AB5"/>
          <w:sz w:val="26"/>
        </w:rPr>
        <w:t>8.3 介质管理</w:t>
      </w:r>
    </w:p>
    <w:p>
      <w:pPr>
        <w:pStyle w:val="ListBullet"/>
        <w:ind w:left="283"/>
      </w:pPr>
    </w:p>
    <w:p>
      <w:pPr/>
      <w:r>
        <w:t>生产数据禁止存储于个人设备</w:t>
      </w:r>
    </w:p>
    <w:p>
      <w:pPr>
        <w:pStyle w:val="ListBullet"/>
        <w:ind w:left="283"/>
      </w:pPr>
    </w:p>
    <w:p>
      <w:pPr/>
      <w:r>
        <w:t>U 盘、移动硬盘加密后使用</w:t>
      </w:r>
    </w:p>
    <w:p>
      <w:pPr>
        <w:pStyle w:val="ListBullet"/>
        <w:ind w:left="283"/>
      </w:pPr>
    </w:p>
    <w:p>
      <w:pPr/>
      <w:r>
        <w:t>设备报废时做安全擦除（DoD 5220.22-M）</w:t>
      </w:r>
    </w:p>
    <w:p>
      <w:pPr>
        <w:pStyle w:val="Heading2"/>
      </w:pPr>
      <w:r>
        <w:rPr>
          <w:color w:val="2C5A9C"/>
          <w:sz w:val="32"/>
        </w:rPr>
        <w:t>九、第三方管理</w:t>
      </w:r>
    </w:p>
    <w:p>
      <w:pPr>
        <w:pStyle w:val="Heading3"/>
      </w:pPr>
      <w:r>
        <w:rPr>
          <w:color w:val="356AB5"/>
          <w:sz w:val="26"/>
        </w:rPr>
        <w:t>9.1 第三方准入</w:t>
      </w:r>
    </w:p>
    <w:p>
      <w:pPr>
        <w:pStyle w:val="ListBullet"/>
        <w:ind w:left="283"/>
      </w:pPr>
    </w:p>
    <w:p>
      <w:pPr/>
      <w:r>
        <w:t>评估第三方数据安全能力</w:t>
      </w:r>
    </w:p>
    <w:p>
      <w:pPr>
        <w:pStyle w:val="ListBullet"/>
        <w:ind w:left="283"/>
      </w:pPr>
    </w:p>
    <w:p>
      <w:pPr/>
      <w:r>
        <w:t>签订《数据处理协议》（DPA）</w:t>
      </w:r>
    </w:p>
    <w:p>
      <w:pPr>
        <w:pStyle w:val="ListBullet"/>
        <w:ind w:left="283"/>
      </w:pPr>
    </w:p>
    <w:p>
      <w:pPr/>
      <w:r>
        <w:t>明确数据范围、目的、保护措施</w:t>
      </w:r>
    </w:p>
    <w:p>
      <w:pPr>
        <w:pStyle w:val="Heading3"/>
      </w:pPr>
      <w:r>
        <w:rPr>
          <w:color w:val="356AB5"/>
          <w:sz w:val="26"/>
        </w:rPr>
        <w:t>9.2 第三方清单（童慧行现有）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第三方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数据范围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协议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定期评估</w:t>
            </w:r>
          </w:p>
        </w:tc>
      </w:tr>
      <w:tr>
        <w:tc>
          <w:tcPr>
            <w:tcW w:type="dxa" w:w="2160"/>
          </w:tcPr>
          <w:p>
            <w:r/>
            <w:r>
              <w:t>阿里云 ECS</w:t>
            </w:r>
          </w:p>
        </w:tc>
        <w:tc>
          <w:tcPr>
            <w:tcW w:type="dxa" w:w="2160"/>
          </w:tcPr>
          <w:p>
            <w:r/>
            <w:r>
              <w:t>业务数据</w:t>
            </w:r>
          </w:p>
        </w:tc>
        <w:tc>
          <w:tcPr>
            <w:tcW w:type="dxa" w:w="2160"/>
          </w:tcPr>
          <w:p>
            <w:r/>
            <w:r>
              <w:t>已签</w:t>
            </w:r>
          </w:p>
        </w:tc>
        <w:tc>
          <w:tcPr>
            <w:tcW w:type="dxa" w:w="2160"/>
          </w:tcPr>
          <w:p>
            <w:r/>
            <w:r>
              <w:t>半年</w:t>
            </w:r>
          </w:p>
        </w:tc>
      </w:tr>
      <w:tr>
        <w:tc>
          <w:tcPr>
            <w:tcW w:type="dxa" w:w="2160"/>
          </w:tcPr>
          <w:p>
            <w:r/>
            <w:r>
              <w:t>阿里云通信</w:t>
            </w:r>
          </w:p>
        </w:tc>
        <w:tc>
          <w:tcPr>
            <w:tcW w:type="dxa" w:w="2160"/>
          </w:tcPr>
          <w:p>
            <w:r/>
            <w:r>
              <w:t>手机号</w:t>
            </w:r>
          </w:p>
        </w:tc>
        <w:tc>
          <w:tcPr>
            <w:tcW w:type="dxa" w:w="2160"/>
          </w:tcPr>
          <w:p>
            <w:r/>
            <w:r>
              <w:t>已签</w:t>
            </w:r>
          </w:p>
        </w:tc>
        <w:tc>
          <w:tcPr>
            <w:tcW w:type="dxa" w:w="2160"/>
          </w:tcPr>
          <w:p>
            <w:r/>
            <w:r>
              <w:t>半年</w:t>
            </w:r>
          </w:p>
        </w:tc>
      </w:tr>
      <w:tr>
        <w:tc>
          <w:tcPr>
            <w:tcW w:type="dxa" w:w="2160"/>
          </w:tcPr>
          <w:p>
            <w:r/>
            <w:r>
              <w:t>微信开放平台</w:t>
            </w:r>
          </w:p>
        </w:tc>
        <w:tc>
          <w:tcPr>
            <w:tcW w:type="dxa" w:w="2160"/>
          </w:tcPr>
          <w:p>
            <w:r/>
            <w:r>
              <w:t>openid</w:t>
            </w:r>
          </w:p>
        </w:tc>
        <w:tc>
          <w:tcPr>
            <w:tcW w:type="dxa" w:w="2160"/>
          </w:tcPr>
          <w:p>
            <w:r/>
            <w:r>
              <w:t>平台协议</w:t>
            </w:r>
          </w:p>
        </w:tc>
        <w:tc>
          <w:tcPr>
            <w:tcW w:type="dxa" w:w="2160"/>
          </w:tcPr>
          <w:p>
            <w:r/>
            <w:r>
              <w:t>半年</w:t>
            </w:r>
          </w:p>
        </w:tc>
      </w:tr>
      <w:tr>
        <w:tc>
          <w:tcPr>
            <w:tcW w:type="dxa" w:w="2160"/>
          </w:tcPr>
          <w:p>
            <w:r/>
            <w:r>
              <w:t>微软 Edge TTS</w:t>
            </w:r>
          </w:p>
        </w:tc>
        <w:tc>
          <w:tcPr>
            <w:tcW w:type="dxa" w:w="2160"/>
          </w:tcPr>
          <w:p>
            <w:r/>
            <w:r>
              <w:t>文本（不含用户信息）</w:t>
            </w:r>
          </w:p>
        </w:tc>
        <w:tc>
          <w:tcPr>
            <w:tcW w:type="dxa" w:w="2160"/>
          </w:tcPr>
          <w:p>
            <w:r/>
            <w:r>
              <w:t>服务条款</w:t>
            </w:r>
          </w:p>
        </w:tc>
        <w:tc>
          <w:tcPr>
            <w:tcW w:type="dxa" w:w="2160"/>
          </w:tcPr>
          <w:p>
            <w:r/>
            <w:r>
              <w:t>半年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9.3 第三方监督</w:t>
      </w:r>
    </w:p>
    <w:p>
      <w:pPr>
        <w:pStyle w:val="ListBullet"/>
        <w:ind w:left="283"/>
      </w:pPr>
    </w:p>
    <w:p>
      <w:pPr/>
      <w:r>
        <w:t>每半年复评第三方安全能力</w:t>
      </w:r>
    </w:p>
    <w:p>
      <w:pPr>
        <w:pStyle w:val="ListBullet"/>
        <w:ind w:left="283"/>
      </w:pPr>
    </w:p>
    <w:p>
      <w:pPr/>
      <w:r>
        <w:t>第三方发生数据事件时</w:t>
      </w:r>
      <w:r>
        <w:rPr>
          <w:b/>
        </w:rPr>
        <w:t>24 小时内</w:t>
      </w:r>
      <w:r>
        <w:t>通报我方</w:t>
      </w:r>
    </w:p>
    <w:p>
      <w:pPr>
        <w:pStyle w:val="ListBullet"/>
        <w:ind w:left="283"/>
      </w:pPr>
    </w:p>
    <w:p>
      <w:pPr/>
      <w:r>
        <w:t>第三方处理完成后</w:t>
      </w:r>
      <w:r>
        <w:rPr>
          <w:b/>
        </w:rPr>
        <w:t>30 日内</w:t>
      </w:r>
      <w:r>
        <w:t>提供合规证明</w:t>
      </w:r>
    </w:p>
    <w:p>
      <w:pPr>
        <w:pStyle w:val="Heading2"/>
      </w:pPr>
      <w:r>
        <w:rPr>
          <w:color w:val="2C5A9C"/>
          <w:sz w:val="32"/>
        </w:rPr>
        <w:t>十、数据安全事件应急</w:t>
      </w:r>
    </w:p>
    <w:p>
      <w:pPr/>
      <w:r>
        <w:t>详见《数据安全事件应急预案》（SEC-IR-001）</w:t>
      </w:r>
    </w:p>
    <w:p>
      <w:pPr>
        <w:pStyle w:val="Heading2"/>
      </w:pPr>
      <w:r>
        <w:rPr>
          <w:color w:val="2C5A9C"/>
          <w:sz w:val="32"/>
        </w:rPr>
        <w:t>十一、培训与考核</w:t>
      </w:r>
    </w:p>
    <w:p>
      <w:pPr>
        <w:pStyle w:val="Heading3"/>
      </w:pPr>
      <w:r>
        <w:rPr>
          <w:color w:val="356AB5"/>
          <w:sz w:val="26"/>
        </w:rPr>
        <w:t>11.1 培训</w:t>
      </w:r>
    </w:p>
    <w:p>
      <w:pPr>
        <w:pStyle w:val="ListBullet"/>
        <w:ind w:left="283"/>
      </w:pPr>
    </w:p>
    <w:p>
      <w:pPr/>
      <w:r>
        <w:rPr>
          <w:b/>
        </w:rPr>
        <w:t>入职培训</w:t>
      </w:r>
      <w:r>
        <w:t>：1 天数据安全必修</w:t>
      </w:r>
    </w:p>
    <w:p>
      <w:pPr>
        <w:pStyle w:val="ListBullet"/>
        <w:ind w:left="283"/>
      </w:pPr>
    </w:p>
    <w:p>
      <w:pPr/>
      <w:r>
        <w:rPr>
          <w:b/>
        </w:rPr>
        <w:t>年度培训</w:t>
      </w:r>
      <w:r>
        <w:t>：每年至少 4 小时</w:t>
      </w:r>
    </w:p>
    <w:p>
      <w:pPr>
        <w:pStyle w:val="ListBullet"/>
        <w:ind w:left="283"/>
      </w:pPr>
    </w:p>
    <w:p>
      <w:pPr/>
      <w:r>
        <w:rPr>
          <w:b/>
        </w:rPr>
        <w:t>专项培训</w:t>
      </w:r>
      <w:r>
        <w:t>：技术岗、客服岗、行政岗差异化培训</w:t>
      </w:r>
    </w:p>
    <w:p>
      <w:pPr>
        <w:pStyle w:val="Heading3"/>
      </w:pPr>
      <w:r>
        <w:rPr>
          <w:color w:val="356AB5"/>
          <w:sz w:val="26"/>
        </w:rPr>
        <w:t>11.2 考核</w:t>
      </w:r>
    </w:p>
    <w:p>
      <w:pPr>
        <w:pStyle w:val="ListBullet"/>
        <w:ind w:left="283"/>
      </w:pPr>
    </w:p>
    <w:p>
      <w:pPr/>
      <w:r>
        <w:t>年度数据安全考试（全员）</w:t>
      </w:r>
    </w:p>
    <w:p>
      <w:pPr>
        <w:pStyle w:val="ListBullet"/>
        <w:ind w:left="283"/>
      </w:pPr>
    </w:p>
    <w:p>
      <w:pPr/>
      <w:r>
        <w:t>不合格者取消数据访问权限</w:t>
      </w:r>
    </w:p>
    <w:p>
      <w:pPr>
        <w:pStyle w:val="ListBullet"/>
        <w:ind w:left="283"/>
      </w:pPr>
    </w:p>
    <w:p>
      <w:pPr/>
      <w:r>
        <w:t>补考通过后方可恢复权限</w:t>
      </w:r>
    </w:p>
    <w:p>
      <w:pPr>
        <w:pStyle w:val="Heading2"/>
      </w:pPr>
      <w:r>
        <w:rPr>
          <w:color w:val="2C5A9C"/>
          <w:sz w:val="32"/>
        </w:rPr>
        <w:t>十二、附则</w:t>
      </w:r>
    </w:p>
    <w:p>
      <w:pPr>
        <w:pStyle w:val="ListBullet"/>
        <w:ind w:left="283"/>
      </w:pPr>
    </w:p>
    <w:p>
      <w:pPr/>
      <w:r>
        <w:t>本制度由数据安全小组负责解释</w:t>
      </w:r>
    </w:p>
    <w:p>
      <w:pPr>
        <w:pStyle w:val="ListBullet"/>
        <w:ind w:left="283"/>
      </w:pPr>
    </w:p>
    <w:p>
      <w:pPr/>
      <w:r>
        <w:t>违反本制度按公司奖惩条例 + 法律法规处理</w:t>
      </w:r>
    </w:p>
    <w:p>
      <w:pPr>
        <w:pStyle w:val="ListBullet"/>
        <w:ind w:left="283"/>
      </w:pPr>
    </w:p>
    <w:p>
      <w:pPr/>
      <w:r>
        <w:t>每年至少修订 1 次</w:t>
      </w:r>
    </w:p>
    <w:p>
      <w:pPr>
        <w:pStyle w:val="Heading2"/>
      </w:pPr>
      <w:r>
        <w:rPr>
          <w:color w:val="2C5A9C"/>
          <w:sz w:val="32"/>
        </w:rPr>
        <w:t>十三、附件</w:t>
      </w:r>
    </w:p>
    <w:p>
      <w:pPr>
        <w:pStyle w:val="ListBullet"/>
        <w:ind w:left="283"/>
      </w:pPr>
    </w:p>
    <w:p>
      <w:pPr/>
      <w:r>
        <w:t>附件 1：数据访问权限申请表</w:t>
      </w:r>
    </w:p>
    <w:p>
      <w:pPr>
        <w:pStyle w:val="ListBullet"/>
        <w:ind w:left="283"/>
      </w:pPr>
    </w:p>
    <w:p>
      <w:pPr/>
      <w:r>
        <w:t>附件 2：数据安全责任书</w:t>
      </w:r>
    </w:p>
    <w:p>
      <w:pPr>
        <w:pStyle w:val="ListBullet"/>
        <w:ind w:left="283"/>
      </w:pPr>
    </w:p>
    <w:p>
      <w:pPr/>
      <w:r>
        <w:t>附件 3：保密协议</w:t>
      </w:r>
    </w:p>
    <w:p>
      <w:pPr>
        <w:pStyle w:val="ListBullet"/>
        <w:ind w:left="283"/>
      </w:pPr>
    </w:p>
    <w:p>
      <w:pPr/>
      <w:r>
        <w:t>附件 4：数据安全交接确认书</w:t>
      </w:r>
    </w:p>
    <w:p>
      <w:pPr/>
      <w:r>
        <w:t>© 2026 童慧行 · 保留所有权利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Microsoft YaHei" w:asci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