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7F87D" w14:textId="77777777" w:rsidR="002E64EB" w:rsidRDefault="00000000">
      <w:pPr>
        <w:spacing w:after="200"/>
      </w:pPr>
      <w:r>
        <w:rPr>
          <w:rFonts w:ascii="Consolas" w:eastAsia="Consolas" w:hAnsi="Consolas" w:cs="Consolas"/>
          <w:b/>
          <w:bCs/>
          <w:color w:val="C8102E"/>
          <w:spacing w:val="40"/>
          <w:sz w:val="17"/>
          <w:szCs w:val="17"/>
        </w:rPr>
        <w:t>DATA STRATEGY · COMMERCIAL STRATEGY · AI</w:t>
      </w:r>
    </w:p>
    <w:p w14:paraId="0974A888" w14:textId="77777777" w:rsidR="002E64EB" w:rsidRDefault="00000000">
      <w:pPr>
        <w:spacing w:after="120"/>
      </w:pPr>
      <w:r>
        <w:rPr>
          <w:rFonts w:ascii="Georgia" w:eastAsia="Georgia" w:hAnsi="Georgia" w:cs="Georgia"/>
          <w:b/>
          <w:bCs/>
          <w:sz w:val="60"/>
          <w:szCs w:val="60"/>
        </w:rPr>
        <w:t>Anatomy of a Wrong Quote</w:t>
      </w:r>
    </w:p>
    <w:p w14:paraId="5B722A11" w14:textId="77777777" w:rsidR="002E64EB" w:rsidRDefault="00000000">
      <w:pPr>
        <w:spacing w:after="240"/>
      </w:pPr>
      <w:r>
        <w:rPr>
          <w:rFonts w:ascii="Georgia" w:eastAsia="Georgia" w:hAnsi="Georgia" w:cs="Georgia"/>
          <w:color w:val="4A4740"/>
          <w:sz w:val="28"/>
          <w:szCs w:val="28"/>
        </w:rPr>
        <w:t xml:space="preserve">Why your data strategy </w:t>
      </w:r>
      <w:r>
        <w:rPr>
          <w:rFonts w:ascii="Georgia" w:eastAsia="Georgia" w:hAnsi="Georgia" w:cs="Georgia"/>
          <w:i/>
          <w:iCs/>
          <w:color w:val="4A4740"/>
          <w:sz w:val="28"/>
          <w:szCs w:val="28"/>
        </w:rPr>
        <w:t>is</w:t>
      </w:r>
      <w:r>
        <w:rPr>
          <w:rFonts w:ascii="Georgia" w:eastAsia="Georgia" w:hAnsi="Georgia" w:cs="Georgia"/>
          <w:color w:val="4A4740"/>
          <w:sz w:val="28"/>
          <w:szCs w:val="28"/>
        </w:rPr>
        <w:t xml:space="preserve"> your commercial strategy — and what AI is about to do to it</w:t>
      </w:r>
    </w:p>
    <w:p w14:paraId="45C4C503" w14:textId="77777777" w:rsidR="002E64EB" w:rsidRDefault="00000000">
      <w:pPr>
        <w:pBdr>
          <w:bottom w:val="single" w:sz="6" w:space="8" w:color="17191E"/>
        </w:pBdr>
        <w:spacing w:after="320"/>
      </w:pPr>
      <w:r>
        <w:rPr>
          <w:b/>
          <w:bCs/>
          <w:sz w:val="21"/>
          <w:szCs w:val="21"/>
        </w:rPr>
        <w:t>Jerome Potvin (Jay)</w:t>
      </w:r>
      <w:r>
        <w:rPr>
          <w:color w:val="4A4740"/>
          <w:sz w:val="21"/>
          <w:szCs w:val="21"/>
        </w:rPr>
        <w:t xml:space="preserve">  |  Director, Commercial Strategy, Innovair Solutions  |  October 2026</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2E64EB" w14:paraId="53305511" w14:textId="77777777">
        <w:tblPrEx>
          <w:tblCellMar>
            <w:top w:w="0" w:type="dxa"/>
            <w:bottom w:w="0" w:type="dxa"/>
          </w:tblCellMar>
        </w:tblPrEx>
        <w:tc>
          <w:tcPr>
            <w:tcW w:w="9640" w:type="dxa"/>
            <w:tcBorders>
              <w:top w:val="none" w:sz="0" w:space="0" w:color="FFFFFF"/>
              <w:left w:val="single" w:sz="36" w:space="0" w:color="C8102E"/>
              <w:bottom w:val="none" w:sz="0" w:space="0" w:color="FFFFFF"/>
              <w:right w:val="none" w:sz="0" w:space="0" w:color="FFFFFF"/>
            </w:tcBorders>
            <w:shd w:val="clear" w:color="auto" w:fill="F4EFE6"/>
            <w:tcMar>
              <w:top w:w="200" w:type="dxa"/>
              <w:left w:w="280" w:type="dxa"/>
              <w:bottom w:w="200" w:type="dxa"/>
              <w:right w:w="280" w:type="dxa"/>
            </w:tcMar>
          </w:tcPr>
          <w:p w14:paraId="28C6E114" w14:textId="77777777" w:rsidR="002E64EB" w:rsidRDefault="00000000">
            <w:pPr>
              <w:spacing w:after="140"/>
            </w:pPr>
            <w:r>
              <w:rPr>
                <w:rFonts w:ascii="Consolas" w:eastAsia="Consolas" w:hAnsi="Consolas" w:cs="Consolas"/>
                <w:b/>
                <w:bCs/>
                <w:color w:val="C8102E"/>
                <w:sz w:val="20"/>
                <w:szCs w:val="20"/>
              </w:rPr>
              <w:t>AUTOPSY REPORT</w:t>
            </w:r>
          </w:p>
          <w:p w14:paraId="70B57FB3" w14:textId="77777777" w:rsidR="002E64EB" w:rsidRDefault="00000000">
            <w:pPr>
              <w:tabs>
                <w:tab w:val="left" w:pos="2700"/>
              </w:tabs>
              <w:spacing w:after="60"/>
            </w:pPr>
            <w:r>
              <w:rPr>
                <w:rFonts w:ascii="Consolas" w:eastAsia="Consolas" w:hAnsi="Consolas" w:cs="Consolas"/>
                <w:color w:val="8A8478"/>
                <w:sz w:val="18"/>
                <w:szCs w:val="18"/>
              </w:rPr>
              <w:t>Victim</w:t>
            </w:r>
            <w:r>
              <w:tab/>
            </w:r>
            <w:r>
              <w:rPr>
                <w:sz w:val="21"/>
                <w:szCs w:val="21"/>
              </w:rPr>
              <w:t>One quote (triplex: heat pump, 12 baseboards, 12 thermostats)</w:t>
            </w:r>
          </w:p>
          <w:p w14:paraId="7DF0E225" w14:textId="77777777" w:rsidR="002E64EB" w:rsidRDefault="00000000">
            <w:pPr>
              <w:tabs>
                <w:tab w:val="left" w:pos="2700"/>
              </w:tabs>
              <w:spacing w:after="60"/>
            </w:pPr>
            <w:r>
              <w:rPr>
                <w:rFonts w:ascii="Consolas" w:eastAsia="Consolas" w:hAnsi="Consolas" w:cs="Consolas"/>
                <w:color w:val="8A8478"/>
                <w:sz w:val="18"/>
                <w:szCs w:val="18"/>
              </w:rPr>
              <w:t>Time of death</w:t>
            </w:r>
            <w:r>
              <w:tab/>
            </w:r>
            <w:r>
              <w:rPr>
                <w:sz w:val="21"/>
                <w:szCs w:val="21"/>
              </w:rPr>
              <w:t>10:40 a.m., after three hours</w:t>
            </w:r>
          </w:p>
          <w:p w14:paraId="1D20A9D8" w14:textId="77777777" w:rsidR="002E64EB" w:rsidRDefault="00000000">
            <w:pPr>
              <w:tabs>
                <w:tab w:val="left" w:pos="2700"/>
              </w:tabs>
              <w:spacing w:after="60"/>
            </w:pPr>
            <w:r>
              <w:rPr>
                <w:rFonts w:ascii="Consolas" w:eastAsia="Consolas" w:hAnsi="Consolas" w:cs="Consolas"/>
                <w:color w:val="8A8478"/>
                <w:sz w:val="18"/>
                <w:szCs w:val="18"/>
              </w:rPr>
              <w:t>Cause logged in CRM</w:t>
            </w:r>
            <w:r>
              <w:tab/>
            </w:r>
            <w:r>
              <w:rPr>
                <w:sz w:val="21"/>
                <w:szCs w:val="21"/>
              </w:rPr>
              <w:t>"Lost on price"</w:t>
            </w:r>
          </w:p>
          <w:p w14:paraId="09207573" w14:textId="77777777" w:rsidR="002E64EB" w:rsidRDefault="00000000">
            <w:pPr>
              <w:tabs>
                <w:tab w:val="left" w:pos="2700"/>
              </w:tabs>
              <w:spacing w:after="60"/>
            </w:pPr>
            <w:r>
              <w:rPr>
                <w:rFonts w:ascii="Consolas" w:eastAsia="Consolas" w:hAnsi="Consolas" w:cs="Consolas"/>
                <w:color w:val="8A8478"/>
                <w:sz w:val="18"/>
                <w:szCs w:val="18"/>
              </w:rPr>
              <w:t>Actual cause</w:t>
            </w:r>
            <w:r>
              <w:tab/>
            </w:r>
            <w:r>
              <w:rPr>
                <w:b/>
                <w:bCs/>
                <w:color w:val="C8102E"/>
                <w:sz w:val="21"/>
                <w:szCs w:val="21"/>
              </w:rPr>
              <w:t>Four of six data links broken</w:t>
            </w:r>
          </w:p>
          <w:p w14:paraId="3D46762C" w14:textId="77777777" w:rsidR="002E64EB" w:rsidRDefault="00000000">
            <w:pPr>
              <w:tabs>
                <w:tab w:val="left" w:pos="2700"/>
              </w:tabs>
              <w:spacing w:after="60"/>
            </w:pPr>
            <w:r>
              <w:rPr>
                <w:rFonts w:ascii="Consolas" w:eastAsia="Consolas" w:hAnsi="Consolas" w:cs="Consolas"/>
                <w:color w:val="8A8478"/>
                <w:sz w:val="18"/>
                <w:szCs w:val="18"/>
              </w:rPr>
              <w:t>Witnesses</w:t>
            </w:r>
            <w:r>
              <w:tab/>
            </w:r>
            <w:r>
              <w:rPr>
                <w:sz w:val="21"/>
                <w:szCs w:val="21"/>
              </w:rPr>
              <w:t>None. Nobody reported it.</w:t>
            </w:r>
          </w:p>
        </w:tc>
      </w:tr>
    </w:tbl>
    <w:p w14:paraId="003C5A47" w14:textId="77777777" w:rsidR="002E64EB" w:rsidRDefault="002E64EB">
      <w:pPr>
        <w:spacing w:after="12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2E64EB" w14:paraId="498E4656" w14:textId="77777777">
        <w:tblPrEx>
          <w:tblCellMar>
            <w:top w:w="0" w:type="dxa"/>
            <w:bottom w:w="0" w:type="dxa"/>
          </w:tblCellMar>
        </w:tblPrEx>
        <w:tc>
          <w:tcPr>
            <w:tcW w:w="9640" w:type="dxa"/>
            <w:tcBorders>
              <w:top w:val="none" w:sz="0" w:space="0" w:color="FFFFFF"/>
              <w:left w:val="single" w:sz="36" w:space="0" w:color="17191E"/>
              <w:bottom w:val="none" w:sz="0" w:space="0" w:color="FFFFFF"/>
              <w:right w:val="none" w:sz="0" w:space="0" w:color="FFFFFF"/>
            </w:tcBorders>
            <w:shd w:val="clear" w:color="auto" w:fill="FFFFFF"/>
            <w:tcMar>
              <w:top w:w="200" w:type="dxa"/>
              <w:left w:w="280" w:type="dxa"/>
              <w:bottom w:w="200" w:type="dxa"/>
              <w:right w:w="280" w:type="dxa"/>
            </w:tcMar>
          </w:tcPr>
          <w:p w14:paraId="265FF4E4" w14:textId="77777777" w:rsidR="002E64EB" w:rsidRDefault="00000000">
            <w:pPr>
              <w:spacing w:after="100"/>
            </w:pPr>
            <w:r>
              <w:rPr>
                <w:rFonts w:ascii="Consolas" w:eastAsia="Consolas" w:hAnsi="Consolas" w:cs="Consolas"/>
                <w:b/>
                <w:bCs/>
                <w:sz w:val="18"/>
                <w:szCs w:val="18"/>
              </w:rPr>
              <w:t>IN 30 SECONDS</w:t>
            </w:r>
          </w:p>
          <w:p w14:paraId="4A4290EB" w14:textId="77777777" w:rsidR="002E64EB" w:rsidRDefault="00000000">
            <w:pPr>
              <w:pStyle w:val="ListParagraph"/>
              <w:numPr>
                <w:ilvl w:val="0"/>
                <w:numId w:val="2"/>
              </w:numPr>
              <w:spacing w:after="100" w:line="290" w:lineRule="auto"/>
            </w:pPr>
            <w:r>
              <w:t xml:space="preserve">Many quotes "lost on price" actually die elsewhere: when the </w:t>
            </w:r>
            <w:r>
              <w:rPr>
                <w:b/>
                <w:bCs/>
              </w:rPr>
              <w:t>links</w:t>
            </w:r>
            <w:r>
              <w:t xml:space="preserve"> between customer, contract, product and supplier break.</w:t>
            </w:r>
          </w:p>
          <w:p w14:paraId="76BE512C" w14:textId="77777777" w:rsidR="002E64EB" w:rsidRDefault="00000000">
            <w:pPr>
              <w:pStyle w:val="ListParagraph"/>
              <w:numPr>
                <w:ilvl w:val="0"/>
                <w:numId w:val="2"/>
              </w:numPr>
              <w:spacing w:after="100" w:line="290" w:lineRule="auto"/>
            </w:pPr>
            <w:r>
              <w:rPr>
                <w:b/>
                <w:bCs/>
              </w:rPr>
              <w:t>Culture outweighs budget</w:t>
            </w:r>
            <w:r>
              <w:t xml:space="preserve"> in governance failure: 60% vs 40% (Gartner).</w:t>
            </w:r>
          </w:p>
          <w:p w14:paraId="7E3D01F6" w14:textId="77777777" w:rsidR="002E64EB" w:rsidRDefault="00000000">
            <w:pPr>
              <w:pStyle w:val="ListParagraph"/>
              <w:numPr>
                <w:ilvl w:val="0"/>
                <w:numId w:val="2"/>
              </w:numPr>
              <w:spacing w:after="100" w:line="290" w:lineRule="auto"/>
            </w:pPr>
            <w:r>
              <w:t xml:space="preserve">In Canada, a breach costs </w:t>
            </w:r>
            <w:r>
              <w:rPr>
                <w:b/>
                <w:bCs/>
              </w:rPr>
              <w:t>C$7.11M, a record</w:t>
            </w:r>
            <w:r>
              <w:t xml:space="preserve"> (IBM). Fewer businesses hit, but a recovery bill that </w:t>
            </w:r>
            <w:r>
              <w:rPr>
                <w:b/>
                <w:bCs/>
              </w:rPr>
              <w:t>doubled</w:t>
            </w:r>
            <w:r>
              <w:t xml:space="preserve"> in two years (StatCan).</w:t>
            </w:r>
          </w:p>
          <w:p w14:paraId="058139AD" w14:textId="77777777" w:rsidR="002E64EB" w:rsidRDefault="00000000">
            <w:pPr>
              <w:pStyle w:val="ListParagraph"/>
              <w:numPr>
                <w:ilvl w:val="0"/>
                <w:numId w:val="2"/>
              </w:numPr>
              <w:spacing w:after="100" w:line="290" w:lineRule="auto"/>
            </w:pPr>
            <w:r>
              <w:t xml:space="preserve">AI doesn't fix the lost quote. </w:t>
            </w:r>
            <w:r>
              <w:rPr>
                <w:b/>
                <w:bCs/>
              </w:rPr>
              <w:t>It industrializes it.</w:t>
            </w:r>
            <w:r>
              <w:t xml:space="preserve"> At the end: 8 lessons and an interactive tool to check your own.</w:t>
            </w:r>
          </w:p>
        </w:tc>
      </w:tr>
    </w:tbl>
    <w:p w14:paraId="722D3CB0" w14:textId="77777777" w:rsidR="002E64EB" w:rsidRDefault="002E64EB">
      <w:pPr>
        <w:spacing w:after="12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2410"/>
        <w:gridCol w:w="2410"/>
        <w:gridCol w:w="2410"/>
      </w:tblGrid>
      <w:tr w:rsidR="002E64EB" w14:paraId="769A0906" w14:textId="77777777">
        <w:tblPrEx>
          <w:tblCellMar>
            <w:top w:w="0" w:type="dxa"/>
            <w:bottom w:w="0" w:type="dxa"/>
          </w:tblCellMar>
        </w:tblPrEx>
        <w:tc>
          <w:tcPr>
            <w:tcW w:w="2410" w:type="dxa"/>
            <w:tcBorders>
              <w:top w:val="none" w:sz="0" w:space="0" w:color="FFFFFF"/>
              <w:left w:val="single" w:sz="12" w:space="0" w:color="FFFFFF"/>
              <w:bottom w:val="none" w:sz="0" w:space="0" w:color="FFFFFF"/>
              <w:right w:val="none" w:sz="0" w:space="0" w:color="FFFFFF"/>
            </w:tcBorders>
            <w:shd w:val="clear" w:color="auto" w:fill="17191E"/>
            <w:tcMar>
              <w:top w:w="160" w:type="dxa"/>
              <w:left w:w="140" w:type="dxa"/>
              <w:bottom w:w="160" w:type="dxa"/>
              <w:right w:w="140" w:type="dxa"/>
            </w:tcMar>
          </w:tcPr>
          <w:p w14:paraId="4C7E17E9" w14:textId="77777777" w:rsidR="002E64EB" w:rsidRDefault="00000000">
            <w:pPr>
              <w:spacing w:after="80"/>
            </w:pPr>
            <w:r>
              <w:rPr>
                <w:b/>
                <w:bCs/>
                <w:color w:val="FF5A6E"/>
                <w:sz w:val="36"/>
                <w:szCs w:val="36"/>
              </w:rPr>
              <w:t>4 / 6</w:t>
            </w:r>
          </w:p>
          <w:p w14:paraId="1C6815BF" w14:textId="77777777" w:rsidR="002E64EB" w:rsidRDefault="00000000">
            <w:pPr>
              <w:spacing w:after="80"/>
            </w:pPr>
            <w:r>
              <w:rPr>
                <w:color w:val="D9D2C5"/>
                <w:sz w:val="17"/>
                <w:szCs w:val="17"/>
              </w:rPr>
              <w:t>links broken behind a sale "lost on price"</w:t>
            </w:r>
          </w:p>
          <w:p w14:paraId="6016FA88" w14:textId="77777777" w:rsidR="002E64EB" w:rsidRDefault="00000000">
            <w:r>
              <w:rPr>
                <w:rFonts w:ascii="Consolas" w:eastAsia="Consolas" w:hAnsi="Consolas" w:cs="Consolas"/>
                <w:b/>
                <w:bCs/>
                <w:color w:val="8A8478"/>
                <w:sz w:val="14"/>
                <w:szCs w:val="14"/>
              </w:rPr>
              <w:t>THE ARTICLE'S CASE</w:t>
            </w:r>
          </w:p>
        </w:tc>
        <w:tc>
          <w:tcPr>
            <w:tcW w:w="2410" w:type="dxa"/>
            <w:tcBorders>
              <w:top w:val="none" w:sz="0" w:space="0" w:color="FFFFFF"/>
              <w:left w:val="single" w:sz="12" w:space="0" w:color="FFFFFF"/>
              <w:bottom w:val="none" w:sz="0" w:space="0" w:color="FFFFFF"/>
              <w:right w:val="none" w:sz="0" w:space="0" w:color="FFFFFF"/>
            </w:tcBorders>
            <w:shd w:val="clear" w:color="auto" w:fill="17191E"/>
            <w:tcMar>
              <w:top w:w="160" w:type="dxa"/>
              <w:left w:w="140" w:type="dxa"/>
              <w:bottom w:w="160" w:type="dxa"/>
              <w:right w:w="140" w:type="dxa"/>
            </w:tcMar>
          </w:tcPr>
          <w:p w14:paraId="6C960B72" w14:textId="77777777" w:rsidR="002E64EB" w:rsidRDefault="00000000">
            <w:pPr>
              <w:spacing w:after="80"/>
            </w:pPr>
            <w:r>
              <w:rPr>
                <w:b/>
                <w:bCs/>
                <w:color w:val="FFFFFF"/>
                <w:sz w:val="36"/>
                <w:szCs w:val="36"/>
              </w:rPr>
              <w:t>C$7.11M</w:t>
            </w:r>
          </w:p>
          <w:p w14:paraId="5341FEA9" w14:textId="77777777" w:rsidR="002E64EB" w:rsidRDefault="00000000">
            <w:pPr>
              <w:spacing w:after="80"/>
            </w:pPr>
            <w:r>
              <w:rPr>
                <w:color w:val="D9D2C5"/>
                <w:sz w:val="17"/>
                <w:szCs w:val="17"/>
              </w:rPr>
              <w:t>average cost of a breach in Canada, a record</w:t>
            </w:r>
          </w:p>
          <w:p w14:paraId="25D388F7" w14:textId="77777777" w:rsidR="002E64EB" w:rsidRDefault="00000000">
            <w:r>
              <w:rPr>
                <w:rFonts w:ascii="Consolas" w:eastAsia="Consolas" w:hAnsi="Consolas" w:cs="Consolas"/>
                <w:b/>
                <w:bCs/>
                <w:color w:val="8A8478"/>
                <w:sz w:val="14"/>
                <w:szCs w:val="14"/>
              </w:rPr>
              <w:t>IBM 2026</w:t>
            </w:r>
          </w:p>
        </w:tc>
        <w:tc>
          <w:tcPr>
            <w:tcW w:w="2410" w:type="dxa"/>
            <w:tcBorders>
              <w:top w:val="none" w:sz="0" w:space="0" w:color="FFFFFF"/>
              <w:left w:val="single" w:sz="12" w:space="0" w:color="FFFFFF"/>
              <w:bottom w:val="none" w:sz="0" w:space="0" w:color="FFFFFF"/>
              <w:right w:val="none" w:sz="0" w:space="0" w:color="FFFFFF"/>
            </w:tcBorders>
            <w:shd w:val="clear" w:color="auto" w:fill="17191E"/>
            <w:tcMar>
              <w:top w:w="160" w:type="dxa"/>
              <w:left w:w="140" w:type="dxa"/>
              <w:bottom w:w="160" w:type="dxa"/>
              <w:right w:w="140" w:type="dxa"/>
            </w:tcMar>
          </w:tcPr>
          <w:p w14:paraId="3F3A30F7" w14:textId="77777777" w:rsidR="002E64EB" w:rsidRDefault="00000000">
            <w:pPr>
              <w:spacing w:after="80"/>
            </w:pPr>
            <w:r>
              <w:rPr>
                <w:b/>
                <w:bCs/>
                <w:color w:val="FFFFFF"/>
                <w:sz w:val="36"/>
                <w:szCs w:val="36"/>
              </w:rPr>
              <w:t>60 / 40</w:t>
            </w:r>
          </w:p>
          <w:p w14:paraId="36754747" w14:textId="77777777" w:rsidR="002E64EB" w:rsidRDefault="00000000">
            <w:pPr>
              <w:spacing w:after="80"/>
            </w:pPr>
            <w:r>
              <w:rPr>
                <w:color w:val="D9D2C5"/>
                <w:sz w:val="17"/>
                <w:szCs w:val="17"/>
              </w:rPr>
              <w:t>culture outweighs budget in governance failure</w:t>
            </w:r>
          </w:p>
          <w:p w14:paraId="4C3C3693" w14:textId="77777777" w:rsidR="002E64EB" w:rsidRDefault="00000000">
            <w:r>
              <w:rPr>
                <w:rFonts w:ascii="Consolas" w:eastAsia="Consolas" w:hAnsi="Consolas" w:cs="Consolas"/>
                <w:b/>
                <w:bCs/>
                <w:color w:val="8A8478"/>
                <w:sz w:val="14"/>
                <w:szCs w:val="14"/>
              </w:rPr>
              <w:t>GARTNER 2026</w:t>
            </w:r>
          </w:p>
        </w:tc>
        <w:tc>
          <w:tcPr>
            <w:tcW w:w="2410" w:type="dxa"/>
            <w:tcBorders>
              <w:top w:val="none" w:sz="0" w:space="0" w:color="FFFFFF"/>
              <w:left w:val="single" w:sz="12" w:space="0" w:color="FFFFFF"/>
              <w:bottom w:val="none" w:sz="0" w:space="0" w:color="FFFFFF"/>
              <w:right w:val="none" w:sz="0" w:space="0" w:color="FFFFFF"/>
            </w:tcBorders>
            <w:shd w:val="clear" w:color="auto" w:fill="17191E"/>
            <w:tcMar>
              <w:top w:w="160" w:type="dxa"/>
              <w:left w:w="140" w:type="dxa"/>
              <w:bottom w:w="160" w:type="dxa"/>
              <w:right w:w="140" w:type="dxa"/>
            </w:tcMar>
          </w:tcPr>
          <w:p w14:paraId="3D067FB1" w14:textId="77777777" w:rsidR="002E64EB" w:rsidRDefault="00000000">
            <w:pPr>
              <w:spacing w:after="80"/>
            </w:pPr>
            <w:r>
              <w:rPr>
                <w:b/>
                <w:bCs/>
                <w:color w:val="FFFFFF"/>
                <w:sz w:val="36"/>
                <w:szCs w:val="36"/>
              </w:rPr>
              <w:t>×6.8</w:t>
            </w:r>
          </w:p>
          <w:p w14:paraId="3D5D7E6B" w14:textId="77777777" w:rsidR="002E64EB" w:rsidRDefault="00000000">
            <w:pPr>
              <w:spacing w:after="80"/>
            </w:pPr>
            <w:r>
              <w:rPr>
                <w:color w:val="D9D2C5"/>
                <w:sz w:val="17"/>
                <w:szCs w:val="17"/>
              </w:rPr>
              <w:t>odds of success with excellent change management</w:t>
            </w:r>
          </w:p>
          <w:p w14:paraId="46C7B5E6" w14:textId="77777777" w:rsidR="002E64EB" w:rsidRDefault="00000000">
            <w:r>
              <w:rPr>
                <w:rFonts w:ascii="Consolas" w:eastAsia="Consolas" w:hAnsi="Consolas" w:cs="Consolas"/>
                <w:b/>
                <w:bCs/>
                <w:color w:val="8A8478"/>
                <w:sz w:val="14"/>
                <w:szCs w:val="14"/>
              </w:rPr>
              <w:t>PROSCI</w:t>
            </w:r>
          </w:p>
        </w:tc>
      </w:tr>
    </w:tbl>
    <w:p w14:paraId="0E592E88" w14:textId="77777777" w:rsidR="002E64EB" w:rsidRDefault="00000000">
      <w:pPr>
        <w:keepNext/>
        <w:spacing w:before="360" w:after="40"/>
      </w:pPr>
      <w:r>
        <w:rPr>
          <w:rFonts w:ascii="Consolas" w:eastAsia="Consolas" w:hAnsi="Consolas" w:cs="Consolas"/>
          <w:b/>
          <w:bCs/>
          <w:color w:val="C8102E"/>
          <w:spacing w:val="40"/>
          <w:sz w:val="17"/>
          <w:szCs w:val="17"/>
        </w:rPr>
        <w:t>EXHIBIT 1 — THE SCENE</w:t>
      </w:r>
    </w:p>
    <w:p w14:paraId="0E5ADAEC" w14:textId="77777777" w:rsidR="002E64EB" w:rsidRDefault="00000000">
      <w:pPr>
        <w:pStyle w:val="Heading1"/>
      </w:pPr>
      <w:r>
        <w:t>7:40 a.m., at the counter</w:t>
      </w:r>
    </w:p>
    <w:p w14:paraId="4E8D3619" w14:textId="77777777" w:rsidR="002E64EB" w:rsidRDefault="00000000">
      <w:pPr>
        <w:spacing w:after="160" w:line="300" w:lineRule="auto"/>
      </w:pPr>
      <w:r>
        <w:t>A contractor calls. He is renovating a triplex and needs a price by noon: a cold-climate heat pump, twelve baseboard heaters and a dozen connected thermostats. The kind of order every distributor wants.</w:t>
      </w:r>
    </w:p>
    <w:p w14:paraId="1A6136EC" w14:textId="77777777" w:rsidR="002E64EB" w:rsidRDefault="00000000">
      <w:pPr>
        <w:spacing w:after="160" w:line="300" w:lineRule="auto"/>
      </w:pPr>
      <w:r>
        <w:lastRenderedPageBreak/>
        <w:t xml:space="preserve">The inside sales rep opens the system and the morning starts to slip. The heater appears under </w:t>
      </w:r>
      <w:r>
        <w:rPr>
          <w:b/>
          <w:bCs/>
        </w:rPr>
        <w:t>two part numbers, at two different prices</w:t>
      </w:r>
      <w:r>
        <w:t>. The contractor's negotiated price isn't in the ERP; it lives in a spreadsheet on the sales manager's laptop. Thermostat compatibility is buried in a supplier PDF. To finish from home, the rep emails the price file to his personal inbox. Fourth broken link: the file has just left the company.</w:t>
      </w:r>
    </w:p>
    <w:p w14:paraId="1E84CD69" w14:textId="77777777" w:rsidR="002E64EB" w:rsidRDefault="00000000">
      <w:pPr>
        <w:spacing w:after="160" w:line="300" w:lineRule="auto"/>
      </w:pPr>
      <w:r>
        <w:t xml:space="preserve">Three hours later the quote goes out. At the wrong price. The contractor buys elsewhere. In the CRM: "lost on price." Nobody writes down what actually happened: </w:t>
      </w:r>
      <w:r>
        <w:rPr>
          <w:b/>
          <w:bCs/>
        </w:rPr>
        <w:t>the company lost a sale because its own records couldn't agree with each other.</w:t>
      </w:r>
    </w:p>
    <w:p w14:paraId="67C8E82B" w14:textId="77777777" w:rsidR="002E64EB" w:rsidRDefault="00000000">
      <w:pPr>
        <w:spacing w:before="120" w:after="60"/>
        <w:jc w:val="center"/>
      </w:pPr>
      <w:r>
        <w:rPr>
          <w:noProof/>
        </w:rPr>
        <w:drawing>
          <wp:inline distT="0" distB="0" distL="0" distR="0" wp14:anchorId="4F0A8688" wp14:editId="61D7F5E8">
            <wp:extent cx="512064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0640" cy="3810000"/>
                    </a:xfrm>
                    <a:prstGeom prst="rect">
                      <a:avLst/>
                    </a:prstGeom>
                  </pic:spPr>
                </pic:pic>
              </a:graphicData>
            </a:graphic>
          </wp:inline>
        </w:drawing>
      </w:r>
    </w:p>
    <w:p w14:paraId="217FAE36" w14:textId="77777777" w:rsidR="002E64EB" w:rsidRDefault="00000000">
      <w:pPr>
        <w:spacing w:after="280"/>
      </w:pPr>
      <w:r>
        <w:rPr>
          <w:i/>
          <w:iCs/>
          <w:color w:val="8A8478"/>
          <w:sz w:val="18"/>
          <w:szCs w:val="18"/>
        </w:rPr>
        <w:t>Figure 1. Lost on price? No: four of six links broken. A composite scenario, but anyone who has worked a supply-house counter will recognize every step.</w:t>
      </w:r>
    </w:p>
    <w:p w14:paraId="3A4B195F" w14:textId="77777777" w:rsidR="002E64EB" w:rsidRDefault="00000000">
      <w:pPr>
        <w:keepNext/>
        <w:spacing w:before="360" w:after="40"/>
      </w:pPr>
      <w:r>
        <w:rPr>
          <w:rFonts w:ascii="Consolas" w:eastAsia="Consolas" w:hAnsi="Consolas" w:cs="Consolas"/>
          <w:b/>
          <w:bCs/>
          <w:color w:val="C8102E"/>
          <w:spacing w:val="40"/>
          <w:sz w:val="17"/>
          <w:szCs w:val="17"/>
        </w:rPr>
        <w:t>EXHIBIT 2 — THE WRONG SUSPECT</w:t>
      </w:r>
    </w:p>
    <w:p w14:paraId="6E191D7D" w14:textId="77777777" w:rsidR="002E64EB" w:rsidRDefault="00000000">
      <w:pPr>
        <w:pStyle w:val="Heading1"/>
      </w:pPr>
      <w:r>
        <w:t>It was never an IT problem</w:t>
      </w:r>
    </w:p>
    <w:p w14:paraId="548D254B" w14:textId="77777777" w:rsidR="002E64EB" w:rsidRDefault="00000000">
      <w:pPr>
        <w:spacing w:after="160" w:line="300" w:lineRule="auto"/>
      </w:pPr>
      <w:r>
        <w:t>Ask most executives who owns the data strategy and they'll point to IT. Look again at the lost quote. The failure wasn't technical. It was a pricing failure, a customer-relationship failure and a speed-to-quote failure. Commercial outcomes.</w:t>
      </w:r>
    </w:p>
    <w:p w14:paraId="45DC82D7" w14:textId="77777777" w:rsidR="002E64EB" w:rsidRDefault="00000000">
      <w:pPr>
        <w:pBdr>
          <w:left w:val="single" w:sz="24" w:space="14" w:color="C8102E"/>
        </w:pBdr>
        <w:spacing w:before="240" w:after="280" w:line="340" w:lineRule="auto"/>
        <w:ind w:left="360"/>
      </w:pPr>
      <w:r>
        <w:rPr>
          <w:rFonts w:ascii="Georgia" w:eastAsia="Georgia" w:hAnsi="Georgia" w:cs="Georgia"/>
          <w:i/>
          <w:iCs/>
          <w:sz w:val="30"/>
          <w:szCs w:val="30"/>
        </w:rPr>
        <w:t>A data strategy is not an appendix to commercial strategy. It is what makes commercial strategy executable.</w:t>
      </w:r>
    </w:p>
    <w:p w14:paraId="37944EB8" w14:textId="77777777" w:rsidR="002E64EB" w:rsidRDefault="00000000">
      <w:pPr>
        <w:spacing w:after="160" w:line="300" w:lineRule="auto"/>
      </w:pPr>
      <w:r>
        <w:lastRenderedPageBreak/>
        <w:t xml:space="preserve">Gartner reported in April 2026 that organizations with the most mature AI-ready data capabilities achieve </w:t>
      </w:r>
      <w:r>
        <w:rPr>
          <w:b/>
          <w:bCs/>
        </w:rPr>
        <w:t>up to 65% greater business outcomes</w:t>
      </w:r>
      <w:r>
        <w:t xml:space="preserve">, and that those with successful AI initiatives invest </w:t>
      </w:r>
      <w:r>
        <w:rPr>
          <w:b/>
          <w:bCs/>
        </w:rPr>
        <w:t>up to four times more</w:t>
      </w:r>
      <w:r>
        <w:t xml:space="preserve"> in their data foundations. Yet in another Gartner survey of 504 leaders, only </w:t>
      </w:r>
      <w:r>
        <w:rPr>
          <w:b/>
          <w:bCs/>
        </w:rPr>
        <w:t>22%</w:t>
      </w:r>
      <w:r>
        <w:t xml:space="preserve"> of organizations had defined, tracked and communicated business impact metrics for most of their data use cases.</w:t>
      </w:r>
    </w:p>
    <w:p w14:paraId="4F9CAFCD" w14:textId="77777777" w:rsidR="002E64EB" w:rsidRDefault="00000000">
      <w:pPr>
        <w:spacing w:after="160" w:line="300" w:lineRule="auto"/>
      </w:pPr>
      <w:r>
        <w:t>Most companies invest in data without being able to say which commercial number it moves. The loss at the counter was real, but no report will ever attribute it to data.</w:t>
      </w:r>
    </w:p>
    <w:p w14:paraId="491125D6" w14:textId="77777777" w:rsidR="002E64EB" w:rsidRDefault="00000000">
      <w:pPr>
        <w:keepNext/>
        <w:spacing w:before="360" w:after="40"/>
      </w:pPr>
      <w:r>
        <w:rPr>
          <w:rFonts w:ascii="Consolas" w:eastAsia="Consolas" w:hAnsi="Consolas" w:cs="Consolas"/>
          <w:b/>
          <w:bCs/>
          <w:color w:val="C8102E"/>
          <w:spacing w:val="40"/>
          <w:sz w:val="17"/>
          <w:szCs w:val="17"/>
        </w:rPr>
        <w:t>EXHIBIT 3 — THE WEAPON</w:t>
      </w:r>
    </w:p>
    <w:p w14:paraId="31E55ED5" w14:textId="77777777" w:rsidR="002E64EB" w:rsidRDefault="00000000">
      <w:pPr>
        <w:pStyle w:val="Heading1"/>
      </w:pPr>
      <w:r>
        <w:t>A price is not a field. It's a relationship.</w:t>
      </w:r>
    </w:p>
    <w:p w14:paraId="4773CDEC" w14:textId="77777777" w:rsidR="002E64EB" w:rsidRDefault="00000000">
      <w:pPr>
        <w:spacing w:after="160" w:line="300" w:lineRule="auto"/>
      </w:pPr>
      <w:r>
        <w:t xml:space="preserve">No single record was catastrophically wrong. The heater existed, the contract price existed, the compatibility information existed. What was broken were the </w:t>
      </w:r>
      <w:r>
        <w:rPr>
          <w:b/>
          <w:bCs/>
        </w:rPr>
        <w:t>links</w:t>
      </w:r>
      <w:r>
        <w:t xml:space="preserve"> between them. A price is </w:t>
      </w:r>
      <w:r>
        <w:rPr>
          <w:i/>
          <w:iCs/>
        </w:rPr>
        <w:t>this</w:t>
      </w:r>
      <w:r>
        <w:t xml:space="preserve"> customer, under </w:t>
      </w:r>
      <w:r>
        <w:rPr>
          <w:i/>
          <w:iCs/>
        </w:rPr>
        <w:t>this</w:t>
      </w:r>
      <w:r>
        <w:t xml:space="preserve"> contract, buying </w:t>
      </w:r>
      <w:r>
        <w:rPr>
          <w:i/>
          <w:iCs/>
        </w:rPr>
        <w:t>this</w:t>
      </w:r>
      <w:r>
        <w:t xml:space="preserve"> product, from </w:t>
      </w:r>
      <w:r>
        <w:rPr>
          <w:i/>
          <w:iCs/>
        </w:rPr>
        <w:t>this</w:t>
      </w:r>
      <w:r>
        <w:t xml:space="preserve"> supplier, at </w:t>
      </w:r>
      <w:r>
        <w:rPr>
          <w:i/>
          <w:iCs/>
        </w:rPr>
        <w:t>this</w:t>
      </w:r>
      <w:r>
        <w:t xml:space="preserve"> cost, </w:t>
      </w:r>
      <w:r>
        <w:rPr>
          <w:i/>
          <w:iCs/>
        </w:rPr>
        <w:t>today</w:t>
      </w:r>
      <w:r>
        <w:t>. Master data management (MDM) is the discipline of keeping those relationships true.</w:t>
      </w:r>
    </w:p>
    <w:p w14:paraId="40AFA795" w14:textId="77777777" w:rsidR="002E64EB" w:rsidRDefault="00000000">
      <w:pPr>
        <w:spacing w:after="160" w:line="300" w:lineRule="auto"/>
      </w:pPr>
      <w:r>
        <w:t xml:space="preserve">Its reputation is poor: Gartner figures cited by Dataversity (2025) put the share of MDM programs that miss their business objectives at </w:t>
      </w:r>
      <w:r>
        <w:rPr>
          <w:b/>
          <w:bCs/>
        </w:rPr>
        <w:t>75%</w:t>
      </w:r>
      <w:r>
        <w:t>. My reading: MDM fails when it's run as a cleansing project rather than as a map of how the business actually makes money. Start from the quote, the contract and the order; trace which records each one touches. The priorities write themselves.</w:t>
      </w:r>
    </w:p>
    <w:p w14:paraId="2DBCD898" w14:textId="77777777" w:rsidR="002E64EB" w:rsidRDefault="00000000">
      <w:pPr>
        <w:keepNext/>
        <w:spacing w:before="360" w:after="40"/>
      </w:pPr>
      <w:r>
        <w:rPr>
          <w:rFonts w:ascii="Consolas" w:eastAsia="Consolas" w:hAnsi="Consolas" w:cs="Consolas"/>
          <w:b/>
          <w:bCs/>
          <w:color w:val="C8102E"/>
          <w:spacing w:val="40"/>
          <w:sz w:val="17"/>
          <w:szCs w:val="17"/>
        </w:rPr>
        <w:t>EXHIBIT 4 — THE NAMELESS SUSPECT</w:t>
      </w:r>
    </w:p>
    <w:p w14:paraId="40CE146A" w14:textId="77777777" w:rsidR="002E64EB" w:rsidRDefault="00000000">
      <w:pPr>
        <w:pStyle w:val="Heading1"/>
      </w:pPr>
      <w:r>
        <w:t>Who decides which price is right?</w:t>
      </w:r>
    </w:p>
    <w:p w14:paraId="3CF1EE24" w14:textId="77777777" w:rsidR="002E64EB" w:rsidRDefault="00000000">
      <w:pPr>
        <w:spacing w:after="160" w:line="300" w:lineRule="auto"/>
      </w:pPr>
      <w:r>
        <w:t xml:space="preserve">Two prices for the same heater. Which one was right? Purchasing created one record, a supplier price update created the other, and nobody had the authority to retire either. The data wasn't only wrong. It was </w:t>
      </w:r>
      <w:r>
        <w:rPr>
          <w:b/>
          <w:bCs/>
        </w:rPr>
        <w:t>ownerless</w:t>
      </w:r>
      <w:r>
        <w:t>.</w:t>
      </w:r>
    </w:p>
    <w:p w14:paraId="2849A76F" w14:textId="77777777" w:rsidR="002E64EB" w:rsidRDefault="00000000">
      <w:pPr>
        <w:spacing w:after="160" w:line="300" w:lineRule="auto"/>
      </w:pPr>
      <w:r>
        <w:t xml:space="preserve">Data governance is </w:t>
      </w:r>
      <w:r>
        <w:rPr>
          <w:b/>
          <w:bCs/>
        </w:rPr>
        <w:t>decision rights</w:t>
      </w:r>
      <w:r>
        <w:t xml:space="preserve"> plus </w:t>
      </w:r>
      <w:r>
        <w:rPr>
          <w:b/>
          <w:bCs/>
        </w:rPr>
        <w:t>accountability</w:t>
      </w:r>
      <w:r>
        <w:t xml:space="preserve">: who may create, change, approve and retire each kind of data, and who answers for its quality. Back in 2024, Gartner predicted that </w:t>
      </w:r>
      <w:r>
        <w:rPr>
          <w:b/>
          <w:bCs/>
        </w:rPr>
        <w:t>80% of governance initiatives would fail by 2027</w:t>
      </w:r>
      <w:r>
        <w:t xml:space="preserve"> for lack of a real or manufactured crisis. And per a 2025 Gartner survey, only </w:t>
      </w:r>
      <w:r>
        <w:rPr>
          <w:b/>
          <w:bCs/>
        </w:rPr>
        <w:t>26%</w:t>
      </w:r>
      <w:r>
        <w:t xml:space="preserve"> of programs build culture and communication into their strategy.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740"/>
      </w:tblGrid>
      <w:tr w:rsidR="002E64EB" w14:paraId="1E142123" w14:textId="77777777">
        <w:tblPrEx>
          <w:tblCellMar>
            <w:top w:w="0" w:type="dxa"/>
            <w:bottom w:w="0" w:type="dxa"/>
          </w:tblCellMar>
        </w:tblPrEx>
        <w:trPr>
          <w:tblHeader/>
        </w:trPr>
        <w:tc>
          <w:tcPr>
            <w:tcW w:w="2300" w:type="dxa"/>
            <w:tcBorders>
              <w:top w:val="none" w:sz="0" w:space="0" w:color="FFFFFF"/>
              <w:left w:val="none" w:sz="0" w:space="0" w:color="FFFFFF"/>
              <w:bottom w:val="single" w:sz="4" w:space="0" w:color="D9D2C5"/>
              <w:right w:val="none" w:sz="0" w:space="0" w:color="FFFFFF"/>
            </w:tcBorders>
            <w:shd w:val="clear" w:color="auto" w:fill="17191E"/>
            <w:tcMar>
              <w:top w:w="80" w:type="dxa"/>
              <w:left w:w="110" w:type="dxa"/>
              <w:bottom w:w="80" w:type="dxa"/>
              <w:right w:w="110" w:type="dxa"/>
            </w:tcMar>
          </w:tcPr>
          <w:p w14:paraId="2CA90453" w14:textId="77777777" w:rsidR="002E64EB" w:rsidRDefault="00000000">
            <w:r>
              <w:rPr>
                <w:b/>
                <w:bCs/>
                <w:color w:val="FFFFFF"/>
                <w:sz w:val="18"/>
                <w:szCs w:val="18"/>
              </w:rPr>
              <w:t>Role</w:t>
            </w:r>
          </w:p>
        </w:tc>
        <w:tc>
          <w:tcPr>
            <w:tcW w:w="2600" w:type="dxa"/>
            <w:tcBorders>
              <w:top w:val="none" w:sz="0" w:space="0" w:color="FFFFFF"/>
              <w:left w:val="none" w:sz="0" w:space="0" w:color="FFFFFF"/>
              <w:bottom w:val="single" w:sz="4" w:space="0" w:color="D9D2C5"/>
              <w:right w:val="none" w:sz="0" w:space="0" w:color="FFFFFF"/>
            </w:tcBorders>
            <w:shd w:val="clear" w:color="auto" w:fill="17191E"/>
            <w:tcMar>
              <w:top w:w="80" w:type="dxa"/>
              <w:left w:w="110" w:type="dxa"/>
              <w:bottom w:w="80" w:type="dxa"/>
              <w:right w:w="110" w:type="dxa"/>
            </w:tcMar>
          </w:tcPr>
          <w:p w14:paraId="6B17A410" w14:textId="77777777" w:rsidR="002E64EB" w:rsidRDefault="00000000">
            <w:r>
              <w:rPr>
                <w:b/>
                <w:bCs/>
                <w:color w:val="FFFFFF"/>
                <w:sz w:val="18"/>
                <w:szCs w:val="18"/>
              </w:rPr>
              <w:t>Who</w:t>
            </w:r>
          </w:p>
        </w:tc>
        <w:tc>
          <w:tcPr>
            <w:tcW w:w="4740" w:type="dxa"/>
            <w:tcBorders>
              <w:top w:val="none" w:sz="0" w:space="0" w:color="FFFFFF"/>
              <w:left w:val="none" w:sz="0" w:space="0" w:color="FFFFFF"/>
              <w:bottom w:val="single" w:sz="4" w:space="0" w:color="D9D2C5"/>
              <w:right w:val="none" w:sz="0" w:space="0" w:color="FFFFFF"/>
            </w:tcBorders>
            <w:shd w:val="clear" w:color="auto" w:fill="17191E"/>
            <w:tcMar>
              <w:top w:w="80" w:type="dxa"/>
              <w:left w:w="110" w:type="dxa"/>
              <w:bottom w:w="80" w:type="dxa"/>
              <w:right w:w="110" w:type="dxa"/>
            </w:tcMar>
          </w:tcPr>
          <w:p w14:paraId="04FDF7B2" w14:textId="77777777" w:rsidR="002E64EB" w:rsidRDefault="00000000">
            <w:r>
              <w:rPr>
                <w:b/>
                <w:bCs/>
                <w:color w:val="FFFFFF"/>
                <w:sz w:val="18"/>
                <w:szCs w:val="18"/>
              </w:rPr>
              <w:t>What they do</w:t>
            </w:r>
          </w:p>
        </w:tc>
      </w:tr>
      <w:tr w:rsidR="002E64EB" w14:paraId="2E6D409C" w14:textId="77777777">
        <w:tblPrEx>
          <w:tblCellMar>
            <w:top w:w="0" w:type="dxa"/>
            <w:bottom w:w="0" w:type="dxa"/>
          </w:tblCellMar>
        </w:tblPrEx>
        <w:tc>
          <w:tcPr>
            <w:tcW w:w="230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0547FB68" w14:textId="77777777" w:rsidR="002E64EB" w:rsidRDefault="00000000">
            <w:r>
              <w:rPr>
                <w:b/>
                <w:bCs/>
                <w:sz w:val="18"/>
                <w:szCs w:val="18"/>
              </w:rPr>
              <w:t>Executive sponsor</w:t>
            </w:r>
          </w:p>
        </w:tc>
        <w:tc>
          <w:tcPr>
            <w:tcW w:w="26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35848765" w14:textId="77777777" w:rsidR="002E64EB" w:rsidRDefault="00000000">
            <w:r>
              <w:rPr>
                <w:sz w:val="18"/>
                <w:szCs w:val="18"/>
              </w:rPr>
              <w:t>A leadership team member</w:t>
            </w:r>
          </w:p>
        </w:tc>
        <w:tc>
          <w:tcPr>
            <w:tcW w:w="474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384AF386" w14:textId="77777777" w:rsidR="002E64EB" w:rsidRDefault="00000000">
            <w:r>
              <w:rPr>
                <w:sz w:val="18"/>
                <w:szCs w:val="18"/>
              </w:rPr>
              <w:t>Declares data part of the commercial plan and settles trade-offs.</w:t>
            </w:r>
          </w:p>
        </w:tc>
      </w:tr>
      <w:tr w:rsidR="002E64EB" w14:paraId="382205E4" w14:textId="77777777">
        <w:tblPrEx>
          <w:tblCellMar>
            <w:top w:w="0" w:type="dxa"/>
            <w:bottom w:w="0" w:type="dxa"/>
          </w:tblCellMar>
        </w:tblPrEx>
        <w:tc>
          <w:tcPr>
            <w:tcW w:w="230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30546DD9" w14:textId="77777777" w:rsidR="002E64EB" w:rsidRDefault="00000000">
            <w:r>
              <w:rPr>
                <w:b/>
                <w:bCs/>
                <w:sz w:val="18"/>
                <w:szCs w:val="18"/>
              </w:rPr>
              <w:t>Domain owners</w:t>
            </w:r>
          </w:p>
        </w:tc>
        <w:tc>
          <w:tcPr>
            <w:tcW w:w="26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3206FB1E" w14:textId="77777777" w:rsidR="002E64EB" w:rsidRDefault="00000000">
            <w:r>
              <w:rPr>
                <w:sz w:val="18"/>
                <w:szCs w:val="18"/>
              </w:rPr>
              <w:t>Customer · Product · Price · Supplier</w:t>
            </w:r>
          </w:p>
        </w:tc>
        <w:tc>
          <w:tcPr>
            <w:tcW w:w="474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50DC8D35" w14:textId="77777777" w:rsidR="002E64EB" w:rsidRDefault="00000000">
            <w:r>
              <w:rPr>
                <w:sz w:val="18"/>
                <w:szCs w:val="18"/>
              </w:rPr>
              <w:t>Decide when two records disagree. One name per domain.</w:t>
            </w:r>
          </w:p>
        </w:tc>
      </w:tr>
      <w:tr w:rsidR="002E64EB" w14:paraId="11D37F27" w14:textId="77777777">
        <w:tblPrEx>
          <w:tblCellMar>
            <w:top w:w="0" w:type="dxa"/>
            <w:bottom w:w="0" w:type="dxa"/>
          </w:tblCellMar>
        </w:tblPrEx>
        <w:tc>
          <w:tcPr>
            <w:tcW w:w="230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0C48DB4A" w14:textId="77777777" w:rsidR="002E64EB" w:rsidRDefault="00000000">
            <w:r>
              <w:rPr>
                <w:b/>
                <w:bCs/>
                <w:sz w:val="18"/>
                <w:szCs w:val="18"/>
              </w:rPr>
              <w:t>Stewards</w:t>
            </w:r>
          </w:p>
        </w:tc>
        <w:tc>
          <w:tcPr>
            <w:tcW w:w="26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62116917" w14:textId="77777777" w:rsidR="002E64EB" w:rsidRDefault="00000000">
            <w:r>
              <w:rPr>
                <w:sz w:val="18"/>
                <w:szCs w:val="18"/>
              </w:rPr>
              <w:t>Reps, buyers</w:t>
            </w:r>
          </w:p>
        </w:tc>
        <w:tc>
          <w:tcPr>
            <w:tcW w:w="474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50F994EF" w14:textId="77777777" w:rsidR="002E64EB" w:rsidRDefault="00000000">
            <w:r>
              <w:rPr>
                <w:sz w:val="18"/>
                <w:szCs w:val="18"/>
              </w:rPr>
              <w:t>Spot and fix problems closest to the counter.</w:t>
            </w:r>
          </w:p>
        </w:tc>
      </w:tr>
      <w:tr w:rsidR="002E64EB" w14:paraId="0BF4028A" w14:textId="77777777">
        <w:tblPrEx>
          <w:tblCellMar>
            <w:top w:w="0" w:type="dxa"/>
            <w:bottom w:w="0" w:type="dxa"/>
          </w:tblCellMar>
        </w:tblPrEx>
        <w:tc>
          <w:tcPr>
            <w:tcW w:w="230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79C1A4FA" w14:textId="77777777" w:rsidR="002E64EB" w:rsidRDefault="00000000">
            <w:r>
              <w:rPr>
                <w:b/>
                <w:bCs/>
                <w:sz w:val="18"/>
                <w:szCs w:val="18"/>
              </w:rPr>
              <w:t>Monthly review</w:t>
            </w:r>
          </w:p>
        </w:tc>
        <w:tc>
          <w:tcPr>
            <w:tcW w:w="26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14E2F24D" w14:textId="77777777" w:rsidR="002E64EB" w:rsidRDefault="00000000">
            <w:r>
              <w:rPr>
                <w:sz w:val="18"/>
                <w:szCs w:val="18"/>
              </w:rPr>
              <w:t>30 minutes</w:t>
            </w:r>
          </w:p>
        </w:tc>
        <w:tc>
          <w:tcPr>
            <w:tcW w:w="474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6176219A" w14:textId="77777777" w:rsidR="002E64EB" w:rsidRDefault="00000000">
            <w:r>
              <w:rPr>
                <w:sz w:val="18"/>
                <w:szCs w:val="18"/>
              </w:rPr>
              <w:t>A few quality numbers against the commercial KPI they support.</w:t>
            </w:r>
          </w:p>
        </w:tc>
      </w:tr>
    </w:tbl>
    <w:p w14:paraId="2B1229B2" w14:textId="77777777" w:rsidR="002E64EB" w:rsidRDefault="002E64EB">
      <w:pPr>
        <w:spacing w:after="120"/>
      </w:pPr>
    </w:p>
    <w:p w14:paraId="72D66907" w14:textId="77777777" w:rsidR="002E64EB" w:rsidRDefault="00000000">
      <w:pPr>
        <w:spacing w:after="160" w:line="300" w:lineRule="auto"/>
      </w:pPr>
      <w:r>
        <w:lastRenderedPageBreak/>
        <w:t xml:space="preserve">In Quebec, section 3.1 of Law 25 makes the person with the highest authority in the business its privacy officer </w:t>
      </w:r>
      <w:r>
        <w:rPr>
          <w:b/>
          <w:bCs/>
        </w:rPr>
        <w:t>by default</w:t>
      </w:r>
      <w:r>
        <w:t>. That same accountability can anchor the whole governance model.</w:t>
      </w:r>
    </w:p>
    <w:p w14:paraId="268829CE" w14:textId="77777777" w:rsidR="002E64EB" w:rsidRDefault="00000000">
      <w:pPr>
        <w:keepNext/>
        <w:spacing w:before="360" w:after="40"/>
      </w:pPr>
      <w:r>
        <w:rPr>
          <w:rFonts w:ascii="Consolas" w:eastAsia="Consolas" w:hAnsi="Consolas" w:cs="Consolas"/>
          <w:b/>
          <w:bCs/>
          <w:color w:val="C8102E"/>
          <w:spacing w:val="40"/>
          <w:sz w:val="17"/>
          <w:szCs w:val="17"/>
        </w:rPr>
        <w:t>EXHIBIT 5 — THE BREAK-IN</w:t>
      </w:r>
    </w:p>
    <w:p w14:paraId="50B88BD7" w14:textId="77777777" w:rsidR="002E64EB" w:rsidRDefault="00000000">
      <w:pPr>
        <w:pStyle w:val="Heading1"/>
      </w:pPr>
      <w:r>
        <w:t>The spreadsheet that left the building</w:t>
      </w:r>
    </w:p>
    <w:p w14:paraId="52D9A64C" w14:textId="77777777" w:rsidR="002E64EB" w:rsidRDefault="00000000">
      <w:pPr>
        <w:spacing w:after="160" w:line="300" w:lineRule="auto"/>
      </w:pPr>
      <w:r>
        <w:t xml:space="preserve">The personal email felt like initiative. It was a breach waiting to happen: a company without a data strategy doesn't know where its sensitive data lives, so it can't protect it. Per IBM, a breach in Canada now costs a </w:t>
      </w:r>
      <w:r>
        <w:rPr>
          <w:b/>
          <w:bCs/>
        </w:rPr>
        <w:t>record C$7.11M on average</w:t>
      </w:r>
      <w:r>
        <w:t>, and C$8.89M in the industrial sector.</w:t>
      </w:r>
    </w:p>
    <w:p w14:paraId="02CDA0BB" w14:textId="77777777" w:rsidR="002E64EB" w:rsidRDefault="00000000">
      <w:pPr>
        <w:spacing w:before="120" w:after="60"/>
        <w:jc w:val="center"/>
      </w:pPr>
      <w:r>
        <w:rPr>
          <w:noProof/>
        </w:rPr>
        <w:drawing>
          <wp:inline distT="0" distB="0" distL="0" distR="0" wp14:anchorId="3501B1B4" wp14:editId="1D0B19DD">
            <wp:extent cx="5120640" cy="4010025"/>
            <wp:effectExtent l="0" t="0" r="0" b="0"/>
            <wp:docPr id="2037597517" name="Picture 2037597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0640" cy="4010025"/>
                    </a:xfrm>
                    <a:prstGeom prst="rect">
                      <a:avLst/>
                    </a:prstGeom>
                  </pic:spPr>
                </pic:pic>
              </a:graphicData>
            </a:graphic>
          </wp:inline>
        </w:drawing>
      </w:r>
    </w:p>
    <w:p w14:paraId="259BE7B9" w14:textId="77777777" w:rsidR="002E64EB" w:rsidRDefault="00000000">
      <w:pPr>
        <w:spacing w:after="280"/>
      </w:pPr>
      <w:r>
        <w:rPr>
          <w:i/>
          <w:iCs/>
          <w:color w:val="8A8478"/>
          <w:sz w:val="18"/>
          <w:szCs w:val="18"/>
        </w:rPr>
        <w:t>Figure 2. The average cost of a breach in Canada peaks in 2026. 2020–2021 values from media coverage of IBM reports.</w:t>
      </w:r>
    </w:p>
    <w:p w14:paraId="69156A1E" w14:textId="77777777" w:rsidR="002E64EB" w:rsidRDefault="00000000">
      <w:pPr>
        <w:spacing w:after="160" w:line="300" w:lineRule="auto"/>
      </w:pPr>
      <w:r>
        <w:t xml:space="preserve">For a distributor, the key number: </w:t>
      </w:r>
      <w:r>
        <w:rPr>
          <w:b/>
          <w:bCs/>
        </w:rPr>
        <w:t>supply-chain compromise has become the largest factor increasing breach costs in Canada</w:t>
      </w:r>
      <w:r>
        <w:t>, at roughly C$367,899 per incident.</w:t>
      </w:r>
    </w:p>
    <w:p w14:paraId="7594DD6F" w14:textId="77777777" w:rsidR="002E64EB" w:rsidRDefault="00000000">
      <w:pPr>
        <w:spacing w:before="120" w:after="60"/>
        <w:jc w:val="center"/>
      </w:pPr>
      <w:r>
        <w:rPr>
          <w:noProof/>
        </w:rPr>
        <w:lastRenderedPageBreak/>
        <w:drawing>
          <wp:inline distT="0" distB="0" distL="0" distR="0" wp14:anchorId="4DEBF419" wp14:editId="7000417D">
            <wp:extent cx="5120640" cy="4010025"/>
            <wp:effectExtent l="0" t="0" r="0" b="0"/>
            <wp:docPr id="679063653" name="Picture 67906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0640" cy="4010025"/>
                    </a:xfrm>
                    <a:prstGeom prst="rect">
                      <a:avLst/>
                    </a:prstGeom>
                  </pic:spPr>
                </pic:pic>
              </a:graphicData>
            </a:graphic>
          </wp:inline>
        </w:drawing>
      </w:r>
    </w:p>
    <w:p w14:paraId="6AFFD1AD" w14:textId="77777777" w:rsidR="002E64EB" w:rsidRDefault="00000000">
      <w:pPr>
        <w:spacing w:after="280"/>
      </w:pPr>
      <w:r>
        <w:rPr>
          <w:i/>
          <w:iCs/>
          <w:color w:val="8A8478"/>
          <w:sz w:val="18"/>
          <w:szCs w:val="18"/>
        </w:rPr>
        <w:t>Figure 3. For a business connected to hundreds of suppliers, every connection is a door.</w:t>
      </w:r>
    </w:p>
    <w:p w14:paraId="731BB854" w14:textId="77777777" w:rsidR="002E64EB" w:rsidRDefault="00000000">
      <w:pPr>
        <w:spacing w:after="160" w:line="300" w:lineRule="auto"/>
      </w:pPr>
      <w:r>
        <w:t xml:space="preserve">And the paradox almost nobody notices: per Statistics Canada, the share of businesses hit by a cyber incident </w:t>
      </w:r>
      <w:r>
        <w:rPr>
          <w:b/>
          <w:bCs/>
        </w:rPr>
        <w:t>fell</w:t>
      </w:r>
      <w:r>
        <w:t xml:space="preserve">, from 18% in 2021 to 16% in 2023, but their recovery spending </w:t>
      </w:r>
      <w:r>
        <w:rPr>
          <w:b/>
          <w:bCs/>
        </w:rPr>
        <w:t>doubled</w:t>
      </w:r>
      <w:r>
        <w:t>, from about $600M to $1.2B. Fewer incidents, far more expensive. Exactly the profile of an ever more connected economy.</w:t>
      </w:r>
    </w:p>
    <w:p w14:paraId="097B70AB" w14:textId="77777777" w:rsidR="002E64EB" w:rsidRDefault="00000000">
      <w:pPr>
        <w:spacing w:before="120" w:after="60"/>
        <w:jc w:val="center"/>
      </w:pPr>
      <w:r>
        <w:rPr>
          <w:noProof/>
        </w:rPr>
        <w:lastRenderedPageBreak/>
        <w:drawing>
          <wp:inline distT="0" distB="0" distL="0" distR="0" wp14:anchorId="54DD5384" wp14:editId="49D9D993">
            <wp:extent cx="5120640" cy="4010025"/>
            <wp:effectExtent l="0" t="0" r="0" b="0"/>
            <wp:docPr id="2013779063" name="Picture 201377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0640" cy="4010025"/>
                    </a:xfrm>
                    <a:prstGeom prst="rect">
                      <a:avLst/>
                    </a:prstGeom>
                  </pic:spPr>
                </pic:pic>
              </a:graphicData>
            </a:graphic>
          </wp:inline>
        </w:drawing>
      </w:r>
    </w:p>
    <w:p w14:paraId="5F9E173A" w14:textId="77777777" w:rsidR="002E64EB" w:rsidRDefault="00000000">
      <w:pPr>
        <w:spacing w:after="280"/>
      </w:pPr>
      <w:r>
        <w:rPr>
          <w:i/>
          <w:iCs/>
          <w:color w:val="8A8478"/>
          <w:sz w:val="18"/>
          <w:szCs w:val="18"/>
        </w:rPr>
        <w:t>Figure 4. Fewer businesses hit, a bill twice as heavy.</w:t>
      </w:r>
    </w:p>
    <w:p w14:paraId="4EEDF45F" w14:textId="77777777" w:rsidR="002E64EB" w:rsidRDefault="00000000">
      <w:pPr>
        <w:keepNext/>
        <w:spacing w:before="360" w:after="40"/>
      </w:pPr>
      <w:r>
        <w:rPr>
          <w:rFonts w:ascii="Consolas" w:eastAsia="Consolas" w:hAnsi="Consolas" w:cs="Consolas"/>
          <w:b/>
          <w:bCs/>
          <w:color w:val="C8102E"/>
          <w:spacing w:val="40"/>
          <w:sz w:val="17"/>
          <w:szCs w:val="17"/>
        </w:rPr>
        <w:t>EXHIBIT 6 — THE MOTIVE</w:t>
      </w:r>
    </w:p>
    <w:p w14:paraId="19C4B45C" w14:textId="77777777" w:rsidR="002E64EB" w:rsidRDefault="00000000">
      <w:pPr>
        <w:pStyle w:val="Heading1"/>
      </w:pPr>
      <w:r>
        <w:t>The system nobody used</w:t>
      </w:r>
    </w:p>
    <w:p w14:paraId="2A47EAB7" w14:textId="77777777" w:rsidR="002E64EB" w:rsidRDefault="00000000">
      <w:pPr>
        <w:spacing w:after="160" w:line="300" w:lineRule="auto"/>
      </w:pPr>
      <w:r>
        <w:t xml:space="preserve">The company buys a platform, cleans the catalog, loads the contract prices. Six months later, reps still keep their spreadsheets, because they trust them more. On September 21, 2026, Gartner predicted that </w:t>
      </w:r>
      <w:r>
        <w:rPr>
          <w:b/>
          <w:bCs/>
        </w:rPr>
        <w:t>by 2027, 60% of organizations that ignore the cultural challenges of governance will fail to govern AI</w:t>
      </w:r>
      <w:r>
        <w:t xml:space="preserve">. Its March 2026 survey of 223 leaders: cultural resistance outweighs funding as the cause of failure, </w:t>
      </w:r>
      <w:r>
        <w:rPr>
          <w:b/>
          <w:bCs/>
        </w:rPr>
        <w:t>60% vs 40%</w:t>
      </w:r>
      <w:r>
        <w:t>.</w:t>
      </w:r>
    </w:p>
    <w:p w14:paraId="24043849" w14:textId="77777777" w:rsidR="002E64EB" w:rsidRDefault="00000000">
      <w:pPr>
        <w:spacing w:before="120" w:after="60"/>
        <w:jc w:val="center"/>
      </w:pPr>
      <w:r>
        <w:rPr>
          <w:noProof/>
        </w:rPr>
        <w:lastRenderedPageBreak/>
        <w:drawing>
          <wp:inline distT="0" distB="0" distL="0" distR="0" wp14:anchorId="457CC873" wp14:editId="5F22BAC4">
            <wp:extent cx="5120640" cy="4010025"/>
            <wp:effectExtent l="0" t="0" r="0" b="0"/>
            <wp:docPr id="1213911171" name="Picture 121391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0640" cy="4010025"/>
                    </a:xfrm>
                    <a:prstGeom prst="rect">
                      <a:avLst/>
                    </a:prstGeom>
                  </pic:spPr>
                </pic:pic>
              </a:graphicData>
            </a:graphic>
          </wp:inline>
        </w:drawing>
      </w:r>
    </w:p>
    <w:p w14:paraId="50F01F23" w14:textId="77777777" w:rsidR="002E64EB" w:rsidRDefault="00000000">
      <w:pPr>
        <w:spacing w:after="280"/>
      </w:pPr>
      <w:r>
        <w:rPr>
          <w:i/>
          <w:iCs/>
          <w:color w:val="8A8478"/>
          <w:sz w:val="18"/>
          <w:szCs w:val="18"/>
        </w:rPr>
        <w:t>Figure 5. Four in five governance initiatives set to fail; culture, more than money, is the cause.</w:t>
      </w:r>
    </w:p>
    <w:p w14:paraId="26E75AA8" w14:textId="77777777" w:rsidR="002E64EB" w:rsidRDefault="00000000">
      <w:pPr>
        <w:spacing w:after="160" w:line="300" w:lineRule="auto"/>
      </w:pPr>
      <w:r>
        <w:t xml:space="preserve">Prosci reaches the same conclusion: </w:t>
      </w:r>
      <w:r>
        <w:rPr>
          <w:b/>
          <w:bCs/>
        </w:rPr>
        <w:t>88% of projects with excellent change management meet their objectives, versus 13%</w:t>
      </w:r>
      <w:r>
        <w:t xml:space="preserve"> with poor change management. And 79% with extremely effective sponsors, versus 27% with extremely ineffective ones.</w:t>
      </w:r>
    </w:p>
    <w:p w14:paraId="148DA9D0" w14:textId="77777777" w:rsidR="002E64EB" w:rsidRDefault="00000000">
      <w:pPr>
        <w:spacing w:before="120" w:after="60"/>
        <w:jc w:val="center"/>
      </w:pPr>
      <w:r>
        <w:rPr>
          <w:noProof/>
        </w:rPr>
        <w:lastRenderedPageBreak/>
        <w:drawing>
          <wp:inline distT="0" distB="0" distL="0" distR="0" wp14:anchorId="5263ECFC" wp14:editId="5E875C15">
            <wp:extent cx="5120640" cy="4229100"/>
            <wp:effectExtent l="0" t="0" r="0" b="0"/>
            <wp:docPr id="2024562421" name="Picture 202456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4229100"/>
                    </a:xfrm>
                    <a:prstGeom prst="rect">
                      <a:avLst/>
                    </a:prstGeom>
                  </pic:spPr>
                </pic:pic>
              </a:graphicData>
            </a:graphic>
          </wp:inline>
        </w:drawing>
      </w:r>
    </w:p>
    <w:p w14:paraId="19B84EAE" w14:textId="77777777" w:rsidR="002E64EB" w:rsidRDefault="00000000">
      <w:pPr>
        <w:spacing w:after="280"/>
      </w:pPr>
      <w:r>
        <w:rPr>
          <w:i/>
          <w:iCs/>
          <w:color w:val="8A8478"/>
          <w:sz w:val="18"/>
          <w:szCs w:val="18"/>
        </w:rPr>
        <w:t>Figure 6. Change management multiplies the odds of success by 6.8.</w:t>
      </w:r>
    </w:p>
    <w:p w14:paraId="4EAF32F1" w14:textId="77777777" w:rsidR="002E64EB" w:rsidRDefault="00000000">
      <w:pPr>
        <w:keepNext/>
        <w:spacing w:before="360" w:after="40"/>
      </w:pPr>
      <w:r>
        <w:rPr>
          <w:rFonts w:ascii="Consolas" w:eastAsia="Consolas" w:hAnsi="Consolas" w:cs="Consolas"/>
          <w:b/>
          <w:bCs/>
          <w:color w:val="C8102E"/>
          <w:spacing w:val="40"/>
          <w:sz w:val="17"/>
          <w:szCs w:val="17"/>
        </w:rPr>
        <w:lastRenderedPageBreak/>
        <w:t>EXHIBIT 7 — THE CONTEXT</w:t>
      </w:r>
    </w:p>
    <w:p w14:paraId="32421733" w14:textId="77777777" w:rsidR="002E64EB" w:rsidRDefault="00000000">
      <w:pPr>
        <w:pStyle w:val="Heading1"/>
      </w:pPr>
      <w:r>
        <w:t>The world is making data a condition of trade</w:t>
      </w:r>
    </w:p>
    <w:p w14:paraId="2C80DC97" w14:textId="77777777" w:rsidR="002E64EB" w:rsidRDefault="00000000">
      <w:pPr>
        <w:spacing w:before="120" w:after="60"/>
        <w:jc w:val="center"/>
      </w:pPr>
      <w:r>
        <w:rPr>
          <w:noProof/>
        </w:rPr>
        <w:drawing>
          <wp:inline distT="0" distB="0" distL="0" distR="0" wp14:anchorId="09E477FC" wp14:editId="1CDBB6AC">
            <wp:extent cx="5120640" cy="4229100"/>
            <wp:effectExtent l="0" t="0" r="0" b="0"/>
            <wp:docPr id="1897962665" name="Picture 189796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0640" cy="4229100"/>
                    </a:xfrm>
                    <a:prstGeom prst="rect">
                      <a:avLst/>
                    </a:prstGeom>
                  </pic:spPr>
                </pic:pic>
              </a:graphicData>
            </a:graphic>
          </wp:inline>
        </w:drawing>
      </w:r>
    </w:p>
    <w:p w14:paraId="669B5742" w14:textId="77777777" w:rsidR="002E64EB" w:rsidRDefault="00000000">
      <w:pPr>
        <w:spacing w:after="280"/>
      </w:pPr>
      <w:r>
        <w:rPr>
          <w:i/>
          <w:iCs/>
          <w:color w:val="8A8478"/>
          <w:sz w:val="18"/>
          <w:szCs w:val="18"/>
        </w:rPr>
        <w:t>Figure 7. Under two years of decisions turning data into a condition of market access. Sources: European Commission, BMW Group, Catena-X, Gov. of Canada, Reg. (EU) 2023/1542.</w:t>
      </w:r>
    </w:p>
    <w:p w14:paraId="706F66F9" w14:textId="77777777" w:rsidR="002E64EB" w:rsidRDefault="00000000">
      <w:pPr>
        <w:spacing w:after="160" w:line="300" w:lineRule="auto"/>
      </w:pPr>
      <w:r>
        <w:t xml:space="preserve">In Europe, the </w:t>
      </w:r>
      <w:r>
        <w:rPr>
          <w:b/>
          <w:bCs/>
        </w:rPr>
        <w:t>Data Act</w:t>
      </w:r>
      <w:r>
        <w:t xml:space="preserve"> has applied since September 12, 2025 and, since </w:t>
      </w:r>
      <w:r>
        <w:rPr>
          <w:b/>
          <w:bCs/>
        </w:rPr>
        <w:t>September 12, 2026</w:t>
      </w:r>
      <w:r>
        <w:t xml:space="preserve">, new connected products must make their data accessible </w:t>
      </w:r>
      <w:r>
        <w:rPr>
          <w:b/>
          <w:bCs/>
        </w:rPr>
        <w:t>by default</w:t>
      </w:r>
      <w:r>
        <w:t xml:space="preserve">. For anyone selling connected thermostats or heat pumps into Europe, data architecture is now a product specification. On November 19, 2025, the Commission added its </w:t>
      </w:r>
      <w:r>
        <w:rPr>
          <w:b/>
          <w:bCs/>
        </w:rPr>
        <w:t>Data Union Strategy</w:t>
      </w:r>
      <w:r>
        <w:t>.</w:t>
      </w:r>
    </w:p>
    <w:p w14:paraId="7CCE6327" w14:textId="77777777" w:rsidR="002E64EB" w:rsidRDefault="00000000">
      <w:pPr>
        <w:spacing w:after="160" w:line="300" w:lineRule="auto"/>
      </w:pPr>
      <w:r>
        <w:t xml:space="preserve">In automotive, </w:t>
      </w:r>
      <w:r>
        <w:rPr>
          <w:b/>
          <w:bCs/>
        </w:rPr>
        <w:t>Catena-X</w:t>
      </w:r>
      <w:r>
        <w:t xml:space="preserve"> registration has been part of BMW's procurement process since April 2025; over </w:t>
      </w:r>
      <w:r>
        <w:rPr>
          <w:b/>
          <w:bCs/>
        </w:rPr>
        <w:t>1,000 companies</w:t>
      </w:r>
      <w:r>
        <w:t xml:space="preserve"> now exchange data through it (Sept 21, 2026), and since July 2026 the network has linked China and Europe, starting with digital battery passports, mandatory in the EU from February 18, 2027. In Canada, the "AI for All" strategy (June 8, 2026) commits $100M to a health data space. In distribution, the deadline will likely come from a large customer. Not a law.</w:t>
      </w:r>
    </w:p>
    <w:p w14:paraId="14BEC362" w14:textId="77777777" w:rsidR="002E64EB" w:rsidRDefault="00000000">
      <w:pPr>
        <w:keepNext/>
        <w:spacing w:before="360" w:after="40"/>
      </w:pPr>
      <w:r>
        <w:rPr>
          <w:rFonts w:ascii="Consolas" w:eastAsia="Consolas" w:hAnsi="Consolas" w:cs="Consolas"/>
          <w:b/>
          <w:bCs/>
          <w:color w:val="C8102E"/>
          <w:spacing w:val="40"/>
          <w:sz w:val="17"/>
          <w:szCs w:val="17"/>
        </w:rPr>
        <w:lastRenderedPageBreak/>
        <w:t>EXHIBIT 8 — THE REPEAT OFFENSE</w:t>
      </w:r>
    </w:p>
    <w:p w14:paraId="755A55F3" w14:textId="77777777" w:rsidR="002E64EB" w:rsidRDefault="00000000">
      <w:pPr>
        <w:pStyle w:val="Heading1"/>
      </w:pPr>
      <w:r>
        <w:t>Now put an AI assistant on the counter</w:t>
      </w:r>
    </w:p>
    <w:p w14:paraId="25A032D5" w14:textId="77777777" w:rsidR="002E64EB" w:rsidRDefault="00000000">
      <w:pPr>
        <w:spacing w:after="160" w:line="300" w:lineRule="auto"/>
      </w:pPr>
      <w:r>
        <w:t>Same morning, with an AI assistant. It answers in four seconds instead of three hours. It finds the duplicate heater, picks one of the two prices with total confidence, misses the contract price hidden in the spreadsheet, and sends a wrong quote faster than any human could.</w:t>
      </w:r>
    </w:p>
    <w:p w14:paraId="0DCAC9E8" w14:textId="77777777" w:rsidR="002E64EB" w:rsidRDefault="00000000">
      <w:pPr>
        <w:pBdr>
          <w:left w:val="single" w:sz="24" w:space="14" w:color="C8102E"/>
        </w:pBdr>
        <w:spacing w:before="240" w:after="280" w:line="340" w:lineRule="auto"/>
        <w:ind w:left="360"/>
      </w:pPr>
      <w:r>
        <w:rPr>
          <w:rFonts w:ascii="Georgia" w:eastAsia="Georgia" w:hAnsi="Georgia" w:cs="Georgia"/>
          <w:i/>
          <w:iCs/>
          <w:sz w:val="30"/>
          <w:szCs w:val="30"/>
        </w:rPr>
        <w:t>AI doesn't fix the lost quote. It industrializes it.</w:t>
      </w:r>
    </w:p>
    <w:p w14:paraId="37B0896C" w14:textId="77777777" w:rsidR="002E64EB" w:rsidRDefault="00000000">
      <w:pPr>
        <w:spacing w:after="160" w:line="300" w:lineRule="auto"/>
      </w:pPr>
      <w:r>
        <w:t xml:space="preserve">On a clean foundation, though, AI pays: Gartner predicts it will speed time to value of governance and MDM programs by </w:t>
      </w:r>
      <w:r>
        <w:rPr>
          <w:b/>
          <w:bCs/>
        </w:rPr>
        <w:t>40%</w:t>
      </w:r>
      <w:r>
        <w:t xml:space="preserve"> by 2027, and in Canada, organizations that deployed it extensively in security pay </w:t>
      </w:r>
      <w:r>
        <w:rPr>
          <w:b/>
          <w:bCs/>
        </w:rPr>
        <w:t>C$5.5M per breach versus C$8.91M</w:t>
      </w:r>
      <w:r>
        <w:t xml:space="preserve"> (IBM).</w:t>
      </w:r>
    </w:p>
    <w:p w14:paraId="0A94BA4C" w14:textId="77777777" w:rsidR="002E64EB" w:rsidRDefault="00000000">
      <w:pPr>
        <w:spacing w:before="120" w:after="60"/>
        <w:jc w:val="center"/>
      </w:pPr>
      <w:r>
        <w:rPr>
          <w:noProof/>
        </w:rPr>
        <w:drawing>
          <wp:inline distT="0" distB="0" distL="0" distR="0" wp14:anchorId="33FB99D6" wp14:editId="564966CE">
            <wp:extent cx="5120640" cy="4010025"/>
            <wp:effectExtent l="0" t="0" r="0" b="0"/>
            <wp:docPr id="674622648" name="Picture 67462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0640" cy="4010025"/>
                    </a:xfrm>
                    <a:prstGeom prst="rect">
                      <a:avLst/>
                    </a:prstGeom>
                  </pic:spPr>
                </pic:pic>
              </a:graphicData>
            </a:graphic>
          </wp:inline>
        </w:drawing>
      </w:r>
    </w:p>
    <w:p w14:paraId="06BBA2B8" w14:textId="77777777" w:rsidR="002E64EB" w:rsidRDefault="00000000">
      <w:pPr>
        <w:spacing w:after="280"/>
      </w:pPr>
      <w:r>
        <w:rPr>
          <w:i/>
          <w:iCs/>
          <w:color w:val="8A8478"/>
          <w:sz w:val="18"/>
          <w:szCs w:val="18"/>
        </w:rPr>
        <w:t>Figure 8. On a clean foundation, AI makes security cheaper and faster.</w:t>
      </w:r>
    </w:p>
    <w:p w14:paraId="675E2DA8" w14:textId="77777777" w:rsidR="002E64EB" w:rsidRDefault="00000000">
      <w:pPr>
        <w:spacing w:after="160" w:line="300" w:lineRule="auto"/>
      </w:pPr>
      <w:r>
        <w:t xml:space="preserve">The headwind: per analyses of IBM's 2026 report (Baker Donelson), </w:t>
      </w:r>
      <w:r>
        <w:rPr>
          <w:b/>
          <w:bCs/>
        </w:rPr>
        <w:t>shadow AI</w:t>
      </w:r>
      <w:r>
        <w:t xml:space="preserve"> is involved in </w:t>
      </w:r>
      <w:r>
        <w:rPr>
          <w:b/>
          <w:bCs/>
        </w:rPr>
        <w:t>43%</w:t>
      </w:r>
      <w:r>
        <w:t xml:space="preserve"> of AI-related incidents, at US$5.39M on average, and 92% of affected organizations lacked adequate AI access controls. The price file no longer leaves by email. It gets pasted into a chatbot.</w:t>
      </w:r>
    </w:p>
    <w:p w14:paraId="230A6471" w14:textId="77777777" w:rsidR="002E64EB" w:rsidRDefault="00000000">
      <w:pPr>
        <w:pBdr>
          <w:left w:val="single" w:sz="24" w:space="14" w:color="C8102E"/>
        </w:pBdr>
        <w:spacing w:before="240" w:after="280" w:line="340" w:lineRule="auto"/>
        <w:ind w:left="360"/>
      </w:pPr>
      <w:r>
        <w:rPr>
          <w:rFonts w:ascii="Georgia" w:eastAsia="Georgia" w:hAnsi="Georgia" w:cs="Georgia"/>
          <w:i/>
          <w:iCs/>
          <w:sz w:val="30"/>
          <w:szCs w:val="30"/>
        </w:rPr>
        <w:t>The question isn't "should we adopt AI?" It's "what will it amplify?"</w:t>
      </w:r>
    </w:p>
    <w:p w14:paraId="60BC17CB" w14:textId="77777777" w:rsidR="002E64EB" w:rsidRDefault="00000000">
      <w:pPr>
        <w:keepNext/>
        <w:spacing w:before="360" w:after="40"/>
      </w:pPr>
      <w:r>
        <w:rPr>
          <w:rFonts w:ascii="Consolas" w:eastAsia="Consolas" w:hAnsi="Consolas" w:cs="Consolas"/>
          <w:b/>
          <w:bCs/>
          <w:color w:val="C8102E"/>
          <w:spacing w:val="40"/>
          <w:sz w:val="17"/>
          <w:szCs w:val="17"/>
        </w:rPr>
        <w:lastRenderedPageBreak/>
        <w:t>EXHIBIT 9 — THE DAMAGE</w:t>
      </w:r>
    </w:p>
    <w:p w14:paraId="2AE9B14C" w14:textId="77777777" w:rsidR="002E64EB" w:rsidRDefault="00000000">
      <w:pPr>
        <w:pStyle w:val="Heading1"/>
      </w:pPr>
      <w:r>
        <w:t>The price of doing nothing</w:t>
      </w:r>
    </w:p>
    <w:p w14:paraId="62436F53" w14:textId="77777777" w:rsidR="002E64EB" w:rsidRDefault="00000000">
      <w:pPr>
        <w:spacing w:after="160" w:line="300" w:lineRule="auto"/>
      </w:pPr>
      <w:r>
        <w:t xml:space="preserve">A lost sale, three hours of a skilled rep, an exposed file in a country where a breach costs over C$7M, and the most expensive item: eroding trust, as customers learn your quotes need double-checking. Gartner says governance fails for lack of a crisis. </w:t>
      </w:r>
      <w:r>
        <w:rPr>
          <w:b/>
          <w:bCs/>
        </w:rPr>
        <w:t>But the lost quote IS a crisis. It arrives in installments, one call at a time, too small to notice.</w:t>
      </w:r>
    </w:p>
    <w:p w14:paraId="50129E44" w14:textId="77777777" w:rsidR="002E64EB" w:rsidRDefault="00000000">
      <w:pPr>
        <w:keepNext/>
        <w:spacing w:before="360" w:after="40"/>
      </w:pPr>
      <w:r>
        <w:rPr>
          <w:rFonts w:ascii="Consolas" w:eastAsia="Consolas" w:hAnsi="Consolas" w:cs="Consolas"/>
          <w:b/>
          <w:bCs/>
          <w:color w:val="C8102E"/>
          <w:spacing w:val="40"/>
          <w:sz w:val="17"/>
          <w:szCs w:val="17"/>
        </w:rPr>
        <w:t>THE VERDICT</w:t>
      </w:r>
    </w:p>
    <w:p w14:paraId="754E6BBE" w14:textId="77777777" w:rsidR="002E64EB" w:rsidRDefault="00000000">
      <w:pPr>
        <w:pStyle w:val="Heading1"/>
      </w:pPr>
      <w:r>
        <w:t>Lessons learned</w:t>
      </w:r>
    </w:p>
    <w:p w14:paraId="5C885E72" w14:textId="77777777" w:rsidR="002E64EB" w:rsidRDefault="00000000">
      <w:pPr>
        <w:spacing w:after="160" w:line="300" w:lineRule="auto"/>
      </w:pPr>
      <w:r>
        <w:t>Eight lessons from the autopsy, the global examples and the research.</w:t>
      </w:r>
    </w:p>
    <w:p w14:paraId="769C1001" w14:textId="77777777" w:rsidR="002E64EB" w:rsidRDefault="00000000">
      <w:pPr>
        <w:spacing w:after="160" w:line="300" w:lineRule="auto"/>
      </w:pPr>
      <w:r>
        <w:rPr>
          <w:rFonts w:ascii="Consolas" w:eastAsia="Consolas" w:hAnsi="Consolas" w:cs="Consolas"/>
          <w:b/>
          <w:bCs/>
          <w:color w:val="C8102E"/>
        </w:rPr>
        <w:t xml:space="preserve">01  </w:t>
      </w:r>
      <w:r>
        <w:rPr>
          <w:b/>
          <w:bCs/>
        </w:rPr>
        <w:t>Start from a transaction, not an inventory.</w:t>
      </w:r>
      <w:r>
        <w:t xml:space="preserve"> A quote, a renewal, an order: fix only what that moment depends on.</w:t>
      </w:r>
    </w:p>
    <w:p w14:paraId="5C1EF956" w14:textId="77777777" w:rsidR="002E64EB" w:rsidRDefault="00000000">
      <w:pPr>
        <w:spacing w:after="160" w:line="300" w:lineRule="auto"/>
      </w:pPr>
      <w:r>
        <w:rPr>
          <w:rFonts w:ascii="Consolas" w:eastAsia="Consolas" w:hAnsi="Consolas" w:cs="Consolas"/>
          <w:b/>
          <w:bCs/>
          <w:color w:val="C8102E"/>
        </w:rPr>
        <w:t xml:space="preserve">02  </w:t>
      </w:r>
      <w:r>
        <w:rPr>
          <w:b/>
          <w:bCs/>
        </w:rPr>
        <w:t>Links matter more than records.</w:t>
      </w:r>
      <w:r>
        <w:t xml:space="preserve"> Connecting customer, contract, product and supplier changes the answer at the counter. Cleaning one by one doesn't.</w:t>
      </w:r>
    </w:p>
    <w:p w14:paraId="2B504590" w14:textId="77777777" w:rsidR="002E64EB" w:rsidRDefault="00000000">
      <w:pPr>
        <w:spacing w:after="160" w:line="300" w:lineRule="auto"/>
      </w:pPr>
      <w:r>
        <w:rPr>
          <w:rFonts w:ascii="Consolas" w:eastAsia="Consolas" w:hAnsi="Consolas" w:cs="Consolas"/>
          <w:b/>
          <w:bCs/>
          <w:color w:val="C8102E"/>
        </w:rPr>
        <w:t xml:space="preserve">03  </w:t>
      </w:r>
      <w:r>
        <w:rPr>
          <w:b/>
          <w:bCs/>
        </w:rPr>
        <w:t>Governance means decisions, not documents.</w:t>
      </w:r>
      <w:r>
        <w:t xml:space="preserve"> Every critical domain has an owner who decides and a steward who spots the problem first.</w:t>
      </w:r>
    </w:p>
    <w:p w14:paraId="41897FAD" w14:textId="77777777" w:rsidR="002E64EB" w:rsidRDefault="00000000">
      <w:pPr>
        <w:spacing w:after="160" w:line="300" w:lineRule="auto"/>
      </w:pPr>
      <w:r>
        <w:rPr>
          <w:rFonts w:ascii="Consolas" w:eastAsia="Consolas" w:hAnsi="Consolas" w:cs="Consolas"/>
          <w:b/>
          <w:bCs/>
          <w:color w:val="C8102E"/>
        </w:rPr>
        <w:t xml:space="preserve">04  </w:t>
      </w:r>
      <w:r>
        <w:rPr>
          <w:b/>
          <w:bCs/>
        </w:rPr>
        <w:t>Security comes free.</w:t>
      </w:r>
      <w:r>
        <w:t xml:space="preserve"> Knowing where data lives and who owns it makes it useful and defensible. One program, not two budgets.</w:t>
      </w:r>
    </w:p>
    <w:p w14:paraId="52F3EBEF" w14:textId="77777777" w:rsidR="002E64EB" w:rsidRDefault="00000000">
      <w:pPr>
        <w:spacing w:after="160" w:line="300" w:lineRule="auto"/>
      </w:pPr>
      <w:r>
        <w:rPr>
          <w:rFonts w:ascii="Consolas" w:eastAsia="Consolas" w:hAnsi="Consolas" w:cs="Consolas"/>
          <w:b/>
          <w:bCs/>
          <w:color w:val="C8102E"/>
        </w:rPr>
        <w:t xml:space="preserve">05  </w:t>
      </w:r>
      <w:r>
        <w:rPr>
          <w:b/>
          <w:bCs/>
        </w:rPr>
        <w:t>Culture beats budget.</w:t>
      </w:r>
      <w:r>
        <w:t xml:space="preserve"> 60% vs 40% (Gartner). The day the rep drops his spreadsheet, you've won.</w:t>
      </w:r>
    </w:p>
    <w:p w14:paraId="72AF12BA" w14:textId="77777777" w:rsidR="002E64EB" w:rsidRDefault="00000000">
      <w:pPr>
        <w:spacing w:after="160" w:line="300" w:lineRule="auto"/>
      </w:pPr>
      <w:r>
        <w:rPr>
          <w:rFonts w:ascii="Consolas" w:eastAsia="Consolas" w:hAnsi="Consolas" w:cs="Consolas"/>
          <w:b/>
          <w:bCs/>
          <w:color w:val="C8102E"/>
        </w:rPr>
        <w:t xml:space="preserve">06  </w:t>
      </w:r>
      <w:r>
        <w:rPr>
          <w:b/>
          <w:bCs/>
        </w:rPr>
        <w:t>Set the deadline, or a customer will.</w:t>
      </w:r>
      <w:r>
        <w:t xml:space="preserve"> In Europe: regulation. In automotive: BMW's procurement. In distribution: likely a large customer.</w:t>
      </w:r>
    </w:p>
    <w:p w14:paraId="416E60C8" w14:textId="77777777" w:rsidR="002E64EB" w:rsidRDefault="00000000">
      <w:pPr>
        <w:spacing w:after="160" w:line="300" w:lineRule="auto"/>
      </w:pPr>
      <w:r>
        <w:rPr>
          <w:rFonts w:ascii="Consolas" w:eastAsia="Consolas" w:hAnsi="Consolas" w:cs="Consolas"/>
          <w:b/>
          <w:bCs/>
          <w:color w:val="C8102E"/>
        </w:rPr>
        <w:t xml:space="preserve">07  </w:t>
      </w:r>
      <w:r>
        <w:rPr>
          <w:b/>
          <w:bCs/>
        </w:rPr>
        <w:t>Sequence decides whether AI helps or hurts.</w:t>
      </w:r>
      <w:r>
        <w:t xml:space="preserve"> Clean foundation: AI multiplies good answers. Broken one: wrong quotes at machine speed.</w:t>
      </w:r>
    </w:p>
    <w:p w14:paraId="4283B232" w14:textId="77777777" w:rsidR="002E64EB" w:rsidRDefault="00000000">
      <w:pPr>
        <w:spacing w:after="160" w:line="300" w:lineRule="auto"/>
      </w:pPr>
      <w:r>
        <w:rPr>
          <w:rFonts w:ascii="Consolas" w:eastAsia="Consolas" w:hAnsi="Consolas" w:cs="Consolas"/>
          <w:b/>
          <w:bCs/>
          <w:color w:val="C8102E"/>
        </w:rPr>
        <w:t xml:space="preserve">08  </w:t>
      </w:r>
      <w:r>
        <w:rPr>
          <w:b/>
          <w:bCs/>
        </w:rPr>
        <w:t>Measure one number.</w:t>
      </w:r>
      <w:r>
        <w:t xml:space="preserve"> Name the commercial figure you'll move and record it first. Otherwise even a success looks like a cost.</w:t>
      </w:r>
    </w:p>
    <w:p w14:paraId="51580453" w14:textId="77777777" w:rsidR="002E64EB" w:rsidRDefault="00000000">
      <w:pPr>
        <w:keepNext/>
        <w:spacing w:before="360" w:after="40"/>
      </w:pPr>
      <w:r>
        <w:rPr>
          <w:rFonts w:ascii="Consolas" w:eastAsia="Consolas" w:hAnsi="Consolas" w:cs="Consolas"/>
          <w:b/>
          <w:bCs/>
          <w:color w:val="C8102E"/>
          <w:spacing w:val="40"/>
          <w:sz w:val="17"/>
          <w:szCs w:val="17"/>
        </w:rPr>
        <w:t>THE PLAN</w:t>
      </w:r>
    </w:p>
    <w:p w14:paraId="38AACE07" w14:textId="77777777" w:rsidR="002E64EB" w:rsidRDefault="00000000">
      <w:pPr>
        <w:pStyle w:val="Heading1"/>
      </w:pPr>
      <w:r>
        <w:t>How to build it, starting Monday</w:t>
      </w:r>
    </w:p>
    <w:p w14:paraId="0BAEAF46" w14:textId="77777777" w:rsidR="002E64EB" w:rsidRDefault="00000000">
      <w:pPr>
        <w:pStyle w:val="ListParagraph"/>
        <w:numPr>
          <w:ilvl w:val="0"/>
          <w:numId w:val="3"/>
        </w:numPr>
        <w:spacing w:after="120" w:line="290" w:lineRule="auto"/>
      </w:pPr>
      <w:r>
        <w:rPr>
          <w:b/>
          <w:bCs/>
        </w:rPr>
        <w:t>Pick 2 or 3 commercial objectives</w:t>
      </w:r>
      <w:r>
        <w:t xml:space="preserve"> leadership already cares about: quote turnaround, contract-price accuracy, stockouts.</w:t>
      </w:r>
    </w:p>
    <w:p w14:paraId="4786C3E8" w14:textId="77777777" w:rsidR="002E64EB" w:rsidRDefault="00000000">
      <w:pPr>
        <w:pStyle w:val="ListParagraph"/>
        <w:numPr>
          <w:ilvl w:val="0"/>
          <w:numId w:val="3"/>
        </w:numPr>
        <w:spacing w:after="120" w:line="290" w:lineRule="auto"/>
      </w:pPr>
      <w:r>
        <w:rPr>
          <w:b/>
          <w:bCs/>
        </w:rPr>
        <w:t>Trace the relationships</w:t>
      </w:r>
      <w:r>
        <w:t xml:space="preserve"> each depends on: customer → contract → product → supplier. That's your master-data scope.</w:t>
      </w:r>
    </w:p>
    <w:p w14:paraId="18166CF5" w14:textId="77777777" w:rsidR="002E64EB" w:rsidRDefault="00000000">
      <w:pPr>
        <w:pStyle w:val="ListParagraph"/>
        <w:numPr>
          <w:ilvl w:val="0"/>
          <w:numId w:val="3"/>
        </w:numPr>
        <w:spacing w:after="120" w:line="290" w:lineRule="auto"/>
      </w:pPr>
      <w:r>
        <w:rPr>
          <w:b/>
          <w:bCs/>
        </w:rPr>
        <w:t>Light governance</w:t>
      </w:r>
      <w:r>
        <w:t>: a sponsor, an owner per critical domain, stewards from the front line.</w:t>
      </w:r>
    </w:p>
    <w:p w14:paraId="2F5EA608" w14:textId="77777777" w:rsidR="002E64EB" w:rsidRDefault="00000000">
      <w:pPr>
        <w:pStyle w:val="ListParagraph"/>
        <w:numPr>
          <w:ilvl w:val="0"/>
          <w:numId w:val="3"/>
        </w:numPr>
        <w:spacing w:after="120" w:line="290" w:lineRule="auto"/>
      </w:pPr>
      <w:r>
        <w:rPr>
          <w:b/>
          <w:bCs/>
        </w:rPr>
        <w:lastRenderedPageBreak/>
        <w:t>Inventory data where it actually lives</w:t>
      </w:r>
      <w:r>
        <w:t>, spreadsheets and inboxes included. In Quebec, Law 25 obligations (policies, privacy impact assessments, incident register) give you a head start.</w:t>
      </w:r>
    </w:p>
    <w:p w14:paraId="5D144F21" w14:textId="77777777" w:rsidR="002E64EB" w:rsidRDefault="00000000">
      <w:pPr>
        <w:pStyle w:val="ListParagraph"/>
        <w:numPr>
          <w:ilvl w:val="0"/>
          <w:numId w:val="3"/>
        </w:numPr>
        <w:spacing w:after="120" w:line="290" w:lineRule="auto"/>
      </w:pPr>
      <w:r>
        <w:rPr>
          <w:b/>
          <w:bCs/>
        </w:rPr>
        <w:t>Fix only the fields</w:t>
      </w:r>
      <w:r>
        <w:t xml:space="preserve"> your objectives depend on.</w:t>
      </w:r>
    </w:p>
    <w:p w14:paraId="6F2C971A" w14:textId="77777777" w:rsidR="002E64EB" w:rsidRDefault="00000000">
      <w:pPr>
        <w:pStyle w:val="ListParagraph"/>
        <w:numPr>
          <w:ilvl w:val="0"/>
          <w:numId w:val="3"/>
        </w:numPr>
        <w:spacing w:after="120" w:line="290" w:lineRule="auto"/>
      </w:pPr>
      <w:r>
        <w:rPr>
          <w:b/>
          <w:bCs/>
        </w:rPr>
        <w:t>Make reps co-designers</w:t>
      </w:r>
      <w:r>
        <w:t>: the records they trust least become their scoreboard.</w:t>
      </w:r>
    </w:p>
    <w:p w14:paraId="1CADB2CA" w14:textId="77777777" w:rsidR="002E64EB" w:rsidRDefault="00000000">
      <w:pPr>
        <w:pStyle w:val="ListParagraph"/>
        <w:numPr>
          <w:ilvl w:val="0"/>
          <w:numId w:val="3"/>
        </w:numPr>
        <w:spacing w:after="120" w:line="290" w:lineRule="auto"/>
      </w:pPr>
      <w:r>
        <w:rPr>
          <w:b/>
          <w:bCs/>
        </w:rPr>
        <w:t>Measure one commercial number</w:t>
      </w:r>
      <w:r>
        <w:t xml:space="preserve"> before you start, then add AI where the foundation is ready.</w:t>
      </w:r>
    </w:p>
    <w:p w14:paraId="4EB0A9E7" w14:textId="77777777" w:rsidR="002E64EB" w:rsidRDefault="00000000">
      <w:pPr>
        <w:spacing w:after="160" w:line="300" w:lineRule="auto"/>
      </w:pPr>
      <w:r>
        <w:t>None of these steps requires a large platform purchase. They require an executive who decides that data is part of the commercial plan.</w:t>
      </w:r>
    </w:p>
    <w:p w14:paraId="6A72D76F" w14:textId="77777777" w:rsidR="002E64EB" w:rsidRDefault="00000000">
      <w:pPr>
        <w:keepNext/>
        <w:spacing w:before="360" w:after="40"/>
      </w:pPr>
      <w:r>
        <w:rPr>
          <w:rFonts w:ascii="Consolas" w:eastAsia="Consolas" w:hAnsi="Consolas" w:cs="Consolas"/>
          <w:b/>
          <w:bCs/>
          <w:color w:val="C8102E"/>
          <w:spacing w:val="40"/>
          <w:sz w:val="17"/>
          <w:szCs w:val="17"/>
        </w:rPr>
        <w:t>THE TOOL</w:t>
      </w:r>
    </w:p>
    <w:p w14:paraId="52BFB954" w14:textId="77777777" w:rsidR="002E64EB" w:rsidRDefault="00000000">
      <w:pPr>
        <w:pStyle w:val="Heading1"/>
      </w:pPr>
      <w:r>
        <w:t>The Quote Trace</w:t>
      </w:r>
    </w:p>
    <w:p w14:paraId="2035BCF6" w14:textId="77777777" w:rsidR="002E64EB" w:rsidRDefault="00000000">
      <w:pPr>
        <w:spacing w:after="160" w:line="300" w:lineRule="auto"/>
      </w:pPr>
      <w:r>
        <w:t xml:space="preserve">Before Monday, one hour is enough to know where you stand and test all eight lessons. Sit down with your best inside rep, pull 5 recent quotes that were lost, late or corrected after sending, and score each of the six links. </w:t>
      </w:r>
      <w:r>
        <w:rPr>
          <w:b/>
          <w:bCs/>
        </w:rPr>
        <w:t>0</w:t>
      </w:r>
      <w:r>
        <w:t xml:space="preserve"> = broken or outside the system · </w:t>
      </w:r>
      <w:r>
        <w:rPr>
          <w:b/>
          <w:bCs/>
        </w:rPr>
        <w:t>1</w:t>
      </w:r>
      <w:r>
        <w:t xml:space="preserve"> = exists, fixed by hand · </w:t>
      </w:r>
      <w:r>
        <w:rPr>
          <w:b/>
          <w:bCs/>
        </w:rPr>
        <w:t>2</w:t>
      </w:r>
      <w:r>
        <w:t xml:space="preserve"> = linked, trusted, used without checking. If nobody knows who decides when a link is wrong, untick "owner": an ownerless link loses a point.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1900"/>
        <w:gridCol w:w="3200"/>
        <w:gridCol w:w="900"/>
        <w:gridCol w:w="1100"/>
        <w:gridCol w:w="2120"/>
      </w:tblGrid>
      <w:tr w:rsidR="002E64EB" w14:paraId="292799A6" w14:textId="77777777">
        <w:tblPrEx>
          <w:tblCellMar>
            <w:top w:w="0" w:type="dxa"/>
            <w:bottom w:w="0" w:type="dxa"/>
          </w:tblCellMar>
        </w:tblPrEx>
        <w:trPr>
          <w:tblHeader/>
        </w:trPr>
        <w:tc>
          <w:tcPr>
            <w:tcW w:w="420" w:type="dxa"/>
            <w:tcBorders>
              <w:top w:val="none" w:sz="0" w:space="0" w:color="FFFFFF"/>
              <w:left w:val="none" w:sz="0" w:space="0" w:color="FFFFFF"/>
              <w:bottom w:val="single" w:sz="4" w:space="0" w:color="D9D2C5"/>
              <w:right w:val="none" w:sz="0" w:space="0" w:color="FFFFFF"/>
            </w:tcBorders>
            <w:shd w:val="clear" w:color="auto" w:fill="17191E"/>
            <w:tcMar>
              <w:top w:w="80" w:type="dxa"/>
              <w:left w:w="110" w:type="dxa"/>
              <w:bottom w:w="80" w:type="dxa"/>
              <w:right w:w="110" w:type="dxa"/>
            </w:tcMar>
          </w:tcPr>
          <w:p w14:paraId="489EDCFE" w14:textId="77777777" w:rsidR="002E64EB" w:rsidRDefault="00000000">
            <w:r>
              <w:rPr>
                <w:b/>
                <w:bCs/>
                <w:color w:val="FFFFFF"/>
                <w:sz w:val="18"/>
                <w:szCs w:val="18"/>
              </w:rPr>
              <w:t>#</w:t>
            </w:r>
          </w:p>
        </w:tc>
        <w:tc>
          <w:tcPr>
            <w:tcW w:w="1900" w:type="dxa"/>
            <w:tcBorders>
              <w:top w:val="none" w:sz="0" w:space="0" w:color="FFFFFF"/>
              <w:left w:val="none" w:sz="0" w:space="0" w:color="FFFFFF"/>
              <w:bottom w:val="single" w:sz="4" w:space="0" w:color="D9D2C5"/>
              <w:right w:val="none" w:sz="0" w:space="0" w:color="FFFFFF"/>
            </w:tcBorders>
            <w:shd w:val="clear" w:color="auto" w:fill="17191E"/>
            <w:tcMar>
              <w:top w:w="80" w:type="dxa"/>
              <w:left w:w="110" w:type="dxa"/>
              <w:bottom w:w="80" w:type="dxa"/>
              <w:right w:w="110" w:type="dxa"/>
            </w:tcMar>
          </w:tcPr>
          <w:p w14:paraId="1190DBE3" w14:textId="77777777" w:rsidR="002E64EB" w:rsidRDefault="00000000">
            <w:r>
              <w:rPr>
                <w:b/>
                <w:bCs/>
                <w:color w:val="FFFFFF"/>
                <w:sz w:val="18"/>
                <w:szCs w:val="18"/>
              </w:rPr>
              <w:t>Link to trace</w:t>
            </w:r>
          </w:p>
        </w:tc>
        <w:tc>
          <w:tcPr>
            <w:tcW w:w="3200" w:type="dxa"/>
            <w:tcBorders>
              <w:top w:val="none" w:sz="0" w:space="0" w:color="FFFFFF"/>
              <w:left w:val="none" w:sz="0" w:space="0" w:color="FFFFFF"/>
              <w:bottom w:val="single" w:sz="4" w:space="0" w:color="D9D2C5"/>
              <w:right w:val="none" w:sz="0" w:space="0" w:color="FFFFFF"/>
            </w:tcBorders>
            <w:shd w:val="clear" w:color="auto" w:fill="17191E"/>
            <w:tcMar>
              <w:top w:w="80" w:type="dxa"/>
              <w:left w:w="110" w:type="dxa"/>
              <w:bottom w:w="80" w:type="dxa"/>
              <w:right w:w="110" w:type="dxa"/>
            </w:tcMar>
          </w:tcPr>
          <w:p w14:paraId="7D503E3F" w14:textId="77777777" w:rsidR="002E64EB" w:rsidRDefault="00000000">
            <w:r>
              <w:rPr>
                <w:b/>
                <w:bCs/>
                <w:color w:val="FFFFFF"/>
                <w:sz w:val="18"/>
                <w:szCs w:val="18"/>
              </w:rPr>
              <w:t>The question to ask</w:t>
            </w:r>
          </w:p>
        </w:tc>
        <w:tc>
          <w:tcPr>
            <w:tcW w:w="900" w:type="dxa"/>
            <w:tcBorders>
              <w:top w:val="none" w:sz="0" w:space="0" w:color="FFFFFF"/>
              <w:left w:val="none" w:sz="0" w:space="0" w:color="FFFFFF"/>
              <w:bottom w:val="single" w:sz="4" w:space="0" w:color="D9D2C5"/>
              <w:right w:val="none" w:sz="0" w:space="0" w:color="FFFFFF"/>
            </w:tcBorders>
            <w:shd w:val="clear" w:color="auto" w:fill="17191E"/>
            <w:tcMar>
              <w:top w:w="80" w:type="dxa"/>
              <w:left w:w="110" w:type="dxa"/>
              <w:bottom w:w="80" w:type="dxa"/>
              <w:right w:w="110" w:type="dxa"/>
            </w:tcMar>
          </w:tcPr>
          <w:p w14:paraId="0A70EC3A" w14:textId="77777777" w:rsidR="002E64EB" w:rsidRDefault="00000000">
            <w:r>
              <w:rPr>
                <w:b/>
                <w:bCs/>
                <w:color w:val="FFFFFF"/>
                <w:sz w:val="18"/>
                <w:szCs w:val="18"/>
              </w:rPr>
              <w:t>Score</w:t>
            </w:r>
          </w:p>
        </w:tc>
        <w:tc>
          <w:tcPr>
            <w:tcW w:w="1100" w:type="dxa"/>
            <w:tcBorders>
              <w:top w:val="none" w:sz="0" w:space="0" w:color="FFFFFF"/>
              <w:left w:val="none" w:sz="0" w:space="0" w:color="FFFFFF"/>
              <w:bottom w:val="single" w:sz="4" w:space="0" w:color="D9D2C5"/>
              <w:right w:val="none" w:sz="0" w:space="0" w:color="FFFFFF"/>
            </w:tcBorders>
            <w:shd w:val="clear" w:color="auto" w:fill="17191E"/>
            <w:tcMar>
              <w:top w:w="80" w:type="dxa"/>
              <w:left w:w="110" w:type="dxa"/>
              <w:bottom w:w="80" w:type="dxa"/>
              <w:right w:w="110" w:type="dxa"/>
            </w:tcMar>
          </w:tcPr>
          <w:p w14:paraId="292331C8" w14:textId="77777777" w:rsidR="002E64EB" w:rsidRDefault="00000000">
            <w:r>
              <w:rPr>
                <w:b/>
                <w:bCs/>
                <w:color w:val="FFFFFF"/>
                <w:sz w:val="18"/>
                <w:szCs w:val="18"/>
              </w:rPr>
              <w:t>Where does it live?</w:t>
            </w:r>
          </w:p>
        </w:tc>
        <w:tc>
          <w:tcPr>
            <w:tcW w:w="2120" w:type="dxa"/>
            <w:tcBorders>
              <w:top w:val="none" w:sz="0" w:space="0" w:color="FFFFFF"/>
              <w:left w:val="none" w:sz="0" w:space="0" w:color="FFFFFF"/>
              <w:bottom w:val="single" w:sz="4" w:space="0" w:color="D9D2C5"/>
              <w:right w:val="none" w:sz="0" w:space="0" w:color="FFFFFF"/>
            </w:tcBorders>
            <w:shd w:val="clear" w:color="auto" w:fill="17191E"/>
            <w:tcMar>
              <w:top w:w="80" w:type="dxa"/>
              <w:left w:w="110" w:type="dxa"/>
              <w:bottom w:w="80" w:type="dxa"/>
              <w:right w:w="110" w:type="dxa"/>
            </w:tcMar>
          </w:tcPr>
          <w:p w14:paraId="46398EC9" w14:textId="77777777" w:rsidR="002E64EB" w:rsidRDefault="00000000">
            <w:r>
              <w:rPr>
                <w:b/>
                <w:bCs/>
                <w:color w:val="FFFFFF"/>
                <w:sz w:val="18"/>
                <w:szCs w:val="18"/>
              </w:rPr>
              <w:t>Who decides?</w:t>
            </w:r>
          </w:p>
        </w:tc>
      </w:tr>
      <w:tr w:rsidR="002E64EB" w14:paraId="58B6E5BF" w14:textId="77777777">
        <w:tblPrEx>
          <w:tblCellMar>
            <w:top w:w="0" w:type="dxa"/>
            <w:bottom w:w="0" w:type="dxa"/>
          </w:tblCellMar>
        </w:tblPrEx>
        <w:tc>
          <w:tcPr>
            <w:tcW w:w="42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6F3E4CF8" w14:textId="77777777" w:rsidR="002E64EB" w:rsidRDefault="00000000">
            <w:r>
              <w:rPr>
                <w:b/>
                <w:bCs/>
                <w:sz w:val="18"/>
                <w:szCs w:val="18"/>
              </w:rPr>
              <w:t>1</w:t>
            </w:r>
          </w:p>
        </w:tc>
        <w:tc>
          <w:tcPr>
            <w:tcW w:w="1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441BB3DD" w14:textId="77777777" w:rsidR="002E64EB" w:rsidRDefault="00000000">
            <w:r>
              <w:rPr>
                <w:sz w:val="18"/>
                <w:szCs w:val="18"/>
              </w:rPr>
              <w:t>Customer → account</w:t>
            </w:r>
          </w:p>
        </w:tc>
        <w:tc>
          <w:tcPr>
            <w:tcW w:w="32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75D0032B" w14:textId="77777777" w:rsidR="002E64EB" w:rsidRDefault="00000000">
            <w:r>
              <w:rPr>
                <w:sz w:val="18"/>
                <w:szCs w:val="18"/>
              </w:rPr>
              <w:t>Is there one record for this customer, with the right terms?</w:t>
            </w:r>
          </w:p>
        </w:tc>
        <w:tc>
          <w:tcPr>
            <w:tcW w:w="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48167950" w14:textId="77777777" w:rsidR="002E64EB" w:rsidRDefault="00000000">
            <w:r>
              <w:rPr>
                <w:sz w:val="18"/>
                <w:szCs w:val="18"/>
              </w:rPr>
              <w:t>0 · 1 · 2</w:t>
            </w:r>
          </w:p>
        </w:tc>
        <w:tc>
          <w:tcPr>
            <w:tcW w:w="11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2138D319" w14:textId="77777777" w:rsidR="002E64EB" w:rsidRDefault="002E64EB"/>
        </w:tc>
        <w:tc>
          <w:tcPr>
            <w:tcW w:w="212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1C07222D" w14:textId="77777777" w:rsidR="002E64EB" w:rsidRDefault="002E64EB"/>
        </w:tc>
      </w:tr>
      <w:tr w:rsidR="002E64EB" w14:paraId="3825917A" w14:textId="77777777">
        <w:tblPrEx>
          <w:tblCellMar>
            <w:top w:w="0" w:type="dxa"/>
            <w:bottom w:w="0" w:type="dxa"/>
          </w:tblCellMar>
        </w:tblPrEx>
        <w:tc>
          <w:tcPr>
            <w:tcW w:w="42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7B98C293" w14:textId="77777777" w:rsidR="002E64EB" w:rsidRDefault="00000000">
            <w:r>
              <w:rPr>
                <w:b/>
                <w:bCs/>
                <w:sz w:val="18"/>
                <w:szCs w:val="18"/>
              </w:rPr>
              <w:t>2</w:t>
            </w:r>
          </w:p>
        </w:tc>
        <w:tc>
          <w:tcPr>
            <w:tcW w:w="1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2E6D7AB6" w14:textId="77777777" w:rsidR="002E64EB" w:rsidRDefault="00000000">
            <w:r>
              <w:rPr>
                <w:sz w:val="18"/>
                <w:szCs w:val="18"/>
              </w:rPr>
              <w:t>Account → contract price</w:t>
            </w:r>
          </w:p>
        </w:tc>
        <w:tc>
          <w:tcPr>
            <w:tcW w:w="32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390974F4" w14:textId="77777777" w:rsidR="002E64EB" w:rsidRDefault="00000000">
            <w:r>
              <w:rPr>
                <w:sz w:val="18"/>
                <w:szCs w:val="18"/>
              </w:rPr>
              <w:t>Did the negotiated price come up automatically?</w:t>
            </w:r>
          </w:p>
        </w:tc>
        <w:tc>
          <w:tcPr>
            <w:tcW w:w="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3AD89081" w14:textId="77777777" w:rsidR="002E64EB" w:rsidRDefault="00000000">
            <w:r>
              <w:rPr>
                <w:sz w:val="18"/>
                <w:szCs w:val="18"/>
              </w:rPr>
              <w:t>0 · 1 · 2</w:t>
            </w:r>
          </w:p>
        </w:tc>
        <w:tc>
          <w:tcPr>
            <w:tcW w:w="11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212C72DE" w14:textId="77777777" w:rsidR="002E64EB" w:rsidRDefault="002E64EB"/>
        </w:tc>
        <w:tc>
          <w:tcPr>
            <w:tcW w:w="212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413F657F" w14:textId="77777777" w:rsidR="002E64EB" w:rsidRDefault="002E64EB"/>
        </w:tc>
      </w:tr>
      <w:tr w:rsidR="002E64EB" w14:paraId="3726DF74" w14:textId="77777777">
        <w:tblPrEx>
          <w:tblCellMar>
            <w:top w:w="0" w:type="dxa"/>
            <w:bottom w:w="0" w:type="dxa"/>
          </w:tblCellMar>
        </w:tblPrEx>
        <w:tc>
          <w:tcPr>
            <w:tcW w:w="42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144AD515" w14:textId="77777777" w:rsidR="002E64EB" w:rsidRDefault="00000000">
            <w:r>
              <w:rPr>
                <w:b/>
                <w:bCs/>
                <w:sz w:val="18"/>
                <w:szCs w:val="18"/>
              </w:rPr>
              <w:t>3</w:t>
            </w:r>
          </w:p>
        </w:tc>
        <w:tc>
          <w:tcPr>
            <w:tcW w:w="1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15DD3F5A" w14:textId="77777777" w:rsidR="002E64EB" w:rsidRDefault="00000000">
            <w:r>
              <w:rPr>
                <w:sz w:val="18"/>
                <w:szCs w:val="18"/>
              </w:rPr>
              <w:t>Product → single identity</w:t>
            </w:r>
          </w:p>
        </w:tc>
        <w:tc>
          <w:tcPr>
            <w:tcW w:w="32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63D4266D" w14:textId="77777777" w:rsidR="002E64EB" w:rsidRDefault="00000000">
            <w:r>
              <w:rPr>
                <w:sz w:val="18"/>
                <w:szCs w:val="18"/>
              </w:rPr>
              <w:t>Did the product appear once, under one number?</w:t>
            </w:r>
          </w:p>
        </w:tc>
        <w:tc>
          <w:tcPr>
            <w:tcW w:w="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5CD30F6B" w14:textId="77777777" w:rsidR="002E64EB" w:rsidRDefault="00000000">
            <w:r>
              <w:rPr>
                <w:sz w:val="18"/>
                <w:szCs w:val="18"/>
              </w:rPr>
              <w:t>0 · 1 · 2</w:t>
            </w:r>
          </w:p>
        </w:tc>
        <w:tc>
          <w:tcPr>
            <w:tcW w:w="11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28036453" w14:textId="77777777" w:rsidR="002E64EB" w:rsidRDefault="002E64EB"/>
        </w:tc>
        <w:tc>
          <w:tcPr>
            <w:tcW w:w="212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252C7F93" w14:textId="77777777" w:rsidR="002E64EB" w:rsidRDefault="002E64EB"/>
        </w:tc>
      </w:tr>
      <w:tr w:rsidR="002E64EB" w14:paraId="0061FF41" w14:textId="77777777">
        <w:tblPrEx>
          <w:tblCellMar>
            <w:top w:w="0" w:type="dxa"/>
            <w:bottom w:w="0" w:type="dxa"/>
          </w:tblCellMar>
        </w:tblPrEx>
        <w:tc>
          <w:tcPr>
            <w:tcW w:w="42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69572FB1" w14:textId="77777777" w:rsidR="002E64EB" w:rsidRDefault="00000000">
            <w:r>
              <w:rPr>
                <w:b/>
                <w:bCs/>
                <w:sz w:val="18"/>
                <w:szCs w:val="18"/>
              </w:rPr>
              <w:t>4</w:t>
            </w:r>
          </w:p>
        </w:tc>
        <w:tc>
          <w:tcPr>
            <w:tcW w:w="1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50CD8F3D" w14:textId="77777777" w:rsidR="002E64EB" w:rsidRDefault="00000000">
            <w:r>
              <w:rPr>
                <w:sz w:val="18"/>
                <w:szCs w:val="18"/>
              </w:rPr>
              <w:t>Product → specs &amp; compatibility</w:t>
            </w:r>
          </w:p>
        </w:tc>
        <w:tc>
          <w:tcPr>
            <w:tcW w:w="32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78FCED40" w14:textId="77777777" w:rsidR="002E64EB" w:rsidRDefault="00000000">
            <w:r>
              <w:rPr>
                <w:sz w:val="18"/>
                <w:szCs w:val="18"/>
              </w:rPr>
              <w:t>Were specs and compatibility on the record, not in a PDF?</w:t>
            </w:r>
          </w:p>
        </w:tc>
        <w:tc>
          <w:tcPr>
            <w:tcW w:w="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1A26A524" w14:textId="77777777" w:rsidR="002E64EB" w:rsidRDefault="00000000">
            <w:r>
              <w:rPr>
                <w:sz w:val="18"/>
                <w:szCs w:val="18"/>
              </w:rPr>
              <w:t>0 · 1 · 2</w:t>
            </w:r>
          </w:p>
        </w:tc>
        <w:tc>
          <w:tcPr>
            <w:tcW w:w="11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579A1757" w14:textId="77777777" w:rsidR="002E64EB" w:rsidRDefault="002E64EB"/>
        </w:tc>
        <w:tc>
          <w:tcPr>
            <w:tcW w:w="212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4D7E4676" w14:textId="77777777" w:rsidR="002E64EB" w:rsidRDefault="002E64EB"/>
        </w:tc>
      </w:tr>
      <w:tr w:rsidR="002E64EB" w14:paraId="5A37CD55" w14:textId="77777777">
        <w:tblPrEx>
          <w:tblCellMar>
            <w:top w:w="0" w:type="dxa"/>
            <w:bottom w:w="0" w:type="dxa"/>
          </w:tblCellMar>
        </w:tblPrEx>
        <w:tc>
          <w:tcPr>
            <w:tcW w:w="42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4A8A00AF" w14:textId="77777777" w:rsidR="002E64EB" w:rsidRDefault="00000000">
            <w:r>
              <w:rPr>
                <w:b/>
                <w:bCs/>
                <w:sz w:val="18"/>
                <w:szCs w:val="18"/>
              </w:rPr>
              <w:t>5</w:t>
            </w:r>
          </w:p>
        </w:tc>
        <w:tc>
          <w:tcPr>
            <w:tcW w:w="1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2B490987" w14:textId="77777777" w:rsidR="002E64EB" w:rsidRDefault="00000000">
            <w:r>
              <w:rPr>
                <w:sz w:val="18"/>
                <w:szCs w:val="18"/>
              </w:rPr>
              <w:t>Product → supplier &amp; cost</w:t>
            </w:r>
          </w:p>
        </w:tc>
        <w:tc>
          <w:tcPr>
            <w:tcW w:w="32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2BFF3AA3" w14:textId="77777777" w:rsidR="002E64EB" w:rsidRDefault="00000000">
            <w:r>
              <w:rPr>
                <w:sz w:val="18"/>
                <w:szCs w:val="18"/>
              </w:rPr>
              <w:t>Was cost current and linked to the right supplier?</w:t>
            </w:r>
          </w:p>
        </w:tc>
        <w:tc>
          <w:tcPr>
            <w:tcW w:w="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79795AB3" w14:textId="77777777" w:rsidR="002E64EB" w:rsidRDefault="00000000">
            <w:r>
              <w:rPr>
                <w:sz w:val="18"/>
                <w:szCs w:val="18"/>
              </w:rPr>
              <w:t>0 · 1 · 2</w:t>
            </w:r>
          </w:p>
        </w:tc>
        <w:tc>
          <w:tcPr>
            <w:tcW w:w="11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3F997CEA" w14:textId="77777777" w:rsidR="002E64EB" w:rsidRDefault="002E64EB"/>
        </w:tc>
        <w:tc>
          <w:tcPr>
            <w:tcW w:w="212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7E59E875" w14:textId="77777777" w:rsidR="002E64EB" w:rsidRDefault="002E64EB"/>
        </w:tc>
      </w:tr>
      <w:tr w:rsidR="002E64EB" w14:paraId="1FADA1A9" w14:textId="77777777">
        <w:tblPrEx>
          <w:tblCellMar>
            <w:top w:w="0" w:type="dxa"/>
            <w:bottom w:w="0" w:type="dxa"/>
          </w:tblCellMar>
        </w:tblPrEx>
        <w:tc>
          <w:tcPr>
            <w:tcW w:w="420" w:type="dxa"/>
            <w:tcBorders>
              <w:top w:val="none" w:sz="0" w:space="0" w:color="FFFFFF"/>
              <w:left w:val="none" w:sz="0" w:space="0" w:color="FFFFFF"/>
              <w:bottom w:val="single" w:sz="4" w:space="0" w:color="D9D2C5"/>
              <w:right w:val="none" w:sz="0" w:space="0" w:color="FFFFFF"/>
            </w:tcBorders>
            <w:shd w:val="clear" w:color="auto" w:fill="F4EFE6"/>
            <w:tcMar>
              <w:top w:w="80" w:type="dxa"/>
              <w:left w:w="110" w:type="dxa"/>
              <w:bottom w:w="80" w:type="dxa"/>
              <w:right w:w="110" w:type="dxa"/>
            </w:tcMar>
          </w:tcPr>
          <w:p w14:paraId="29CD273F" w14:textId="77777777" w:rsidR="002E64EB" w:rsidRDefault="00000000">
            <w:r>
              <w:rPr>
                <w:b/>
                <w:bCs/>
                <w:sz w:val="18"/>
                <w:szCs w:val="18"/>
              </w:rPr>
              <w:t>6</w:t>
            </w:r>
          </w:p>
        </w:tc>
        <w:tc>
          <w:tcPr>
            <w:tcW w:w="1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3E676EE8" w14:textId="77777777" w:rsidR="002E64EB" w:rsidRDefault="00000000">
            <w:r>
              <w:rPr>
                <w:sz w:val="18"/>
                <w:szCs w:val="18"/>
              </w:rPr>
              <w:t>Quote → secure channel</w:t>
            </w:r>
          </w:p>
        </w:tc>
        <w:tc>
          <w:tcPr>
            <w:tcW w:w="32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21169E03" w14:textId="77777777" w:rsidR="002E64EB" w:rsidRDefault="00000000">
            <w:r>
              <w:rPr>
                <w:sz w:val="18"/>
                <w:szCs w:val="18"/>
              </w:rPr>
              <w:t>Was the quote built without a file leaving the system or going into an unapproved AI tool?</w:t>
            </w:r>
          </w:p>
        </w:tc>
        <w:tc>
          <w:tcPr>
            <w:tcW w:w="9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7BB8A9DC" w14:textId="77777777" w:rsidR="002E64EB" w:rsidRDefault="00000000">
            <w:r>
              <w:rPr>
                <w:sz w:val="18"/>
                <w:szCs w:val="18"/>
              </w:rPr>
              <w:t>0 · 1 · 2</w:t>
            </w:r>
          </w:p>
        </w:tc>
        <w:tc>
          <w:tcPr>
            <w:tcW w:w="110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765955C7" w14:textId="77777777" w:rsidR="002E64EB" w:rsidRDefault="002E64EB"/>
        </w:tc>
        <w:tc>
          <w:tcPr>
            <w:tcW w:w="2120" w:type="dxa"/>
            <w:tcBorders>
              <w:top w:val="none" w:sz="0" w:space="0" w:color="FFFFFF"/>
              <w:left w:val="none" w:sz="0" w:space="0" w:color="FFFFFF"/>
              <w:bottom w:val="single" w:sz="4" w:space="0" w:color="D9D2C5"/>
              <w:right w:val="none" w:sz="0" w:space="0" w:color="FFFFFF"/>
            </w:tcBorders>
            <w:shd w:val="clear" w:color="auto" w:fill="FFFFFF"/>
            <w:tcMar>
              <w:top w:w="80" w:type="dxa"/>
              <w:left w:w="110" w:type="dxa"/>
              <w:bottom w:w="80" w:type="dxa"/>
              <w:right w:w="110" w:type="dxa"/>
            </w:tcMar>
          </w:tcPr>
          <w:p w14:paraId="5C3CB30B" w14:textId="77777777" w:rsidR="002E64EB" w:rsidRDefault="002E64EB"/>
        </w:tc>
      </w:tr>
    </w:tbl>
    <w:p w14:paraId="631FA31D" w14:textId="77777777" w:rsidR="002E64EB" w:rsidRDefault="002E64EB">
      <w:pPr>
        <w:spacing w:after="120"/>
      </w:pPr>
    </w:p>
    <w:p w14:paraId="4FC17DC1" w14:textId="77777777" w:rsidR="002E64EB" w:rsidRDefault="00000000">
      <w:pPr>
        <w:spacing w:before="120" w:after="60"/>
        <w:jc w:val="center"/>
      </w:pPr>
      <w:r>
        <w:rPr>
          <w:noProof/>
        </w:rPr>
        <w:lastRenderedPageBreak/>
        <w:drawing>
          <wp:inline distT="0" distB="0" distL="0" distR="0" wp14:anchorId="58F9D24A" wp14:editId="0305387A">
            <wp:extent cx="5120640" cy="1924050"/>
            <wp:effectExtent l="0" t="0" r="0" b="0"/>
            <wp:docPr id="380325127" name="Picture 38032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0640" cy="1924050"/>
                    </a:xfrm>
                    <a:prstGeom prst="rect">
                      <a:avLst/>
                    </a:prstGeom>
                  </pic:spPr>
                </pic:pic>
              </a:graphicData>
            </a:graphic>
          </wp:inline>
        </w:drawing>
      </w:r>
    </w:p>
    <w:p w14:paraId="4D02365F" w14:textId="77777777" w:rsidR="002E64EB" w:rsidRDefault="00000000">
      <w:pPr>
        <w:spacing w:after="280"/>
      </w:pPr>
      <w:r>
        <w:rPr>
          <w:i/>
          <w:iCs/>
          <w:color w:val="8A8478"/>
          <w:sz w:val="18"/>
          <w:szCs w:val="18"/>
        </w:rPr>
        <w:t>Reading the result: score per quote, out of 12. In the article's case, the quote scores 4: workarounds.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2E64EB" w14:paraId="018C34E3" w14:textId="77777777">
        <w:tblPrEx>
          <w:tblCellMar>
            <w:top w:w="0" w:type="dxa"/>
            <w:bottom w:w="0" w:type="dxa"/>
          </w:tblCellMar>
        </w:tblPrEx>
        <w:tc>
          <w:tcPr>
            <w:tcW w:w="9640" w:type="dxa"/>
            <w:tcBorders>
              <w:top w:val="none" w:sz="0" w:space="0" w:color="FFFFFF"/>
              <w:left w:val="single" w:sz="36" w:space="0" w:color="C8102E"/>
              <w:bottom w:val="none" w:sz="0" w:space="0" w:color="FFFFFF"/>
              <w:right w:val="none" w:sz="0" w:space="0" w:color="FFFFFF"/>
            </w:tcBorders>
            <w:shd w:val="clear" w:color="auto" w:fill="F4EFE6"/>
            <w:tcMar>
              <w:top w:w="200" w:type="dxa"/>
              <w:left w:w="280" w:type="dxa"/>
              <w:bottom w:w="200" w:type="dxa"/>
              <w:right w:w="280" w:type="dxa"/>
            </w:tcMar>
          </w:tcPr>
          <w:p w14:paraId="68ECAB82" w14:textId="77777777" w:rsidR="002E64EB" w:rsidRDefault="00000000">
            <w:pPr>
              <w:spacing w:after="100"/>
            </w:pPr>
            <w:r>
              <w:rPr>
                <w:b/>
                <w:bCs/>
              </w:rPr>
              <w:t>Why it works.</w:t>
            </w:r>
            <w:r>
              <w:t xml:space="preserve"> In one sitting, the Quote Trace produces every building block of a data strategy:</w:t>
            </w:r>
          </w:p>
          <w:p w14:paraId="5A7C81A0" w14:textId="77777777" w:rsidR="002E64EB" w:rsidRDefault="00000000">
            <w:pPr>
              <w:pStyle w:val="ListParagraph"/>
              <w:numPr>
                <w:ilvl w:val="0"/>
                <w:numId w:val="2"/>
              </w:numPr>
              <w:spacing w:after="100" w:line="290" w:lineRule="auto"/>
            </w:pPr>
            <w:r>
              <w:rPr>
                <w:b/>
                <w:bCs/>
              </w:rPr>
              <w:t>Master-data priorities</w:t>
            </w:r>
            <w:r>
              <w:t>: the links that break most often.</w:t>
            </w:r>
          </w:p>
          <w:p w14:paraId="7585CA70" w14:textId="77777777" w:rsidR="002E64EB" w:rsidRDefault="00000000">
            <w:pPr>
              <w:pStyle w:val="ListParagraph"/>
              <w:numPr>
                <w:ilvl w:val="0"/>
                <w:numId w:val="2"/>
              </w:numPr>
              <w:spacing w:after="100" w:line="290" w:lineRule="auto"/>
            </w:pPr>
            <w:r>
              <w:rPr>
                <w:b/>
                <w:bCs/>
              </w:rPr>
              <w:t>A security inventory</w:t>
            </w:r>
            <w:r>
              <w:t>: where each link lives.</w:t>
            </w:r>
          </w:p>
          <w:p w14:paraId="28B4196F" w14:textId="77777777" w:rsidR="002E64EB" w:rsidRDefault="00000000">
            <w:pPr>
              <w:pStyle w:val="ListParagraph"/>
              <w:numPr>
                <w:ilvl w:val="0"/>
                <w:numId w:val="2"/>
              </w:numPr>
              <w:spacing w:after="100" w:line="290" w:lineRule="auto"/>
            </w:pPr>
            <w:r>
              <w:rPr>
                <w:b/>
                <w:bCs/>
              </w:rPr>
              <w:t>A governance model</w:t>
            </w:r>
            <w:r>
              <w:t>: who decides.</w:t>
            </w:r>
          </w:p>
          <w:p w14:paraId="20407CA3" w14:textId="77777777" w:rsidR="002E64EB" w:rsidRDefault="00000000">
            <w:pPr>
              <w:pStyle w:val="ListParagraph"/>
              <w:numPr>
                <w:ilvl w:val="0"/>
                <w:numId w:val="2"/>
              </w:numPr>
              <w:spacing w:after="100" w:line="290" w:lineRule="auto"/>
            </w:pPr>
            <w:r>
              <w:rPr>
                <w:b/>
                <w:bCs/>
              </w:rPr>
              <w:t>Change champions</w:t>
            </w:r>
            <w:r>
              <w:t>: the reps who spot the problems.</w:t>
            </w:r>
          </w:p>
          <w:p w14:paraId="64FA2D5D" w14:textId="77777777" w:rsidR="002E64EB" w:rsidRDefault="00000000">
            <w:pPr>
              <w:pStyle w:val="ListParagraph"/>
              <w:numPr>
                <w:ilvl w:val="0"/>
                <w:numId w:val="2"/>
              </w:numPr>
              <w:spacing w:after="100" w:line="290" w:lineRule="auto"/>
            </w:pPr>
            <w:r>
              <w:rPr>
                <w:b/>
                <w:bCs/>
              </w:rPr>
              <w:t>The commercial KPI</w:t>
            </w:r>
            <w:r>
              <w:t>: quote time and accuracy.</w:t>
            </w:r>
          </w:p>
          <w:p w14:paraId="6CAB32CE" w14:textId="77777777" w:rsidR="002E64EB" w:rsidRDefault="00000000">
            <w:pPr>
              <w:pStyle w:val="ListParagraph"/>
              <w:numPr>
                <w:ilvl w:val="0"/>
                <w:numId w:val="2"/>
              </w:numPr>
              <w:spacing w:after="100" w:line="290" w:lineRule="auto"/>
            </w:pPr>
            <w:r>
              <w:rPr>
                <w:b/>
                <w:bCs/>
              </w:rPr>
              <w:t>An honest answer on AI readiness.</w:t>
            </w:r>
          </w:p>
          <w:p w14:paraId="7EC909DC" w14:textId="77777777" w:rsidR="002E64EB" w:rsidRDefault="00000000">
            <w:pPr>
              <w:spacing w:before="100"/>
            </w:pPr>
            <w:r>
              <w:t>Instead of debating "data quality" in the abstract, leadership looks at five real quotes and five real lost dollars.</w:t>
            </w:r>
          </w:p>
        </w:tc>
      </w:tr>
    </w:tbl>
    <w:p w14:paraId="7AD59498" w14:textId="77777777" w:rsidR="002E64EB" w:rsidRDefault="00000000">
      <w:pPr>
        <w:keepNext/>
        <w:spacing w:before="360" w:after="40"/>
      </w:pPr>
      <w:r>
        <w:rPr>
          <w:rFonts w:ascii="Consolas" w:eastAsia="Consolas" w:hAnsi="Consolas" w:cs="Consolas"/>
          <w:b/>
          <w:bCs/>
          <w:color w:val="C8102E"/>
          <w:spacing w:val="40"/>
          <w:sz w:val="17"/>
          <w:szCs w:val="17"/>
        </w:rPr>
        <w:t>EPILOGUE</w:t>
      </w:r>
    </w:p>
    <w:p w14:paraId="6EB28AE5" w14:textId="77777777" w:rsidR="002E64EB" w:rsidRDefault="00000000">
      <w:pPr>
        <w:pStyle w:val="Heading1"/>
      </w:pPr>
      <w:r>
        <w:t>7:40 a.m., one year later</w:t>
      </w:r>
    </w:p>
    <w:p w14:paraId="52876C5A" w14:textId="77777777" w:rsidR="002E64EB" w:rsidRDefault="00000000">
      <w:pPr>
        <w:spacing w:after="160" w:line="300" w:lineRule="auto"/>
      </w:pPr>
      <w:r>
        <w:t>The same contractor calls again. One heater, one part number. The negotiated price comes up on its own, because the contract is linked to the account. Compatibility is on the record. An AI assistant drafts the quote in ninety seconds, and the rep trusts it, because the records underneath are true. No file leaves the building. Nobody thinks about data strategy. That's the point.</w:t>
      </w:r>
    </w:p>
    <w:p w14:paraId="30548799" w14:textId="77777777" w:rsidR="002E64EB" w:rsidRDefault="002E64EB">
      <w:pPr>
        <w:spacing w:after="12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2E64EB" w14:paraId="55795B67" w14:textId="77777777">
        <w:tblPrEx>
          <w:tblCellMar>
            <w:top w:w="0" w:type="dxa"/>
            <w:bottom w:w="0" w:type="dxa"/>
          </w:tblCellMar>
        </w:tblPrEx>
        <w:tc>
          <w:tcPr>
            <w:tcW w:w="9640" w:type="dxa"/>
            <w:tcBorders>
              <w:top w:val="none" w:sz="0" w:space="0" w:color="FFFFFF"/>
              <w:left w:val="single" w:sz="36" w:space="0" w:color="C8102E"/>
              <w:bottom w:val="none" w:sz="0" w:space="0" w:color="FFFFFF"/>
              <w:right w:val="none" w:sz="0" w:space="0" w:color="FFFFFF"/>
            </w:tcBorders>
            <w:shd w:val="clear" w:color="auto" w:fill="FBEFF1"/>
            <w:tcMar>
              <w:top w:w="200" w:type="dxa"/>
              <w:left w:w="280" w:type="dxa"/>
              <w:bottom w:w="200" w:type="dxa"/>
              <w:right w:w="280" w:type="dxa"/>
            </w:tcMar>
          </w:tcPr>
          <w:p w14:paraId="35E2B653" w14:textId="77777777" w:rsidR="002E64EB" w:rsidRDefault="00000000">
            <w:r>
              <w:rPr>
                <w:b/>
                <w:bCs/>
                <w:sz w:val="24"/>
                <w:szCs w:val="24"/>
              </w:rPr>
              <w:t>Your first move:</w:t>
            </w:r>
            <w:r>
              <w:rPr>
                <w:sz w:val="24"/>
                <w:szCs w:val="24"/>
              </w:rPr>
              <w:t xml:space="preserve"> pull your last five lost quotes, sit down with your best rep and run the Trace. Some of them weren't lost on price.</w:t>
            </w:r>
          </w:p>
        </w:tc>
      </w:tr>
    </w:tbl>
    <w:p w14:paraId="2BB462AC" w14:textId="77777777" w:rsidR="002E64EB" w:rsidRDefault="002E64EB">
      <w:pPr>
        <w:spacing w:after="120"/>
      </w:pPr>
    </w:p>
    <w:p w14:paraId="423A3BAC" w14:textId="77777777" w:rsidR="002E64EB" w:rsidRDefault="00000000">
      <w:pPr>
        <w:spacing w:after="160" w:line="300" w:lineRule="auto"/>
      </w:pPr>
      <w:r>
        <w:rPr>
          <w:i/>
          <w:iCs/>
          <w:color w:val="4A4740"/>
        </w:rPr>
        <w:t>And you: how many of your "lost on price" deals actually died of a broken link? I read every comment.</w:t>
      </w:r>
    </w:p>
    <w:p w14:paraId="4F10117F" w14:textId="77777777" w:rsidR="002E64EB" w:rsidRDefault="00000000">
      <w:pPr>
        <w:keepNext/>
        <w:spacing w:before="360" w:after="40"/>
      </w:pPr>
      <w:r>
        <w:rPr>
          <w:rFonts w:ascii="Consolas" w:eastAsia="Consolas" w:hAnsi="Consolas" w:cs="Consolas"/>
          <w:b/>
          <w:bCs/>
          <w:color w:val="C8102E"/>
          <w:spacing w:val="40"/>
          <w:sz w:val="17"/>
          <w:szCs w:val="17"/>
        </w:rPr>
        <w:lastRenderedPageBreak/>
        <w:t>EVIDENCE</w:t>
      </w:r>
    </w:p>
    <w:p w14:paraId="367C1113" w14:textId="77777777" w:rsidR="002E64EB" w:rsidRDefault="00000000">
      <w:pPr>
        <w:pStyle w:val="Heading1"/>
      </w:pPr>
      <w:r>
        <w:t>Sources and notes</w:t>
      </w:r>
    </w:p>
    <w:p w14:paraId="50A7DADF" w14:textId="77777777" w:rsidR="002E64EB" w:rsidRDefault="00000000">
      <w:pPr>
        <w:spacing w:after="160" w:line="300" w:lineRule="auto"/>
      </w:pPr>
      <w:r>
        <w:rPr>
          <w:i/>
          <w:iCs/>
          <w:color w:val="4A4740"/>
          <w:sz w:val="18"/>
          <w:szCs w:val="18"/>
        </w:rPr>
        <w:t>The counter scenario is a composite. Sources accessed and re-verified September 22 to October 5, 2026. Shadow-AI figures come from secondary analyses of IBM's 2026 report; the 75% MDM figure is attributed to Gartner by Dataversity. The 2020–2021 points of the breach-cost chart rely on media coverage (MobileSyrup, CTV News) of IBM's reports. The Quote Trace is a conversation tool designed by the author, not a validated instrument.</w:t>
      </w:r>
    </w:p>
    <w:p w14:paraId="5284761A" w14:textId="77777777" w:rsidR="002E64EB" w:rsidRDefault="00000000">
      <w:pPr>
        <w:spacing w:after="70"/>
      </w:pPr>
      <w:r>
        <w:rPr>
          <w:color w:val="4A4740"/>
          <w:sz w:val="17"/>
          <w:szCs w:val="17"/>
        </w:rPr>
        <w:t xml:space="preserve">1. </w:t>
      </w:r>
      <w:hyperlink r:id="rId16" w:history="1">
        <w:r>
          <w:rPr>
            <w:color w:val="1F4E79"/>
            <w:sz w:val="17"/>
            <w:szCs w:val="17"/>
            <w:u w:val="single"/>
          </w:rPr>
          <w:t>Gartner, Organizations with successful AI initiatives invest up to four times more in D&amp;A foundations (Apr 16, 2026)</w:t>
        </w:r>
      </w:hyperlink>
    </w:p>
    <w:p w14:paraId="3EB39C29" w14:textId="77777777" w:rsidR="002E64EB" w:rsidRDefault="00000000">
      <w:pPr>
        <w:spacing w:after="70"/>
      </w:pPr>
      <w:r>
        <w:rPr>
          <w:color w:val="4A4740"/>
          <w:sz w:val="17"/>
          <w:szCs w:val="17"/>
        </w:rPr>
        <w:t xml:space="preserve">2. </w:t>
      </w:r>
      <w:hyperlink r:id="rId17" w:history="1">
        <w:r>
          <w:rPr>
            <w:color w:val="1F4E79"/>
            <w:sz w:val="17"/>
            <w:szCs w:val="17"/>
            <w:u w:val="single"/>
          </w:rPr>
          <w:t>Gartner, One-third of CDAOs cite measuring D&amp;A and AI impact as top challenge (Feb 20, 2025)</w:t>
        </w:r>
      </w:hyperlink>
    </w:p>
    <w:p w14:paraId="0B7AAD23" w14:textId="77777777" w:rsidR="002E64EB" w:rsidRDefault="00000000">
      <w:pPr>
        <w:spacing w:after="70"/>
      </w:pPr>
      <w:r>
        <w:rPr>
          <w:color w:val="4A4740"/>
          <w:sz w:val="17"/>
          <w:szCs w:val="17"/>
        </w:rPr>
        <w:t xml:space="preserve">3. </w:t>
      </w:r>
      <w:hyperlink r:id="rId18" w:history="1">
        <w:r>
          <w:rPr>
            <w:color w:val="1F4E79"/>
            <w:sz w:val="17"/>
            <w:szCs w:val="17"/>
            <w:u w:val="single"/>
          </w:rPr>
          <w:t>Dataversity, Common master data management (MDM) pitfalls (2025)</w:t>
        </w:r>
      </w:hyperlink>
    </w:p>
    <w:p w14:paraId="7C50BBD4" w14:textId="77777777" w:rsidR="002E64EB" w:rsidRDefault="00000000">
      <w:pPr>
        <w:spacing w:after="70"/>
      </w:pPr>
      <w:r>
        <w:rPr>
          <w:color w:val="4A4740"/>
          <w:sz w:val="17"/>
          <w:szCs w:val="17"/>
        </w:rPr>
        <w:t xml:space="preserve">4. </w:t>
      </w:r>
      <w:hyperlink r:id="rId19" w:history="1">
        <w:r>
          <w:rPr>
            <w:color w:val="1F4E79"/>
            <w:sz w:val="17"/>
            <w:szCs w:val="17"/>
            <w:u w:val="single"/>
          </w:rPr>
          <w:t>Gartner, 80% of D&amp;A governance initiatives will fail by 2027 (Feb 28, 2024)</w:t>
        </w:r>
      </w:hyperlink>
    </w:p>
    <w:p w14:paraId="4042A2FC" w14:textId="77777777" w:rsidR="002E64EB" w:rsidRDefault="00000000">
      <w:pPr>
        <w:spacing w:after="70"/>
      </w:pPr>
      <w:r>
        <w:rPr>
          <w:color w:val="4A4740"/>
          <w:sz w:val="17"/>
          <w:szCs w:val="17"/>
        </w:rPr>
        <w:t xml:space="preserve">5. </w:t>
      </w:r>
      <w:hyperlink r:id="rId20" w:history="1">
        <w:r>
          <w:rPr>
            <w:color w:val="1F4E79"/>
            <w:sz w:val="17"/>
            <w:szCs w:val="17"/>
            <w:u w:val="single"/>
          </w:rPr>
          <w:t>IIoT World, Data governance fails without culture change (Gartner 2025 survey)</w:t>
        </w:r>
      </w:hyperlink>
    </w:p>
    <w:p w14:paraId="577377D6" w14:textId="77777777" w:rsidR="002E64EB" w:rsidRDefault="00000000">
      <w:pPr>
        <w:spacing w:after="70"/>
      </w:pPr>
      <w:r>
        <w:rPr>
          <w:color w:val="4A4740"/>
          <w:sz w:val="17"/>
          <w:szCs w:val="17"/>
        </w:rPr>
        <w:t xml:space="preserve">6. </w:t>
      </w:r>
      <w:hyperlink r:id="rId21" w:history="1">
        <w:r>
          <w:rPr>
            <w:color w:val="1F4E79"/>
            <w:sz w:val="17"/>
            <w:szCs w:val="17"/>
            <w:u w:val="single"/>
          </w:rPr>
          <w:t>LégisQuébec, P-39.1, art. 3.1 (Loi 25 / Law 25)</w:t>
        </w:r>
      </w:hyperlink>
    </w:p>
    <w:p w14:paraId="03C921DD" w14:textId="77777777" w:rsidR="002E64EB" w:rsidRDefault="00000000">
      <w:pPr>
        <w:spacing w:after="70"/>
      </w:pPr>
      <w:r>
        <w:rPr>
          <w:color w:val="4A4740"/>
          <w:sz w:val="17"/>
          <w:szCs w:val="17"/>
        </w:rPr>
        <w:t xml:space="preserve">7. </w:t>
      </w:r>
      <w:hyperlink r:id="rId22" w:history="1">
        <w:r>
          <w:rPr>
            <w:color w:val="1F4E79"/>
            <w:sz w:val="17"/>
            <w:szCs w:val="17"/>
            <w:u w:val="single"/>
          </w:rPr>
          <w:t>IBM Canada, Cost of a Data Breach 2026 (July 29, 2026)</w:t>
        </w:r>
      </w:hyperlink>
    </w:p>
    <w:p w14:paraId="5624DBF2" w14:textId="77777777" w:rsidR="002E64EB" w:rsidRDefault="00000000">
      <w:pPr>
        <w:spacing w:after="70"/>
      </w:pPr>
      <w:r>
        <w:rPr>
          <w:color w:val="4A4740"/>
          <w:sz w:val="17"/>
          <w:szCs w:val="17"/>
        </w:rPr>
        <w:t xml:space="preserve">8. </w:t>
      </w:r>
      <w:hyperlink r:id="rId23" w:history="1">
        <w:r>
          <w:rPr>
            <w:color w:val="1F4E79"/>
            <w:sz w:val="17"/>
            <w:szCs w:val="17"/>
            <w:u w:val="single"/>
          </w:rPr>
          <w:t>IBM Canada, Cost of a Data Breach 2025 (July 30, 2025)</w:t>
        </w:r>
      </w:hyperlink>
    </w:p>
    <w:p w14:paraId="5F16C9C0" w14:textId="77777777" w:rsidR="002E64EB" w:rsidRDefault="00000000">
      <w:pPr>
        <w:spacing w:after="70"/>
      </w:pPr>
      <w:r>
        <w:rPr>
          <w:color w:val="4A4740"/>
          <w:sz w:val="17"/>
          <w:szCs w:val="17"/>
        </w:rPr>
        <w:t xml:space="preserve">9. </w:t>
      </w:r>
      <w:hyperlink r:id="rId24" w:history="1">
        <w:r>
          <w:rPr>
            <w:color w:val="1F4E79"/>
            <w:sz w:val="17"/>
            <w:szCs w:val="17"/>
            <w:u w:val="single"/>
          </w:rPr>
          <w:t>IBM Canada, Cost of a Data Breach 2023</w:t>
        </w:r>
      </w:hyperlink>
    </w:p>
    <w:p w14:paraId="0846A7BD" w14:textId="77777777" w:rsidR="002E64EB" w:rsidRDefault="00000000">
      <w:pPr>
        <w:spacing w:after="70"/>
      </w:pPr>
      <w:r>
        <w:rPr>
          <w:color w:val="4A4740"/>
          <w:sz w:val="17"/>
          <w:szCs w:val="17"/>
        </w:rPr>
        <w:t xml:space="preserve">10. </w:t>
      </w:r>
      <w:hyperlink r:id="rId25" w:history="1">
        <w:r>
          <w:rPr>
            <w:color w:val="1F4E79"/>
            <w:sz w:val="17"/>
            <w:szCs w:val="17"/>
            <w:u w:val="single"/>
          </w:rPr>
          <w:t>MobileSyrup, Average cost of data breaches rises in Canada: IBM (July 29, 2020)</w:t>
        </w:r>
      </w:hyperlink>
    </w:p>
    <w:p w14:paraId="199DC119" w14:textId="77777777" w:rsidR="002E64EB" w:rsidRDefault="00000000">
      <w:pPr>
        <w:spacing w:after="70"/>
      </w:pPr>
      <w:r>
        <w:rPr>
          <w:color w:val="4A4740"/>
          <w:sz w:val="17"/>
          <w:szCs w:val="17"/>
        </w:rPr>
        <w:t xml:space="preserve">11. </w:t>
      </w:r>
      <w:hyperlink r:id="rId26" w:history="1">
        <w:r>
          <w:rPr>
            <w:color w:val="1F4E79"/>
            <w:sz w:val="17"/>
            <w:szCs w:val="17"/>
            <w:u w:val="single"/>
          </w:rPr>
          <w:t>CTV News, Cost of data breaches in Canada hit new record in 2021: IBM</w:t>
        </w:r>
      </w:hyperlink>
    </w:p>
    <w:p w14:paraId="5405A1D7" w14:textId="77777777" w:rsidR="002E64EB" w:rsidRDefault="00000000">
      <w:pPr>
        <w:spacing w:after="70"/>
      </w:pPr>
      <w:r>
        <w:rPr>
          <w:color w:val="4A4740"/>
          <w:sz w:val="17"/>
          <w:szCs w:val="17"/>
        </w:rPr>
        <w:t xml:space="preserve">12. </w:t>
      </w:r>
      <w:hyperlink r:id="rId27" w:history="1">
        <w:r>
          <w:rPr>
            <w:color w:val="1F4E79"/>
            <w:sz w:val="17"/>
            <w:szCs w:val="17"/>
            <w:u w:val="single"/>
          </w:rPr>
          <w:t>Statistique Canada / Statistics Canada, Le Quotidien / The Daily (Oct 21, 2024)</w:t>
        </w:r>
      </w:hyperlink>
    </w:p>
    <w:p w14:paraId="771E9310" w14:textId="77777777" w:rsidR="002E64EB" w:rsidRDefault="00000000">
      <w:pPr>
        <w:spacing w:after="70"/>
      </w:pPr>
      <w:r>
        <w:rPr>
          <w:color w:val="4A4740"/>
          <w:sz w:val="17"/>
          <w:szCs w:val="17"/>
        </w:rPr>
        <w:t xml:space="preserve">13. </w:t>
      </w:r>
      <w:hyperlink r:id="rId28" w:history="1">
        <w:r>
          <w:rPr>
            <w:color w:val="1F4E79"/>
            <w:sz w:val="17"/>
            <w:szCs w:val="17"/>
            <w:u w:val="single"/>
          </w:rPr>
          <w:t>Statistics Canada, Computer Security Day every day (Nov 27, 2025)</w:t>
        </w:r>
      </w:hyperlink>
    </w:p>
    <w:p w14:paraId="6AFCC478" w14:textId="77777777" w:rsidR="002E64EB" w:rsidRDefault="00000000">
      <w:pPr>
        <w:spacing w:after="70"/>
      </w:pPr>
      <w:r>
        <w:rPr>
          <w:color w:val="4A4740"/>
          <w:sz w:val="17"/>
          <w:szCs w:val="17"/>
        </w:rPr>
        <w:t xml:space="preserve">14. </w:t>
      </w:r>
      <w:hyperlink r:id="rId29" w:history="1">
        <w:r>
          <w:rPr>
            <w:color w:val="1F4E79"/>
            <w:sz w:val="17"/>
            <w:szCs w:val="17"/>
            <w:u w:val="single"/>
          </w:rPr>
          <w:t>Gartner, 60% of organizations that ignore data governance culture challenges will fail to govern AI by 2027 (Sept 21, 2026)</w:t>
        </w:r>
      </w:hyperlink>
    </w:p>
    <w:p w14:paraId="7E0A32F1" w14:textId="77777777" w:rsidR="002E64EB" w:rsidRDefault="00000000">
      <w:pPr>
        <w:spacing w:after="70"/>
      </w:pPr>
      <w:r>
        <w:rPr>
          <w:color w:val="4A4740"/>
          <w:sz w:val="17"/>
          <w:szCs w:val="17"/>
        </w:rPr>
        <w:t xml:space="preserve">15. </w:t>
      </w:r>
      <w:hyperlink r:id="rId30" w:history="1">
        <w:r>
          <w:rPr>
            <w:color w:val="1F4E79"/>
            <w:sz w:val="17"/>
            <w:szCs w:val="17"/>
            <w:u w:val="single"/>
          </w:rPr>
          <w:t>Prosci, The correlation between change management and project success</w:t>
        </w:r>
      </w:hyperlink>
    </w:p>
    <w:p w14:paraId="6851316C" w14:textId="77777777" w:rsidR="002E64EB" w:rsidRDefault="00000000">
      <w:pPr>
        <w:spacing w:after="70"/>
      </w:pPr>
      <w:r>
        <w:rPr>
          <w:color w:val="4A4740"/>
          <w:sz w:val="17"/>
          <w:szCs w:val="17"/>
        </w:rPr>
        <w:t xml:space="preserve">16. </w:t>
      </w:r>
      <w:hyperlink r:id="rId31" w:history="1">
        <w:r>
          <w:rPr>
            <w:color w:val="1F4E79"/>
            <w:sz w:val="17"/>
            <w:szCs w:val="17"/>
            <w:u w:val="single"/>
          </w:rPr>
          <w:t>Prosci, Change management executive sponsor program</w:t>
        </w:r>
      </w:hyperlink>
    </w:p>
    <w:p w14:paraId="0DE1EF67" w14:textId="77777777" w:rsidR="002E64EB" w:rsidRDefault="00000000">
      <w:pPr>
        <w:spacing w:after="70"/>
      </w:pPr>
      <w:r>
        <w:rPr>
          <w:color w:val="4A4740"/>
          <w:sz w:val="17"/>
          <w:szCs w:val="17"/>
        </w:rPr>
        <w:t xml:space="preserve">17. </w:t>
      </w:r>
      <w:hyperlink r:id="rId32" w:history="1">
        <w:r>
          <w:rPr>
            <w:color w:val="1F4E79"/>
            <w:sz w:val="17"/>
            <w:szCs w:val="17"/>
            <w:u w:val="single"/>
          </w:rPr>
          <w:t>European Commission, Data Act</w:t>
        </w:r>
      </w:hyperlink>
    </w:p>
    <w:p w14:paraId="2FA9FCDD" w14:textId="77777777" w:rsidR="002E64EB" w:rsidRDefault="00000000">
      <w:pPr>
        <w:spacing w:after="70"/>
      </w:pPr>
      <w:r>
        <w:rPr>
          <w:color w:val="4A4740"/>
          <w:sz w:val="17"/>
          <w:szCs w:val="17"/>
        </w:rPr>
        <w:t xml:space="preserve">18. </w:t>
      </w:r>
      <w:hyperlink r:id="rId33" w:history="1">
        <w:r>
          <w:rPr>
            <w:color w:val="1F4E79"/>
            <w:sz w:val="17"/>
            <w:szCs w:val="17"/>
            <w:u w:val="single"/>
          </w:rPr>
          <w:t>Heuking, Data Act: access by design becomes mandatory as of 12 September (2026)</w:t>
        </w:r>
      </w:hyperlink>
    </w:p>
    <w:p w14:paraId="275677D6" w14:textId="77777777" w:rsidR="002E64EB" w:rsidRDefault="00000000">
      <w:pPr>
        <w:spacing w:after="70"/>
      </w:pPr>
      <w:r>
        <w:rPr>
          <w:color w:val="4A4740"/>
          <w:sz w:val="17"/>
          <w:szCs w:val="17"/>
        </w:rPr>
        <w:t xml:space="preserve">19. </w:t>
      </w:r>
      <w:hyperlink r:id="rId34" w:history="1">
        <w:r>
          <w:rPr>
            <w:color w:val="1F4E79"/>
            <w:sz w:val="17"/>
            <w:szCs w:val="17"/>
            <w:u w:val="single"/>
          </w:rPr>
          <w:t>European Commission, Data Union Strategy: Unlocking data for AI (Nov 19, 2025)</w:t>
        </w:r>
      </w:hyperlink>
    </w:p>
    <w:p w14:paraId="3B402682" w14:textId="77777777" w:rsidR="002E64EB" w:rsidRDefault="00000000">
      <w:pPr>
        <w:spacing w:after="70"/>
      </w:pPr>
      <w:r>
        <w:rPr>
          <w:color w:val="4A4740"/>
          <w:sz w:val="17"/>
          <w:szCs w:val="17"/>
        </w:rPr>
        <w:t xml:space="preserve">20. </w:t>
      </w:r>
      <w:hyperlink r:id="rId35" w:history="1">
        <w:r>
          <w:rPr>
            <w:color w:val="1F4E79"/>
            <w:sz w:val="17"/>
            <w:szCs w:val="17"/>
            <w:u w:val="single"/>
          </w:rPr>
          <w:t>BMW Group, Catena-X connects digital supply chains (Dec 11, 2025)</w:t>
        </w:r>
      </w:hyperlink>
    </w:p>
    <w:p w14:paraId="271213EF" w14:textId="77777777" w:rsidR="002E64EB" w:rsidRDefault="00000000">
      <w:pPr>
        <w:spacing w:after="70"/>
      </w:pPr>
      <w:r>
        <w:rPr>
          <w:color w:val="4A4740"/>
          <w:sz w:val="17"/>
          <w:szCs w:val="17"/>
        </w:rPr>
        <w:t xml:space="preserve">21. </w:t>
      </w:r>
      <w:hyperlink r:id="rId36" w:history="1">
        <w:r>
          <w:rPr>
            <w:color w:val="1F4E79"/>
            <w:sz w:val="17"/>
            <w:szCs w:val="17"/>
            <w:u w:val="single"/>
          </w:rPr>
          <w:t>Catena-X, Network grows by more than a factor of five to over 1,000 companies (Sept 21, 2026)</w:t>
        </w:r>
      </w:hyperlink>
    </w:p>
    <w:p w14:paraId="7B936EF8" w14:textId="77777777" w:rsidR="002E64EB" w:rsidRDefault="00000000">
      <w:pPr>
        <w:spacing w:after="70"/>
      </w:pPr>
      <w:r>
        <w:rPr>
          <w:color w:val="4A4740"/>
          <w:sz w:val="17"/>
          <w:szCs w:val="17"/>
        </w:rPr>
        <w:t xml:space="preserve">22. </w:t>
      </w:r>
      <w:hyperlink r:id="rId37" w:history="1">
        <w:r>
          <w:rPr>
            <w:color w:val="1F4E79"/>
            <w:sz w:val="17"/>
            <w:szCs w:val="17"/>
            <w:u w:val="single"/>
          </w:rPr>
          <w:t>Catena-X, World's first cross-border automotive data ecosystem between China and Europe (July 22, 2026)</w:t>
        </w:r>
      </w:hyperlink>
    </w:p>
    <w:p w14:paraId="6215144E" w14:textId="77777777" w:rsidR="002E64EB" w:rsidRDefault="00000000">
      <w:pPr>
        <w:spacing w:after="70"/>
      </w:pPr>
      <w:r>
        <w:rPr>
          <w:color w:val="4A4740"/>
          <w:sz w:val="17"/>
          <w:szCs w:val="17"/>
        </w:rPr>
        <w:t xml:space="preserve">23. </w:t>
      </w:r>
      <w:hyperlink r:id="rId38" w:history="1">
        <w:r>
          <w:rPr>
            <w:color w:val="1F4E79"/>
            <w:sz w:val="17"/>
            <w:szCs w:val="17"/>
            <w:u w:val="single"/>
          </w:rPr>
          <w:t>Regulation (EU) 2023/1542 on batteries, art. 77 (battery passport)</w:t>
        </w:r>
      </w:hyperlink>
    </w:p>
    <w:p w14:paraId="5DB8EA0C" w14:textId="77777777" w:rsidR="002E64EB" w:rsidRDefault="00000000">
      <w:pPr>
        <w:spacing w:after="70"/>
      </w:pPr>
      <w:r>
        <w:rPr>
          <w:color w:val="4A4740"/>
          <w:sz w:val="17"/>
          <w:szCs w:val="17"/>
        </w:rPr>
        <w:t xml:space="preserve">24. </w:t>
      </w:r>
      <w:hyperlink r:id="rId39" w:history="1">
        <w:r>
          <w:rPr>
            <w:color w:val="1F4E79"/>
            <w:sz w:val="17"/>
            <w:szCs w:val="17"/>
            <w:u w:val="single"/>
          </w:rPr>
          <w:t>Government of Canada (ISED), Canada's National AI Strategy: AI for All (June 8, 2026)</w:t>
        </w:r>
      </w:hyperlink>
    </w:p>
    <w:p w14:paraId="19F7B5EA" w14:textId="77777777" w:rsidR="002E64EB" w:rsidRDefault="00000000">
      <w:pPr>
        <w:spacing w:after="70"/>
      </w:pPr>
      <w:r>
        <w:rPr>
          <w:color w:val="4A4740"/>
          <w:sz w:val="17"/>
          <w:szCs w:val="17"/>
        </w:rPr>
        <w:t xml:space="preserve">25. </w:t>
      </w:r>
      <w:hyperlink r:id="rId40" w:history="1">
        <w:r>
          <w:rPr>
            <w:color w:val="1F4E79"/>
            <w:sz w:val="17"/>
            <w:szCs w:val="17"/>
            <w:u w:val="single"/>
          </w:rPr>
          <w:t>Baker Donelson, Ten takeaways from IBM's 2026 Cost of a Data Breach report</w:t>
        </w:r>
      </w:hyperlink>
    </w:p>
    <w:sectPr w:rsidR="002E64EB">
      <w:footerReference w:type="default" r:id="rId41"/>
      <w:pgSz w:w="12240" w:h="15840"/>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9CBB5" w14:textId="77777777" w:rsidR="00245FB3" w:rsidRDefault="00245FB3">
      <w:r>
        <w:separator/>
      </w:r>
    </w:p>
  </w:endnote>
  <w:endnote w:type="continuationSeparator" w:id="0">
    <w:p w14:paraId="54A2A4CA" w14:textId="77777777" w:rsidR="00245FB3" w:rsidRDefault="00245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C44C" w14:textId="77777777" w:rsidR="002E64EB" w:rsidRDefault="00000000">
    <w:pPr>
      <w:jc w:val="right"/>
    </w:pPr>
    <w:r>
      <w:rPr>
        <w:color w:val="8A8478"/>
        <w:sz w:val="16"/>
        <w:szCs w:val="16"/>
      </w:rPr>
      <w:t xml:space="preserve">Jerome Potvin (Jay)  ·  Anatomy of a Wrong Quote  ·  </w:t>
    </w:r>
    <w:r>
      <w:rPr>
        <w:color w:val="8A8478"/>
        <w:sz w:val="16"/>
        <w:szCs w:val="16"/>
      </w:rPr>
      <w:fldChar w:fldCharType="begin"/>
    </w:r>
    <w:r>
      <w:rPr>
        <w:color w:val="8A8478"/>
        <w:sz w:val="16"/>
        <w:szCs w:val="16"/>
      </w:rPr>
      <w:instrText>PAGE</w:instrText>
    </w:r>
    <w:r>
      <w:rPr>
        <w:color w:val="8A8478"/>
        <w:sz w:val="16"/>
        <w:szCs w:val="16"/>
      </w:rPr>
      <w:fldChar w:fldCharType="separate"/>
    </w:r>
    <w:r w:rsidR="008C2354">
      <w:rPr>
        <w:noProof/>
        <w:color w:val="8A8478"/>
        <w:sz w:val="16"/>
        <w:szCs w:val="16"/>
      </w:rPr>
      <w:t>1</w:t>
    </w:r>
    <w:r>
      <w:rPr>
        <w:color w:val="8A84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F7CC" w14:textId="77777777" w:rsidR="00245FB3" w:rsidRDefault="00245FB3">
      <w:r>
        <w:separator/>
      </w:r>
    </w:p>
  </w:footnote>
  <w:footnote w:type="continuationSeparator" w:id="0">
    <w:p w14:paraId="5E3B23C2" w14:textId="77777777" w:rsidR="00245FB3" w:rsidRDefault="00245F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E7FD5"/>
    <w:multiLevelType w:val="hybridMultilevel"/>
    <w:tmpl w:val="DE6A2082"/>
    <w:lvl w:ilvl="0" w:tplc="9118B3EC">
      <w:start w:val="1"/>
      <w:numFmt w:val="bullet"/>
      <w:lvlText w:val="●"/>
      <w:lvlJc w:val="left"/>
      <w:pPr>
        <w:ind w:left="720" w:hanging="360"/>
      </w:pPr>
    </w:lvl>
    <w:lvl w:ilvl="1" w:tplc="FCCCAD54">
      <w:start w:val="1"/>
      <w:numFmt w:val="bullet"/>
      <w:lvlText w:val="○"/>
      <w:lvlJc w:val="left"/>
      <w:pPr>
        <w:ind w:left="1440" w:hanging="360"/>
      </w:pPr>
    </w:lvl>
    <w:lvl w:ilvl="2" w:tplc="20941A5C">
      <w:start w:val="1"/>
      <w:numFmt w:val="bullet"/>
      <w:lvlText w:val="■"/>
      <w:lvlJc w:val="left"/>
      <w:pPr>
        <w:ind w:left="2160" w:hanging="360"/>
      </w:pPr>
    </w:lvl>
    <w:lvl w:ilvl="3" w:tplc="A4A83FC8">
      <w:start w:val="1"/>
      <w:numFmt w:val="bullet"/>
      <w:lvlText w:val="●"/>
      <w:lvlJc w:val="left"/>
      <w:pPr>
        <w:ind w:left="2880" w:hanging="360"/>
      </w:pPr>
    </w:lvl>
    <w:lvl w:ilvl="4" w:tplc="655036D8">
      <w:start w:val="1"/>
      <w:numFmt w:val="bullet"/>
      <w:lvlText w:val="○"/>
      <w:lvlJc w:val="left"/>
      <w:pPr>
        <w:ind w:left="3600" w:hanging="360"/>
      </w:pPr>
    </w:lvl>
    <w:lvl w:ilvl="5" w:tplc="6ACCAB38">
      <w:start w:val="1"/>
      <w:numFmt w:val="bullet"/>
      <w:lvlText w:val="■"/>
      <w:lvlJc w:val="left"/>
      <w:pPr>
        <w:ind w:left="4320" w:hanging="360"/>
      </w:pPr>
    </w:lvl>
    <w:lvl w:ilvl="6" w:tplc="EE8C226E">
      <w:start w:val="1"/>
      <w:numFmt w:val="bullet"/>
      <w:lvlText w:val="●"/>
      <w:lvlJc w:val="left"/>
      <w:pPr>
        <w:ind w:left="5040" w:hanging="360"/>
      </w:pPr>
    </w:lvl>
    <w:lvl w:ilvl="7" w:tplc="1EE0BBA4">
      <w:start w:val="1"/>
      <w:numFmt w:val="bullet"/>
      <w:lvlText w:val="●"/>
      <w:lvlJc w:val="left"/>
      <w:pPr>
        <w:ind w:left="5760" w:hanging="360"/>
      </w:pPr>
    </w:lvl>
    <w:lvl w:ilvl="8" w:tplc="F9B06E74">
      <w:start w:val="1"/>
      <w:numFmt w:val="bullet"/>
      <w:lvlText w:val="●"/>
      <w:lvlJc w:val="left"/>
      <w:pPr>
        <w:ind w:left="6480" w:hanging="360"/>
      </w:pPr>
    </w:lvl>
  </w:abstractNum>
  <w:abstractNum w:abstractNumId="1" w15:restartNumberingAfterBreak="0">
    <w:nsid w:val="274C42ED"/>
    <w:multiLevelType w:val="hybridMultilevel"/>
    <w:tmpl w:val="7FD444F0"/>
    <w:lvl w:ilvl="0" w:tplc="04BCFA6E">
      <w:start w:val="1"/>
      <w:numFmt w:val="decimal"/>
      <w:lvlText w:val="%1."/>
      <w:lvlJc w:val="left"/>
      <w:pPr>
        <w:ind w:left="440" w:hanging="340"/>
      </w:pPr>
      <w:rPr>
        <w:b/>
        <w:bCs/>
        <w:color w:val="C8102E"/>
      </w:rPr>
    </w:lvl>
    <w:lvl w:ilvl="1" w:tplc="E1004802">
      <w:numFmt w:val="decimal"/>
      <w:lvlText w:val=""/>
      <w:lvlJc w:val="left"/>
    </w:lvl>
    <w:lvl w:ilvl="2" w:tplc="C5DC1652">
      <w:numFmt w:val="decimal"/>
      <w:lvlText w:val=""/>
      <w:lvlJc w:val="left"/>
    </w:lvl>
    <w:lvl w:ilvl="3" w:tplc="A0D0C90C">
      <w:numFmt w:val="decimal"/>
      <w:lvlText w:val=""/>
      <w:lvlJc w:val="left"/>
    </w:lvl>
    <w:lvl w:ilvl="4" w:tplc="6BCCF8A4">
      <w:numFmt w:val="decimal"/>
      <w:lvlText w:val=""/>
      <w:lvlJc w:val="left"/>
    </w:lvl>
    <w:lvl w:ilvl="5" w:tplc="340293D4">
      <w:numFmt w:val="decimal"/>
      <w:lvlText w:val=""/>
      <w:lvlJc w:val="left"/>
    </w:lvl>
    <w:lvl w:ilvl="6" w:tplc="B3987AFE">
      <w:numFmt w:val="decimal"/>
      <w:lvlText w:val=""/>
      <w:lvlJc w:val="left"/>
    </w:lvl>
    <w:lvl w:ilvl="7" w:tplc="CB3E80CE">
      <w:numFmt w:val="decimal"/>
      <w:lvlText w:val=""/>
      <w:lvlJc w:val="left"/>
    </w:lvl>
    <w:lvl w:ilvl="8" w:tplc="E6B693DE">
      <w:numFmt w:val="decimal"/>
      <w:lvlText w:val=""/>
      <w:lvlJc w:val="left"/>
    </w:lvl>
  </w:abstractNum>
  <w:abstractNum w:abstractNumId="2" w15:restartNumberingAfterBreak="0">
    <w:nsid w:val="35181C48"/>
    <w:multiLevelType w:val="hybridMultilevel"/>
    <w:tmpl w:val="77DCB2E4"/>
    <w:lvl w:ilvl="0" w:tplc="607E3D18">
      <w:start w:val="1"/>
      <w:numFmt w:val="bullet"/>
      <w:lvlText w:val="▪"/>
      <w:lvlJc w:val="left"/>
      <w:pPr>
        <w:ind w:left="400" w:hanging="260"/>
      </w:pPr>
      <w:rPr>
        <w:color w:val="C8102E"/>
      </w:rPr>
    </w:lvl>
    <w:lvl w:ilvl="1" w:tplc="4AAC12CC">
      <w:numFmt w:val="decimal"/>
      <w:lvlText w:val=""/>
      <w:lvlJc w:val="left"/>
    </w:lvl>
    <w:lvl w:ilvl="2" w:tplc="5C6AAF4E">
      <w:numFmt w:val="decimal"/>
      <w:lvlText w:val=""/>
      <w:lvlJc w:val="left"/>
    </w:lvl>
    <w:lvl w:ilvl="3" w:tplc="CFEE54FA">
      <w:numFmt w:val="decimal"/>
      <w:lvlText w:val=""/>
      <w:lvlJc w:val="left"/>
    </w:lvl>
    <w:lvl w:ilvl="4" w:tplc="7F56699C">
      <w:numFmt w:val="decimal"/>
      <w:lvlText w:val=""/>
      <w:lvlJc w:val="left"/>
    </w:lvl>
    <w:lvl w:ilvl="5" w:tplc="012A2240">
      <w:numFmt w:val="decimal"/>
      <w:lvlText w:val=""/>
      <w:lvlJc w:val="left"/>
    </w:lvl>
    <w:lvl w:ilvl="6" w:tplc="5AC47208">
      <w:numFmt w:val="decimal"/>
      <w:lvlText w:val=""/>
      <w:lvlJc w:val="left"/>
    </w:lvl>
    <w:lvl w:ilvl="7" w:tplc="FCEC80CE">
      <w:numFmt w:val="decimal"/>
      <w:lvlText w:val=""/>
      <w:lvlJc w:val="left"/>
    </w:lvl>
    <w:lvl w:ilvl="8" w:tplc="DA4C51E2">
      <w:numFmt w:val="decimal"/>
      <w:lvlText w:val=""/>
      <w:lvlJc w:val="left"/>
    </w:lvl>
  </w:abstractNum>
  <w:num w:numId="1" w16cid:durableId="1296791313">
    <w:abstractNumId w:val="0"/>
    <w:lvlOverride w:ilvl="0">
      <w:startOverride w:val="1"/>
    </w:lvlOverride>
  </w:num>
  <w:num w:numId="2" w16cid:durableId="151719507">
    <w:abstractNumId w:val="2"/>
    <w:lvlOverride w:ilvl="0">
      <w:startOverride w:val="1"/>
    </w:lvlOverride>
  </w:num>
  <w:num w:numId="3" w16cid:durableId="10765868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4EB"/>
    <w:rsid w:val="00245FB3"/>
    <w:rsid w:val="002D202B"/>
    <w:rsid w:val="002E64EB"/>
    <w:rsid w:val="008C23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E90617C"/>
  <w15:docId w15:val="{867B55D7-F07D-9B44-BCF1-B75FE9D5A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7191E"/>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60" w:after="200"/>
      <w:outlineLvl w:val="0"/>
    </w:pPr>
    <w:rPr>
      <w:rFonts w:ascii="Georgia" w:eastAsia="Georgia" w:hAnsi="Georgia" w:cs="Georgia"/>
      <w:b/>
      <w:bCs/>
      <w:sz w:val="36"/>
      <w:szCs w:val="36"/>
    </w:rPr>
  </w:style>
  <w:style w:type="paragraph" w:styleId="Heading2">
    <w:name w:val="heading 2"/>
    <w:uiPriority w:val="9"/>
    <w:semiHidden/>
    <w:unhideWhenUsed/>
    <w:qFormat/>
    <w:pPr>
      <w:keepNext/>
      <w:spacing w:before="200" w:after="120"/>
      <w:outlineLvl w:val="1"/>
    </w:pPr>
    <w:rPr>
      <w:rFonts w:ascii="Georgia" w:eastAsia="Georgia" w:hAnsi="Georgia" w:cs="Georgia"/>
      <w:b/>
      <w:bCs/>
      <w:color w:val="C810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dataversity.net/articles/common-master-data-management-mdm-pitfalls/" TargetMode="External"/><Relationship Id="rId26" Type="http://schemas.openxmlformats.org/officeDocument/2006/relationships/hyperlink" Target="https://calgary.ctvnews.ca/cost-of-data-breaches-in-canada-hit-new-record-in-2021-ibm-1.5526127" TargetMode="External"/><Relationship Id="rId39" Type="http://schemas.openxmlformats.org/officeDocument/2006/relationships/hyperlink" Target="https://ised-isde.canada.ca/site/ised/en/canadas-national-artificial-intelligence-strategy-ai-all" TargetMode="External"/><Relationship Id="rId21" Type="http://schemas.openxmlformats.org/officeDocument/2006/relationships/hyperlink" Target="https://www.legisquebec.gouv.qc.ca/fr/document/lc/P-39.1" TargetMode="External"/><Relationship Id="rId34" Type="http://schemas.openxmlformats.org/officeDocument/2006/relationships/hyperlink" Target="https://digital-strategy.ec.europa.eu/en/library/data-union-strategy-unlocking-data-ai"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gartner.com/en/newsroom/press-releases/2026-04-16-gartner-says-organizations-with-successful-ai-initiatives-invest-up-to-four-times-more-in-data-and-analytics-foundations" TargetMode="External"/><Relationship Id="rId20" Type="http://schemas.openxmlformats.org/officeDocument/2006/relationships/hyperlink" Target="https://www.iiot-world.com/artificial-intelligence-ml/artificial-intelligence/data-governance-culture-change/" TargetMode="External"/><Relationship Id="rId29" Type="http://schemas.openxmlformats.org/officeDocument/2006/relationships/hyperlink" Target="https://www.gartner.com/en/newsroom/press-releases/2026-09-21-gartner-predicts-60-percent-of-organizations-that-ignore-data-governance-culture-challenges-will-fail-to-govern-ai-successfully-by-2027"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canada.newsroom.ibm.com/2023-IBM-Cost-of-a-Data-Breach-Report-Canadian-businesses-are-being-hit-hard" TargetMode="External"/><Relationship Id="rId32" Type="http://schemas.openxmlformats.org/officeDocument/2006/relationships/hyperlink" Target="https://digital-strategy.ec.europa.eu/en/policies/data-act" TargetMode="External"/><Relationship Id="rId37" Type="http://schemas.openxmlformats.org/officeDocument/2006/relationships/hyperlink" Target="https://catena-x.net/news/catena-x-launches-worlds-first-cross-border-automotive-industry-data-ecosystem-between-china-and-europe/" TargetMode="External"/><Relationship Id="rId40" Type="http://schemas.openxmlformats.org/officeDocument/2006/relationships/hyperlink" Target="https://www.bakerdonelson.com/ten-takeaways-from-ibms-2026-cost-of-a-data-breach-report"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canada.newsroom.ibm.com/2025-07-30-IBM-Report-Canadians-Data-Security-Under-Increased-Threat,-While-Breach-Costs-Surge" TargetMode="External"/><Relationship Id="rId28" Type="http://schemas.openxmlformats.org/officeDocument/2006/relationships/hyperlink" Target="https://www.statcan.gc.ca/o1/en/plus/8764-computer-security-day-every-day" TargetMode="External"/><Relationship Id="rId36" Type="http://schemas.openxmlformats.org/officeDocument/2006/relationships/hyperlink" Target="https://catena-x.net/news/catena-x-network-grows-by-more-than-a-factor-of-five-to-over-1000-companies/" TargetMode="External"/><Relationship Id="rId10" Type="http://schemas.openxmlformats.org/officeDocument/2006/relationships/image" Target="media/image4.png"/><Relationship Id="rId19" Type="http://schemas.openxmlformats.org/officeDocument/2006/relationships/hyperlink" Target="https://www.gartner.com/en/newsroom/press-releases/2024-02-28-gartner-predicts-80-percent-of-data-and-analytics-governance-initiatives-will-fail-by-2027-due-to-a-lack-of-a-real-or-manufactured-crisis-" TargetMode="External"/><Relationship Id="rId31" Type="http://schemas.openxmlformats.org/officeDocument/2006/relationships/hyperlink" Target="https://www.prosci.com/training/change-management-executive-sponsor-progra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canada.newsroom.ibm.com/2026-07-29-IBM-Report-Canadas-Data-Breach-Costs-Hit-Record-High-as-Attacks-Target-Critical-Infrastructure" TargetMode="External"/><Relationship Id="rId27" Type="http://schemas.openxmlformats.org/officeDocument/2006/relationships/hyperlink" Target="https://www150.statcan.gc.ca/n1/daily-quotidien/241021/dq241021a-eng.htm" TargetMode="External"/><Relationship Id="rId30" Type="http://schemas.openxmlformats.org/officeDocument/2006/relationships/hyperlink" Target="https://www.prosci.com/blog/the-correlation-between-change-management-and-project-success" TargetMode="External"/><Relationship Id="rId35" Type="http://schemas.openxmlformats.org/officeDocument/2006/relationships/hyperlink" Target="https://www.bmwgroup.com/en/news/general/2025/catena-x-connects-digital-supply-chains.html"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www.gartner.com/en/newsroom/press-releases/2025-02-20-gartner-survey-finds-one-third-of-cdaos-cite-measuring-data-analytics-and-ai-impact-as-top-challenge" TargetMode="External"/><Relationship Id="rId25" Type="http://schemas.openxmlformats.org/officeDocument/2006/relationships/hyperlink" Target="https://mobilesyrup.com/2020/07/29/average-cost-data-breaches-rise-canada-ibm/" TargetMode="External"/><Relationship Id="rId33" Type="http://schemas.openxmlformats.org/officeDocument/2006/relationships/hyperlink" Target="https://www.heuking.de/en/news-events/newsletter-articles/detail/data-act-access-by-design-becomes-mandatory-as-of-12-september-what-companies-need-to-know-now.html" TargetMode="External"/><Relationship Id="rId38" Type="http://schemas.openxmlformats.org/officeDocument/2006/relationships/hyperlink" Target="https://eur-lex.europa.eu/eli/reg/2023/1542/oj/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2951</Words>
  <Characters>16823</Characters>
  <Application>Microsoft Office Word</Application>
  <DocSecurity>0</DocSecurity>
  <Lines>140</Lines>
  <Paragraphs>39</Paragraphs>
  <ScaleCrop>false</ScaleCrop>
  <Company/>
  <LinksUpToDate>false</LinksUpToDate>
  <CharactersWithSpaces>19735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Anatomy of a Wrong Quote</dc:title>
  <dc:creator>Jerome Potvin (Jay)</dc:creator>
  <cp:lastModifiedBy>Jérôme Potvin</cp:lastModifiedBy>
  <cp:revision>2</cp:revision>
  <dcterms:created xsi:type="dcterms:W3CDTF">2026-10-05T21:15:00Z</dcterms:created>
  <dcterms:modified xsi:type="dcterms:W3CDTF">2026-10-05T21:15:00Z</dcterms:modified>
</cp:coreProperties>
</file>