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5021" w:type="dxa"/>
        <w:tblLook w:val="04A0" w:firstRow="1" w:lastRow="0" w:firstColumn="1" w:lastColumn="0" w:noHBand="0" w:noVBand="1"/>
      </w:tblPr>
      <w:tblGrid>
        <w:gridCol w:w="415"/>
        <w:gridCol w:w="827"/>
        <w:gridCol w:w="1992"/>
        <w:gridCol w:w="1161"/>
        <w:gridCol w:w="971"/>
        <w:gridCol w:w="1131"/>
        <w:gridCol w:w="1026"/>
        <w:gridCol w:w="2411"/>
        <w:gridCol w:w="842"/>
        <w:gridCol w:w="4245"/>
      </w:tblGrid>
      <w:tr w:rsidR="004E49EB" w:rsidRPr="00010558" w14:paraId="49D7C4A3" w14:textId="77777777" w:rsidTr="004E49EB">
        <w:trPr>
          <w:trHeight w:val="1408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4E49EB" w:rsidRPr="00010558" w14:paraId="75AA5C45" w14:textId="77777777" w:rsidTr="004E49EB">
        <w:trPr>
          <w:trHeight w:val="1689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CE47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purpose and need is not well-defined.</w:t>
            </w:r>
          </w:p>
          <w:p w14:paraId="6EB1646F" w14:textId="575C3EC9" w:rsidR="00CF3AAE" w:rsidRPr="00010558" w:rsidRDefault="00CF3AA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BA0EE4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4E49EB" w:rsidRPr="00010558" w14:paraId="7FBB2071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CD08" w14:textId="75DF49E3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074F6" w14:textId="736342EB" w:rsidR="000C41AD" w:rsidRDefault="002C10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DF07" w14:textId="79DDE540" w:rsidR="000C41AD" w:rsidRDefault="00487D3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The project goes signif</w:t>
            </w:r>
            <w:r w:rsidR="00057CE9">
              <w:rPr>
                <w:rFonts w:cs="Calibri"/>
              </w:rPr>
              <w:t>icantly over budget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D6FEB55" w14:textId="6DD5FA0D" w:rsidR="000C41AD" w:rsidRDefault="00487D3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9A3E2EA" w14:textId="62C78C21" w:rsidR="000C41AD" w:rsidRDefault="002C10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4E5FA" w14:textId="2D249928" w:rsidR="000C41AD" w:rsidRDefault="002C10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FC9" w14:textId="40F99A07" w:rsidR="000C41AD" w:rsidRDefault="00A77CC2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="00C408A7">
              <w:rPr>
                <w:rFonts w:cs="Calibri"/>
              </w:rPr>
              <w:t>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254C" w14:textId="68D8E6E0" w:rsidR="000C41AD" w:rsidRDefault="006B102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Review b</w:t>
            </w:r>
            <w:r w:rsidR="006661B0">
              <w:rPr>
                <w:rFonts w:cs="Calibri"/>
              </w:rPr>
              <w:t xml:space="preserve">udget </w:t>
            </w:r>
            <w:r>
              <w:rPr>
                <w:rFonts w:cs="Calibri"/>
              </w:rPr>
              <w:t>after each major milestone</w:t>
            </w:r>
            <w:r w:rsidR="006048A8">
              <w:rPr>
                <w:rFonts w:cs="Calibri"/>
              </w:rPr>
              <w:t xml:space="preserve">: </w:t>
            </w:r>
            <w:r w:rsidR="006661B0">
              <w:rPr>
                <w:rFonts w:cs="Calibri"/>
              </w:rPr>
              <w:t>adjust if necessar</w:t>
            </w:r>
            <w:r w:rsidR="006048A8">
              <w:rPr>
                <w:rFonts w:cs="Calibri"/>
              </w:rPr>
              <w:t xml:space="preserve">y or </w:t>
            </w:r>
            <w:r w:rsidR="00EF5A67">
              <w:rPr>
                <w:rFonts w:cs="Calibri"/>
              </w:rPr>
              <w:t xml:space="preserve">overspend looks </w:t>
            </w:r>
            <w:r w:rsidR="006661B0">
              <w:rPr>
                <w:rFonts w:cs="Calibri"/>
              </w:rPr>
              <w:t>unavoidable</w:t>
            </w:r>
            <w:r w:rsidR="00C86C26">
              <w:rPr>
                <w:rFonts w:cs="Calibri"/>
              </w:rPr>
              <w:t xml:space="preserve">. </w:t>
            </w:r>
            <w:r w:rsidR="000D6492">
              <w:rPr>
                <w:rFonts w:cs="Calibri"/>
              </w:rPr>
              <w:t>Delete unnecessary</w:t>
            </w:r>
            <w:r w:rsidR="00C86C26">
              <w:rPr>
                <w:rFonts w:cs="Calibri"/>
              </w:rPr>
              <w:t xml:space="preserve"> </w:t>
            </w:r>
            <w:r w:rsidR="00D35A21">
              <w:rPr>
                <w:rFonts w:cs="Calibri"/>
              </w:rPr>
              <w:t>features to mitigate overspend</w:t>
            </w:r>
            <w:r w:rsidR="008B69D8">
              <w:rPr>
                <w:rFonts w:cs="Calibri"/>
              </w:rPr>
              <w:t xml:space="preserve"> where possible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C84C" w14:textId="6023B9D8" w:rsidR="000C41AD" w:rsidRDefault="007C79DC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784A" w14:textId="77777777" w:rsidR="000C41AD" w:rsidRDefault="003A14FA" w:rsidP="00010558">
            <w:pPr>
              <w:spacing w:after="0" w:line="240" w:lineRule="auto"/>
            </w:pPr>
            <w:r>
              <w:t>Project Budget</w:t>
            </w:r>
          </w:p>
          <w:p w14:paraId="4165F6D5" w14:textId="5259ACD0" w:rsidR="008B69D8" w:rsidRDefault="008B69D8" w:rsidP="00010558">
            <w:pPr>
              <w:spacing w:after="0" w:line="240" w:lineRule="auto"/>
            </w:pPr>
            <w:r>
              <w:t>Project Features List/Plan</w:t>
            </w:r>
          </w:p>
        </w:tc>
      </w:tr>
      <w:tr w:rsidR="004E49EB" w:rsidRPr="00010558" w14:paraId="3BCCABE1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2EF7F" w14:textId="52449414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AACF6" w14:textId="72132E5C" w:rsidR="000C41AD" w:rsidRDefault="00DE3F3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1A55" w14:textId="4DBE5350" w:rsidR="000C41AD" w:rsidRDefault="00D85B8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="007E4736">
              <w:rPr>
                <w:rFonts w:cs="Calibri"/>
              </w:rPr>
              <w:t>release delayed</w:t>
            </w:r>
            <w:r>
              <w:rPr>
                <w:rFonts w:cs="Calibri"/>
              </w:rPr>
              <w:t xml:space="preserve"> when </w:t>
            </w:r>
            <w:r w:rsidR="00A20CD5">
              <w:rPr>
                <w:rFonts w:cs="Calibri"/>
              </w:rPr>
              <w:t xml:space="preserve">key </w:t>
            </w:r>
            <w:r>
              <w:rPr>
                <w:rFonts w:cs="Calibri"/>
              </w:rPr>
              <w:t>software development team</w:t>
            </w:r>
            <w:r w:rsidR="00A20CD5">
              <w:rPr>
                <w:rFonts w:cs="Calibri"/>
              </w:rPr>
              <w:t xml:space="preserve"> members</w:t>
            </w:r>
            <w:r>
              <w:rPr>
                <w:rFonts w:cs="Calibri"/>
              </w:rPr>
              <w:t xml:space="preserve"> get Covid-19 and have to go into isolation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610F4DE" w14:textId="7BB7B017" w:rsidR="000C41AD" w:rsidRDefault="00A20CD5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8E8EC9" w14:textId="7EC61E95" w:rsidR="000C41AD" w:rsidRDefault="007E47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A052" w14:textId="1B9C4FAD" w:rsidR="000C41AD" w:rsidRDefault="007E47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 to 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B2176" w14:textId="4830DF73" w:rsidR="000C41AD" w:rsidRDefault="007E47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="00B82A37">
              <w:rPr>
                <w:rFonts w:cs="Calibri"/>
              </w:rPr>
              <w:t>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8422" w14:textId="39982A2D" w:rsidR="000C41AD" w:rsidRDefault="00F07FE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Split the software development team </w:t>
            </w:r>
            <w:r w:rsidR="002C43E1">
              <w:rPr>
                <w:rFonts w:cs="Calibri"/>
              </w:rPr>
              <w:t xml:space="preserve">into </w:t>
            </w:r>
            <w:r>
              <w:rPr>
                <w:rFonts w:cs="Calibri"/>
              </w:rPr>
              <w:t xml:space="preserve">two bubbles </w:t>
            </w:r>
            <w:r w:rsidR="002C43E1">
              <w:rPr>
                <w:rFonts w:cs="Calibri"/>
              </w:rPr>
              <w:t>from the start of the project, e</w:t>
            </w:r>
            <w:r>
              <w:rPr>
                <w:rFonts w:cs="Calibri"/>
              </w:rPr>
              <w:t xml:space="preserve">nsure </w:t>
            </w:r>
            <w:r w:rsidR="002C43E1">
              <w:rPr>
                <w:rFonts w:cs="Calibri"/>
              </w:rPr>
              <w:t>b</w:t>
            </w:r>
            <w:r w:rsidR="006B1023">
              <w:rPr>
                <w:rFonts w:cs="Calibri"/>
              </w:rPr>
              <w:t>oth</w:t>
            </w:r>
            <w:r w:rsidR="002C43E1">
              <w:rPr>
                <w:rFonts w:cs="Calibri"/>
              </w:rPr>
              <w:t xml:space="preserve"> team</w:t>
            </w:r>
            <w:r w:rsidR="006B1023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</w:t>
            </w:r>
            <w:r w:rsidR="006B1023">
              <w:rPr>
                <w:rFonts w:cs="Calibri"/>
              </w:rPr>
              <w:t>are</w:t>
            </w:r>
            <w:r>
              <w:rPr>
                <w:rFonts w:cs="Calibri"/>
              </w:rPr>
              <w:t xml:space="preserve"> set up to work from home</w:t>
            </w:r>
            <w:r w:rsidR="006B1023">
              <w:rPr>
                <w:rFonts w:cs="Calibri"/>
              </w:rPr>
              <w:t>, agree mask use onsite</w:t>
            </w:r>
            <w:r w:rsidR="005945C9">
              <w:rPr>
                <w:rFonts w:cs="Calibri"/>
              </w:rPr>
              <w:t xml:space="preserve"> at all times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CE525" w14:textId="15F1C7AB" w:rsidR="000C41AD" w:rsidRDefault="007C79DC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F7948" w14:textId="11841033" w:rsidR="00073EB3" w:rsidRPr="00073EB3" w:rsidRDefault="00BA0EE4" w:rsidP="00010558">
            <w:pPr>
              <w:spacing w:after="0" w:line="240" w:lineRule="auto"/>
              <w:rPr>
                <w:b/>
                <w:bCs/>
              </w:rPr>
            </w:pPr>
            <w:hyperlink r:id="rId6" w:history="1">
              <w:r w:rsidR="00C00ED8" w:rsidRPr="00DA735E">
                <w:rPr>
                  <w:rStyle w:val="Hyperlink"/>
                  <w:b/>
                  <w:bCs/>
                </w:rPr>
                <w:t>www.covid19.govt.nz</w:t>
              </w:r>
            </w:hyperlink>
            <w:r w:rsidR="00C00ED8">
              <w:rPr>
                <w:b/>
                <w:bCs/>
              </w:rPr>
              <w:t xml:space="preserve"> – New Zealand website and guidelines for response to Covid 19</w:t>
            </w:r>
          </w:p>
        </w:tc>
      </w:tr>
      <w:tr w:rsidR="004E49EB" w:rsidRPr="00010558" w14:paraId="6EA08C09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D086" w14:textId="6D9B1832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99F42" w14:textId="3700B2CF" w:rsidR="000C41AD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AD79" w14:textId="1E370126" w:rsidR="000C41AD" w:rsidRDefault="00587A9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Feature Creep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1ED698" w14:textId="5A15639C" w:rsidR="000C41AD" w:rsidRDefault="00E077D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1B64AE" w14:textId="37E07759" w:rsidR="000C41AD" w:rsidRDefault="00E077D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22A6C" w14:textId="5DD21A5E" w:rsidR="000C41AD" w:rsidRDefault="00E077D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24874" w14:textId="51E22A41" w:rsidR="000C41AD" w:rsidRDefault="00C45C05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24E19" w14:textId="0D297CEB" w:rsidR="000C41AD" w:rsidRDefault="002C682A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Agree must-have and like-to-have </w:t>
            </w:r>
            <w:r w:rsidR="006A3315">
              <w:rPr>
                <w:rFonts w:cs="Calibri"/>
              </w:rPr>
              <w:t>feature list with software development</w:t>
            </w:r>
            <w:r w:rsidR="00C508C6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team</w:t>
            </w:r>
            <w:r w:rsidR="00C508C6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to ensure </w:t>
            </w:r>
            <w:r w:rsidR="00C508C6">
              <w:rPr>
                <w:rFonts w:cs="Calibri"/>
              </w:rPr>
              <w:t>must-have features</w:t>
            </w:r>
            <w:r>
              <w:rPr>
                <w:rFonts w:cs="Calibri"/>
              </w:rPr>
              <w:t xml:space="preserve"> prior</w:t>
            </w:r>
            <w:r w:rsidR="00072B39">
              <w:rPr>
                <w:rFonts w:cs="Calibri"/>
              </w:rPr>
              <w:t>i</w:t>
            </w:r>
            <w:r>
              <w:rPr>
                <w:rFonts w:cs="Calibri"/>
              </w:rPr>
              <w:t>tised</w:t>
            </w:r>
            <w:r w:rsidR="00072B39">
              <w:rPr>
                <w:rFonts w:cs="Calibri"/>
              </w:rPr>
              <w:t xml:space="preserve"> over like-to-have features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0B9F" w14:textId="6FD66F88" w:rsidR="000C41AD" w:rsidRDefault="007C79DC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E6D52" w14:textId="77777777" w:rsidR="00072B39" w:rsidRDefault="00072B39" w:rsidP="00072B39">
            <w:pPr>
              <w:spacing w:after="0" w:line="240" w:lineRule="auto"/>
            </w:pPr>
            <w:r>
              <w:t>Project Budget</w:t>
            </w:r>
          </w:p>
          <w:p w14:paraId="72A99406" w14:textId="11A4CF5D" w:rsidR="000C41AD" w:rsidRDefault="00072B39" w:rsidP="00072B39">
            <w:pPr>
              <w:spacing w:after="0" w:line="240" w:lineRule="auto"/>
            </w:pPr>
            <w:r>
              <w:t>Project Features List/Plan</w:t>
            </w:r>
          </w:p>
        </w:tc>
      </w:tr>
      <w:tr w:rsidR="004E49EB" w:rsidRPr="00010558" w14:paraId="713C66C8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85326" w14:textId="720C7959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BA23" w14:textId="30D88A03" w:rsidR="000C41AD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3A8AF" w14:textId="1622864C" w:rsidR="006B2F61" w:rsidRDefault="006B2F61" w:rsidP="00010558">
            <w:pPr>
              <w:spacing w:after="0" w:line="240" w:lineRule="auto"/>
              <w:rPr>
                <w:rFonts w:cs="Calibri"/>
              </w:rPr>
            </w:pPr>
            <w:r>
              <w:t>There is a problem with the user interface: consumers don’t like the website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D5AFE7D" w14:textId="7FECBC05" w:rsidR="000C41AD" w:rsidRDefault="0057257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6E1F519" w14:textId="755210C5" w:rsidR="000C41AD" w:rsidRDefault="0057257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4AB4E" w14:textId="5EA0CC1B" w:rsidR="000C41AD" w:rsidRDefault="0057257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CEBE" w14:textId="5A9D6149" w:rsidR="00DF2204" w:rsidRDefault="00A32712" w:rsidP="00DF220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UX/UI Designer</w:t>
            </w:r>
          </w:p>
          <w:p w14:paraId="3DACA667" w14:textId="546DA8E2" w:rsidR="000C41AD" w:rsidRDefault="000C41AD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99CE" w14:textId="2B1AA9A7" w:rsidR="000C41AD" w:rsidRDefault="002C682A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Build </w:t>
            </w:r>
            <w:r w:rsidR="00F62A2F">
              <w:rPr>
                <w:rFonts w:cs="Calibri"/>
              </w:rPr>
              <w:t xml:space="preserve">extensive user-testing </w:t>
            </w:r>
            <w:r w:rsidR="00941061">
              <w:rPr>
                <w:rFonts w:cs="Calibri"/>
              </w:rPr>
              <w:t>in</w:t>
            </w:r>
            <w:r w:rsidR="00F62A2F">
              <w:rPr>
                <w:rFonts w:cs="Calibri"/>
              </w:rPr>
              <w:t>to project plan</w:t>
            </w:r>
            <w:r w:rsidR="00BE0D60">
              <w:rPr>
                <w:rFonts w:cs="Calibri"/>
              </w:rPr>
              <w:t xml:space="preserve">. Document </w:t>
            </w:r>
            <w:r w:rsidR="00F62A2F">
              <w:rPr>
                <w:rFonts w:cs="Calibri"/>
              </w:rPr>
              <w:t>all feedback</w:t>
            </w:r>
            <w:r w:rsidR="004B3DC7">
              <w:rPr>
                <w:rFonts w:cs="Calibri"/>
              </w:rPr>
              <w:t xml:space="preserve">, </w:t>
            </w:r>
            <w:r w:rsidR="00464B07">
              <w:rPr>
                <w:rFonts w:cs="Calibri"/>
              </w:rPr>
              <w:t xml:space="preserve">ensure </w:t>
            </w:r>
            <w:r w:rsidR="00F62A2F">
              <w:rPr>
                <w:rFonts w:cs="Calibri"/>
              </w:rPr>
              <w:t>all features not well</w:t>
            </w:r>
            <w:r w:rsidR="00BE0D60">
              <w:rPr>
                <w:rFonts w:cs="Calibri"/>
              </w:rPr>
              <w:t>-</w:t>
            </w:r>
            <w:r w:rsidR="00F62A2F">
              <w:rPr>
                <w:rFonts w:cs="Calibri"/>
              </w:rPr>
              <w:t xml:space="preserve">received </w:t>
            </w:r>
            <w:r w:rsidR="004248B5">
              <w:rPr>
                <w:rFonts w:cs="Calibri"/>
              </w:rPr>
              <w:t>in testing phase are</w:t>
            </w:r>
            <w:r w:rsidR="00F62A2F">
              <w:rPr>
                <w:rFonts w:cs="Calibri"/>
              </w:rPr>
              <w:t xml:space="preserve"> adjusted </w:t>
            </w:r>
            <w:r w:rsidR="00464B07">
              <w:rPr>
                <w:rFonts w:cs="Calibri"/>
              </w:rPr>
              <w:t xml:space="preserve">or removed </w:t>
            </w:r>
            <w:r w:rsidR="00F62A2F">
              <w:rPr>
                <w:rFonts w:cs="Calibri"/>
              </w:rPr>
              <w:t xml:space="preserve">before </w:t>
            </w:r>
            <w:r w:rsidR="004B3DC7">
              <w:rPr>
                <w:rFonts w:cs="Calibri"/>
              </w:rPr>
              <w:t>launch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4C40" w14:textId="71771298" w:rsidR="000C41AD" w:rsidRDefault="00E14F0D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719FB" w14:textId="5E2F465B" w:rsidR="000C41AD" w:rsidRDefault="00FD54B1" w:rsidP="00010558">
            <w:pPr>
              <w:spacing w:after="0" w:line="240" w:lineRule="auto"/>
            </w:pPr>
            <w:r>
              <w:t>Testing Evaluation Form</w:t>
            </w:r>
          </w:p>
        </w:tc>
      </w:tr>
      <w:tr w:rsidR="004E49EB" w:rsidRPr="00010558" w14:paraId="5C673035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E94F6" w14:textId="600D4CC3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57B95" w14:textId="7E33749F" w:rsidR="000C41AD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2D149" w14:textId="332B3350" w:rsidR="00902206" w:rsidRDefault="007C05D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Supplier</w:t>
            </w:r>
            <w:r w:rsidR="00DD7562">
              <w:rPr>
                <w:rFonts w:cs="Calibri"/>
              </w:rPr>
              <w:t xml:space="preserve"> </w:t>
            </w:r>
            <w:r w:rsidR="0020604A">
              <w:rPr>
                <w:rFonts w:cs="Calibri"/>
              </w:rPr>
              <w:t>indicates they can no</w:t>
            </w:r>
            <w:r w:rsidR="00DD7562">
              <w:rPr>
                <w:rFonts w:cs="Calibri"/>
              </w:rPr>
              <w:t xml:space="preserve"> longer supply </w:t>
            </w:r>
            <w:r w:rsidR="00712667">
              <w:rPr>
                <w:rFonts w:cs="Calibri"/>
              </w:rPr>
              <w:t xml:space="preserve">new </w:t>
            </w:r>
            <w:r w:rsidR="00DD7562">
              <w:rPr>
                <w:rFonts w:cs="Calibri"/>
              </w:rPr>
              <w:t xml:space="preserve">hardware </w:t>
            </w:r>
            <w:r w:rsidR="00BD7E30">
              <w:rPr>
                <w:rFonts w:cs="Calibri"/>
              </w:rPr>
              <w:t xml:space="preserve">(eg GPU) </w:t>
            </w:r>
            <w:r w:rsidR="00DD7562">
              <w:rPr>
                <w:rFonts w:cs="Calibri"/>
              </w:rPr>
              <w:t>ordered</w:t>
            </w:r>
            <w:r w:rsidR="0020604A">
              <w:rPr>
                <w:rFonts w:cs="Calibri"/>
              </w:rPr>
              <w:t>,</w:t>
            </w:r>
            <w:r w:rsidR="00DD7562">
              <w:rPr>
                <w:rFonts w:cs="Calibri"/>
              </w:rPr>
              <w:t xml:space="preserve"> due to shipping </w:t>
            </w:r>
            <w:r w:rsidR="0020604A">
              <w:rPr>
                <w:rFonts w:cs="Calibri"/>
              </w:rPr>
              <w:t>delays</w:t>
            </w:r>
            <w:r w:rsidR="00DD7562">
              <w:rPr>
                <w:rFonts w:cs="Calibri"/>
              </w:rPr>
              <w:t xml:space="preserve"> </w:t>
            </w:r>
            <w:r w:rsidR="0020604A">
              <w:rPr>
                <w:rFonts w:cs="Calibri"/>
              </w:rPr>
              <w:t>caused</w:t>
            </w:r>
            <w:r w:rsidR="00DD7562">
              <w:rPr>
                <w:rFonts w:cs="Calibri"/>
              </w:rPr>
              <w:t xml:space="preserve"> by Covid-19</w:t>
            </w:r>
            <w:r w:rsidR="00AE07DE">
              <w:rPr>
                <w:rFonts w:cs="Calibri"/>
              </w:rPr>
              <w:t xml:space="preserve">, </w:t>
            </w:r>
            <w:r w:rsidR="0020604A">
              <w:rPr>
                <w:rFonts w:cs="Calibri"/>
              </w:rPr>
              <w:t>delaying</w:t>
            </w:r>
            <w:r w:rsidR="00AE07DE">
              <w:rPr>
                <w:rFonts w:cs="Calibri"/>
              </w:rPr>
              <w:t xml:space="preserve"> </w:t>
            </w:r>
            <w:r w:rsidR="00401976">
              <w:rPr>
                <w:rFonts w:cs="Calibri"/>
              </w:rPr>
              <w:t>project launch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5837BF0" w14:textId="07DF395B" w:rsidR="000C41AD" w:rsidRDefault="007126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0369CA7" w14:textId="6A523CD5" w:rsidR="000C41AD" w:rsidRDefault="00B3763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483D0" w14:textId="1708DAFD" w:rsidR="000C41AD" w:rsidRDefault="00B3763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1B7E6" w14:textId="5F93AA3B" w:rsidR="000C41AD" w:rsidRDefault="00BB3BB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8DDA0" w14:textId="4C353DBD" w:rsidR="000C41AD" w:rsidRDefault="00AE07D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Ensure </w:t>
            </w:r>
            <w:r w:rsidR="00FF5128">
              <w:rPr>
                <w:rFonts w:cs="Calibri"/>
              </w:rPr>
              <w:t>to check</w:t>
            </w:r>
            <w:r>
              <w:rPr>
                <w:rFonts w:cs="Calibri"/>
              </w:rPr>
              <w:t xml:space="preserve"> with supplier of choice as to what back up plan </w:t>
            </w:r>
            <w:r w:rsidR="00B37630">
              <w:rPr>
                <w:rFonts w:cs="Calibri"/>
              </w:rPr>
              <w:t>is in place</w:t>
            </w:r>
            <w:r>
              <w:rPr>
                <w:rFonts w:cs="Calibri"/>
              </w:rPr>
              <w:t xml:space="preserve"> if this happens</w:t>
            </w:r>
            <w:r w:rsidR="0019589D">
              <w:rPr>
                <w:rFonts w:cs="Calibri"/>
              </w:rPr>
              <w:t>. Identify a back-up supplier</w:t>
            </w:r>
            <w:r w:rsidR="00257713">
              <w:rPr>
                <w:rFonts w:cs="Calibri"/>
              </w:rPr>
              <w:t xml:space="preserve"> fort the equipment and</w:t>
            </w:r>
            <w:r w:rsidR="0019589D">
              <w:rPr>
                <w:rFonts w:cs="Calibri"/>
              </w:rPr>
              <w:t xml:space="preserve"> </w:t>
            </w:r>
            <w:r w:rsidR="00257713">
              <w:rPr>
                <w:rFonts w:cs="Calibri"/>
              </w:rPr>
              <w:t>have a</w:t>
            </w:r>
            <w:r w:rsidR="0019589D">
              <w:rPr>
                <w:rFonts w:cs="Calibri"/>
              </w:rPr>
              <w:t xml:space="preserve"> quote</w:t>
            </w:r>
            <w:r w:rsidR="00257713">
              <w:rPr>
                <w:rFonts w:cs="Calibri"/>
              </w:rPr>
              <w:t xml:space="preserve"> in place from them</w:t>
            </w:r>
            <w:r w:rsidR="00BD7E30">
              <w:rPr>
                <w:rFonts w:cs="Calibri"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B329F" w14:textId="7F4DE511" w:rsidR="000C41AD" w:rsidRDefault="00611EF1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BC06" w14:textId="77777777" w:rsidR="000C41AD" w:rsidRDefault="000C41AD" w:rsidP="00010558">
            <w:pPr>
              <w:spacing w:after="0" w:line="240" w:lineRule="auto"/>
            </w:pPr>
          </w:p>
        </w:tc>
      </w:tr>
      <w:tr w:rsidR="004E49EB" w:rsidRPr="00010558" w14:paraId="03B43E5E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980B" w14:textId="2AEC9540" w:rsidR="003A097F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1ABC6" w14:textId="170DE84F" w:rsidR="003A097F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7933C" w14:textId="2A47B10E" w:rsidR="003A097F" w:rsidRDefault="009210A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New co</w:t>
            </w:r>
            <w:r w:rsidR="00902206">
              <w:rPr>
                <w:rFonts w:cs="Calibri"/>
              </w:rPr>
              <w:t xml:space="preserve">mpany hardware </w:t>
            </w:r>
            <w:r>
              <w:rPr>
                <w:rFonts w:cs="Calibri"/>
              </w:rPr>
              <w:t xml:space="preserve">purchased </w:t>
            </w:r>
            <w:r w:rsidR="00902206">
              <w:rPr>
                <w:rFonts w:cs="Calibri"/>
              </w:rPr>
              <w:t>not compatible with software developed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0B7190" w14:textId="2C7469B1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  <w:p w14:paraId="653722FB" w14:textId="77777777" w:rsidR="00712667" w:rsidRPr="00712667" w:rsidRDefault="00712667" w:rsidP="00712667">
            <w:pPr>
              <w:rPr>
                <w:rFonts w:cs="Calibri"/>
              </w:rPr>
            </w:pPr>
          </w:p>
          <w:p w14:paraId="093C0DA2" w14:textId="77777777" w:rsidR="00712667" w:rsidRDefault="00712667" w:rsidP="00712667">
            <w:pPr>
              <w:rPr>
                <w:rFonts w:cs="Calibri"/>
              </w:rPr>
            </w:pPr>
          </w:p>
          <w:p w14:paraId="27A84981" w14:textId="7FFD53CE" w:rsidR="00712667" w:rsidRPr="00712667" w:rsidRDefault="00712667" w:rsidP="00712667">
            <w:pPr>
              <w:rPr>
                <w:rFonts w:cs="Calibri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E189222" w14:textId="2C963A0E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B0C01" w14:textId="676433DF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83A56" w14:textId="22812B5F" w:rsidR="003A097F" w:rsidRDefault="00BA0EE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Software Develop-ment Leader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2C304" w14:textId="1AD55A44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Communicate </w:t>
            </w:r>
            <w:r w:rsidR="004E49EB">
              <w:rPr>
                <w:rFonts w:cs="Calibri"/>
              </w:rPr>
              <w:t xml:space="preserve">in full all </w:t>
            </w:r>
            <w:r>
              <w:rPr>
                <w:rFonts w:cs="Calibri"/>
              </w:rPr>
              <w:t>hardware</w:t>
            </w:r>
            <w:r w:rsidR="009210AD">
              <w:rPr>
                <w:rFonts w:cs="Calibri"/>
              </w:rPr>
              <w:t xml:space="preserve"> details to</w:t>
            </w:r>
            <w:r>
              <w:rPr>
                <w:rFonts w:cs="Calibri"/>
              </w:rPr>
              <w:t xml:space="preserve"> Software Development team to ensure </w:t>
            </w:r>
            <w:r w:rsidR="00E14F0D">
              <w:rPr>
                <w:rFonts w:cs="Calibri"/>
              </w:rPr>
              <w:t xml:space="preserve">software will be fully compatible with </w:t>
            </w:r>
            <w:r w:rsidR="004E49EB">
              <w:rPr>
                <w:rFonts w:cs="Calibri"/>
              </w:rPr>
              <w:t>hardware before project commences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05F1F" w14:textId="304254EF" w:rsidR="003A097F" w:rsidRDefault="00E14F0D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E0CF7" w14:textId="77777777" w:rsidR="003A097F" w:rsidRDefault="003A097F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144EA3">
      <w:pPr>
        <w:spacing w:after="120" w:line="240" w:lineRule="auto"/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57D415AA" w14:textId="57082E55" w:rsidR="00B80F01" w:rsidRPr="00F61935" w:rsidRDefault="00010558" w:rsidP="00144EA3">
      <w:pPr>
        <w:spacing w:after="0" w:line="240" w:lineRule="auto"/>
      </w:pPr>
      <w:r>
        <w:t>Table 1: Risk register</w:t>
      </w:r>
      <w:r w:rsidR="00FF5128">
        <w:br/>
      </w:r>
      <w:r w:rsidR="00E4079E">
        <w:t xml:space="preserve">Reference: Excelonist (n.d.) </w:t>
      </w:r>
      <w:r w:rsidR="00E4079E">
        <w:rPr>
          <w:i/>
          <w:iCs/>
        </w:rPr>
        <w:t>PM template</w:t>
      </w:r>
      <w:r w:rsidR="00E4079E">
        <w:t>. htttp://www.Excelonist.com</w:t>
      </w:r>
    </w:p>
    <w:sectPr w:rsidR="00B80F01" w:rsidRPr="00F61935" w:rsidSect="004E49EB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44D7F"/>
    <w:rsid w:val="00057CE9"/>
    <w:rsid w:val="00072B39"/>
    <w:rsid w:val="00073EB3"/>
    <w:rsid w:val="00074570"/>
    <w:rsid w:val="0007462C"/>
    <w:rsid w:val="000960BC"/>
    <w:rsid w:val="000A5D4C"/>
    <w:rsid w:val="000C41AD"/>
    <w:rsid w:val="000D6492"/>
    <w:rsid w:val="00144EA3"/>
    <w:rsid w:val="00163998"/>
    <w:rsid w:val="0019589D"/>
    <w:rsid w:val="001F46C7"/>
    <w:rsid w:val="0020604A"/>
    <w:rsid w:val="0025169B"/>
    <w:rsid w:val="00257713"/>
    <w:rsid w:val="002C1058"/>
    <w:rsid w:val="002C43E1"/>
    <w:rsid w:val="002C682A"/>
    <w:rsid w:val="002C7D4B"/>
    <w:rsid w:val="00322C61"/>
    <w:rsid w:val="003A097F"/>
    <w:rsid w:val="003A14FA"/>
    <w:rsid w:val="003B3C1C"/>
    <w:rsid w:val="003F6967"/>
    <w:rsid w:val="00401976"/>
    <w:rsid w:val="004248B5"/>
    <w:rsid w:val="0043563C"/>
    <w:rsid w:val="00464B07"/>
    <w:rsid w:val="00480155"/>
    <w:rsid w:val="00487D3C"/>
    <w:rsid w:val="004B3DC7"/>
    <w:rsid w:val="004C68DE"/>
    <w:rsid w:val="004E49EB"/>
    <w:rsid w:val="00547021"/>
    <w:rsid w:val="00572577"/>
    <w:rsid w:val="00587A9F"/>
    <w:rsid w:val="005945C9"/>
    <w:rsid w:val="006048A8"/>
    <w:rsid w:val="00604A7D"/>
    <w:rsid w:val="00611EF1"/>
    <w:rsid w:val="006661B0"/>
    <w:rsid w:val="006831DB"/>
    <w:rsid w:val="00684B5F"/>
    <w:rsid w:val="006A3315"/>
    <w:rsid w:val="006A3B5B"/>
    <w:rsid w:val="006B1023"/>
    <w:rsid w:val="006B2F61"/>
    <w:rsid w:val="00712667"/>
    <w:rsid w:val="007C05D9"/>
    <w:rsid w:val="007C79DC"/>
    <w:rsid w:val="007D53FC"/>
    <w:rsid w:val="007E4736"/>
    <w:rsid w:val="007F5382"/>
    <w:rsid w:val="008263CE"/>
    <w:rsid w:val="00863F31"/>
    <w:rsid w:val="008B69D8"/>
    <w:rsid w:val="008F7BBC"/>
    <w:rsid w:val="00902206"/>
    <w:rsid w:val="009210AD"/>
    <w:rsid w:val="0092742F"/>
    <w:rsid w:val="00941061"/>
    <w:rsid w:val="00953732"/>
    <w:rsid w:val="0099084D"/>
    <w:rsid w:val="00994D34"/>
    <w:rsid w:val="00A1167F"/>
    <w:rsid w:val="00A20CD5"/>
    <w:rsid w:val="00A32712"/>
    <w:rsid w:val="00A77CC2"/>
    <w:rsid w:val="00AB00C3"/>
    <w:rsid w:val="00AE07DE"/>
    <w:rsid w:val="00B37630"/>
    <w:rsid w:val="00B80F01"/>
    <w:rsid w:val="00B82A37"/>
    <w:rsid w:val="00B92397"/>
    <w:rsid w:val="00BA0EE4"/>
    <w:rsid w:val="00BB3BB6"/>
    <w:rsid w:val="00BC7F90"/>
    <w:rsid w:val="00BD7E30"/>
    <w:rsid w:val="00BE0D60"/>
    <w:rsid w:val="00C00385"/>
    <w:rsid w:val="00C00ED8"/>
    <w:rsid w:val="00C14A14"/>
    <w:rsid w:val="00C408A7"/>
    <w:rsid w:val="00C45C05"/>
    <w:rsid w:val="00C508C6"/>
    <w:rsid w:val="00C63BE1"/>
    <w:rsid w:val="00C86C26"/>
    <w:rsid w:val="00CA0A83"/>
    <w:rsid w:val="00CE5E3C"/>
    <w:rsid w:val="00CF3AAE"/>
    <w:rsid w:val="00D35A21"/>
    <w:rsid w:val="00D672DC"/>
    <w:rsid w:val="00D84B29"/>
    <w:rsid w:val="00D85B8B"/>
    <w:rsid w:val="00DA43AD"/>
    <w:rsid w:val="00DC6718"/>
    <w:rsid w:val="00DD7562"/>
    <w:rsid w:val="00DE3F39"/>
    <w:rsid w:val="00DE5AEB"/>
    <w:rsid w:val="00DF2204"/>
    <w:rsid w:val="00E077D1"/>
    <w:rsid w:val="00E0785F"/>
    <w:rsid w:val="00E14F0D"/>
    <w:rsid w:val="00E4079E"/>
    <w:rsid w:val="00E65FD0"/>
    <w:rsid w:val="00EB0739"/>
    <w:rsid w:val="00EF5A67"/>
    <w:rsid w:val="00F07FE7"/>
    <w:rsid w:val="00F363B3"/>
    <w:rsid w:val="00F46FFB"/>
    <w:rsid w:val="00F61935"/>
    <w:rsid w:val="00F62A2F"/>
    <w:rsid w:val="00FA5D34"/>
    <w:rsid w:val="00FD54B1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vid19.govt.nz" TargetMode="Externa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Russell Shaleen Anne</cp:lastModifiedBy>
  <cp:revision>106</cp:revision>
  <dcterms:created xsi:type="dcterms:W3CDTF">2022-05-10T02:37:00Z</dcterms:created>
  <dcterms:modified xsi:type="dcterms:W3CDTF">2022-05-14T23:23:00Z</dcterms:modified>
</cp:coreProperties>
</file>