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黑体" w:hAnsi="黑体" w:eastAsia="黑体"/>
          <w:color w:val="1A1A2E"/>
          <w:sz w:val="44"/>
        </w:rPr>
        <w:t>中国海外利益安全威胁综合评估报告</w:t>
      </w:r>
    </w:p>
    <w:p>
      <w:pPr>
        <w:jc w:val="center"/>
      </w:pPr>
      <w:r>
        <w:rPr>
          <w:rFonts w:ascii="楷体" w:hAnsi="楷体" w:eastAsia="楷体"/>
          <w:color w:val="555555"/>
          <w:sz w:val="28"/>
        </w:rPr>
        <w:t>——基于全球安全态势与中资企业暴露分析</w:t>
      </w:r>
    </w:p>
    <w:p>
      <w:pPr>
        <w:jc w:val="center"/>
      </w:pPr>
      <w:r>
        <w:rPr>
          <w:rFonts w:ascii="仿宋" w:hAnsi="仿宋" w:eastAsia="仿宋"/>
          <w:color w:val="888888"/>
          <w:sz w:val="20"/>
        </w:rPr>
        <w:t>报告编号：INT-2025-0715-001    密级：秘密    日期：2025年7月15日</w:t>
      </w:r>
    </w:p>
    <w:p/>
    <w:p>
      <w:pPr>
        <w:pStyle w:val="Heading1"/>
      </w:pPr>
      <w:r>
        <w:rPr>
          <w:rFonts w:ascii="黑体" w:hAnsi="黑体" w:eastAsia="黑体"/>
          <w:color w:val="C0392B"/>
          <w:sz w:val="32"/>
        </w:rPr>
        <w:t>一、报告摘要</w:t>
      </w:r>
    </w:p>
    <w:p>
      <w:pPr>
        <w:spacing w:line="360" w:lineRule="auto"/>
        <w:ind w:firstLine="420"/>
      </w:pPr>
      <w:r>
        <w:rPr>
          <w:rFonts w:ascii="宋体" w:hAnsi="宋体" w:eastAsia="宋体"/>
          <w:sz w:val="24"/>
        </w:rPr>
        <w:t>本报告综合评估当前中国海外利益面临的安全威胁态势。截至2025年7月，全球范围内针对中国海外人员和资产的安全威胁事件呈上升趋势，重点风险区域集中在南亚（巴基斯坦）、非洲大湖地区（刚果（金））、红海—亚丁湾航线（也门胡塞武装控制区）以及东南亚（缅甸）。本报告基于平台数据库中15家重点中资企业、10个主要威胁组织、15条活跃预警及9起重大安全事件的结构化数据，采用六要素分析法对重点地区进行深度研判，评估对华威胁等级，并提出针对性处置建议。综合评估认为，当前中国海外利益安全形势总体严峻，需高度关注巴基斯坦恐怖袭击风险、刚果（金）武装冲突外溢风险及红海航道中断风险三大重点方向。</w:t>
      </w:r>
    </w:p>
    <w:p>
      <w:pPr>
        <w:pStyle w:val="Heading1"/>
      </w:pPr>
      <w:r>
        <w:rPr>
          <w:rFonts w:ascii="黑体" w:hAnsi="黑体" w:eastAsia="黑体"/>
          <w:color w:val="C0392B"/>
          <w:sz w:val="32"/>
        </w:rPr>
        <w:t>二、重点地区安全分析（六要素）</w:t>
      </w:r>
    </w:p>
    <w:p>
      <w:pPr>
        <w:pStyle w:val="Heading2"/>
      </w:pPr>
      <w:r>
        <w:rPr>
          <w:rFonts w:ascii="黑体" w:hAnsi="黑体" w:eastAsia="黑体"/>
          <w:color w:val="2C3E50"/>
          <w:sz w:val="28"/>
        </w:rPr>
        <w:t>（一）巴基斯坦：恐怖袭击持续威胁中资项目人员安全</w:t>
      </w:r>
    </w:p>
    <w:p>
      <w:pPr>
        <w:spacing w:line="360" w:lineRule="auto"/>
        <w:ind w:firstLine="420"/>
      </w:pPr>
      <w:r>
        <w:rPr>
          <w:rFonts w:ascii="黑体" w:hAnsi="黑体" w:eastAsia="黑体"/>
          <w:b/>
          <w:sz w:val="24"/>
        </w:rPr>
        <w:t>【时间】</w:t>
      </w:r>
      <w:r>
        <w:rPr>
          <w:rFonts w:ascii="宋体" w:hAnsi="宋体" w:eastAsia="宋体"/>
          <w:sz w:val="24"/>
        </w:rPr>
        <w:t>2021年7月至2025年7月，持续态势。最近一次重大事件为2024年3月26日达苏水电站项目中方人员遭自杀式炸弹袭击。</w:t>
      </w:r>
    </w:p>
    <w:p>
      <w:pPr>
        <w:spacing w:line="360" w:lineRule="auto"/>
        <w:ind w:firstLine="420"/>
      </w:pPr>
      <w:r>
        <w:rPr>
          <w:rFonts w:ascii="黑体" w:hAnsi="黑体" w:eastAsia="黑体"/>
          <w:b/>
          <w:sz w:val="24"/>
        </w:rPr>
        <w:t>【地点】</w:t>
      </w:r>
      <w:r>
        <w:rPr>
          <w:rFonts w:ascii="宋体" w:hAnsi="宋体" w:eastAsia="宋体"/>
          <w:sz w:val="24"/>
        </w:rPr>
        <w:t>巴基斯坦开伯尔—普什图省、俾路支省。重点受影响项目包括达苏水电站（中铁建）、瓜达尔港（中交建）、卡西姆港燃煤电站（中电建）等。</w:t>
      </w:r>
    </w:p>
    <w:p>
      <w:pPr>
        <w:spacing w:line="360" w:lineRule="auto"/>
        <w:ind w:firstLine="420"/>
      </w:pPr>
      <w:r>
        <w:rPr>
          <w:rFonts w:ascii="黑体" w:hAnsi="黑体" w:eastAsia="黑体"/>
          <w:b/>
          <w:sz w:val="24"/>
        </w:rPr>
        <w:t>【人物】</w:t>
      </w:r>
      <w:r>
        <w:rPr>
          <w:rFonts w:ascii="宋体" w:hAnsi="宋体" w:eastAsia="宋体"/>
          <w:sz w:val="24"/>
        </w:rPr>
        <w:t>主要威胁行为体为巴基斯坦塔利班（TTP）和俾路支分离主义武装（俾路支解放军BLA/俾路支解放阵线BLF）。TTP与阿富汗塔利班存在关联，在阿境内策划对巴袭击。受害方为中方工程技术人员和安保人员。</w:t>
      </w:r>
    </w:p>
    <w:p>
      <w:pPr>
        <w:spacing w:line="360" w:lineRule="auto"/>
        <w:ind w:firstLine="420"/>
      </w:pPr>
      <w:r>
        <w:rPr>
          <w:rFonts w:ascii="黑体" w:hAnsi="黑体" w:eastAsia="黑体"/>
          <w:b/>
          <w:sz w:val="24"/>
        </w:rPr>
        <w:t>【起因】</w:t>
      </w:r>
      <w:r>
        <w:rPr>
          <w:rFonts w:ascii="宋体" w:hAnsi="宋体" w:eastAsia="宋体"/>
          <w:sz w:val="24"/>
        </w:rPr>
        <w:t>根本原因在于巴基斯坦国内安全治理能力薄弱，部族地区中央管控缺失；地缘层面，印度情报机构被指暗中支持俾路支分离武装；宗教极端思想在边境地区持续渗透。中巴经济走廊（CPEC）项目大量集中在安全形势脆弱的俾路支省和开伯尔省，增加了中方人员暴露度。</w:t>
      </w:r>
    </w:p>
    <w:p>
      <w:pPr>
        <w:spacing w:line="360" w:lineRule="auto"/>
        <w:ind w:firstLine="420"/>
      </w:pPr>
      <w:r>
        <w:rPr>
          <w:rFonts w:ascii="黑体" w:hAnsi="黑体" w:eastAsia="黑体"/>
          <w:b/>
          <w:sz w:val="24"/>
        </w:rPr>
        <w:t>【过程】</w:t>
      </w:r>
      <w:r>
        <w:rPr>
          <w:rFonts w:ascii="宋体" w:hAnsi="宋体" w:eastAsia="宋体"/>
          <w:sz w:val="24"/>
        </w:rPr>
        <w:t>袭击模式呈现"车辆炸弹+自杀式袭击"特征。2021年7月14日，达苏水电站项目班车遭爆炸袭击，9名中方人员遇难、28人受伤，为近年来伤亡最严重事件。2022年4月26日，卡拉奇大学孔子学院班车遭自杀式炸弹袭击，3名中方教师遇难。2024年3月26日，达苏项目再次遭袭，5名中方工程师遇难。2024年10月6日，瓜达尔港附近中方人员车队遭袭，2人死亡。袭击频率从年均1-2起上升至2-3起。</w:t>
      </w:r>
    </w:p>
    <w:p>
      <w:pPr>
        <w:spacing w:line="360" w:lineRule="auto"/>
        <w:ind w:firstLine="420"/>
      </w:pPr>
      <w:r>
        <w:rPr>
          <w:rFonts w:ascii="黑体" w:hAnsi="黑体" w:eastAsia="黑体"/>
          <w:b/>
          <w:sz w:val="24"/>
        </w:rPr>
        <w:t>【结果】</w:t>
      </w:r>
      <w:r>
        <w:rPr>
          <w:rFonts w:ascii="宋体" w:hAnsi="宋体" w:eastAsia="宋体"/>
          <w:sz w:val="24"/>
        </w:rPr>
        <w:t>累计造成中方人员19人死亡、30余人受伤。多个重点项目被迫暂停施工，工期延误6-18个月。中资企业在巴安保成本上升约40%，部分项目保险费率翻倍。中巴双方启动联合安保机制，但安全形势尚未根本改善。</w:t>
      </w:r>
    </w:p>
    <w:p>
      <w:pPr>
        <w:pStyle w:val="Heading2"/>
      </w:pPr>
      <w:r>
        <w:rPr>
          <w:rFonts w:ascii="黑体" w:hAnsi="黑体" w:eastAsia="黑体"/>
          <w:color w:val="2C3E50"/>
          <w:sz w:val="28"/>
        </w:rPr>
        <w:t>（二）刚果（金）：武装冲突升级威胁矿业投资安全</w:t>
      </w:r>
    </w:p>
    <w:p>
      <w:pPr>
        <w:spacing w:line="360" w:lineRule="auto"/>
        <w:ind w:firstLine="420"/>
      </w:pPr>
      <w:r>
        <w:rPr>
          <w:rFonts w:ascii="黑体" w:hAnsi="黑体" w:eastAsia="黑体"/>
          <w:b/>
          <w:sz w:val="24"/>
        </w:rPr>
        <w:t>【时间】</w:t>
      </w:r>
      <w:r>
        <w:rPr>
          <w:rFonts w:ascii="宋体" w:hAnsi="宋体" w:eastAsia="宋体"/>
          <w:sz w:val="24"/>
        </w:rPr>
        <w:t>2025年1月至2月，M23武装发动大规模军事进攻。2月16日攻占南基伍省首府布卡武，为近年来最大规模军事行动。</w:t>
      </w:r>
    </w:p>
    <w:p>
      <w:pPr>
        <w:spacing w:line="360" w:lineRule="auto"/>
        <w:ind w:firstLine="420"/>
      </w:pPr>
      <w:r>
        <w:rPr>
          <w:rFonts w:ascii="黑体" w:hAnsi="黑体" w:eastAsia="黑体"/>
          <w:b/>
          <w:sz w:val="24"/>
        </w:rPr>
        <w:t>【地点】</w:t>
      </w:r>
      <w:r>
        <w:rPr>
          <w:rFonts w:ascii="宋体" w:hAnsi="宋体" w:eastAsia="宋体"/>
          <w:sz w:val="24"/>
        </w:rPr>
        <w:t>刚果（金）东部北基伍省和南基伍省。紫金矿业卡莫阿铜矿位于南部卢阿拉巴省，距战区约1,500公里，中铝等企业在加丹加地区亦有矿业资产。</w:t>
      </w:r>
    </w:p>
    <w:p>
      <w:pPr>
        <w:spacing w:line="360" w:lineRule="auto"/>
        <w:ind w:firstLine="420"/>
      </w:pPr>
      <w:r>
        <w:rPr>
          <w:rFonts w:ascii="黑体" w:hAnsi="黑体" w:eastAsia="黑体"/>
          <w:b/>
          <w:sz w:val="24"/>
        </w:rPr>
        <w:t>【人物】</w:t>
      </w:r>
      <w:r>
        <w:rPr>
          <w:rFonts w:ascii="宋体" w:hAnsi="宋体" w:eastAsia="宋体"/>
          <w:sz w:val="24"/>
        </w:rPr>
        <w:t>主要行为体为"3月23日运动"（M23）武装组织。该组织以图西族为主体，被指控获得卢旺达幕后支持。刚果（金）政府军（FARDC）及联合国维和部队（MONUSCO）为防御方。中国在刚矿业投资涉及紫金矿业（卡莫阿铜矿）、中铝等大型企业。</w:t>
      </w:r>
    </w:p>
    <w:p>
      <w:pPr>
        <w:spacing w:line="360" w:lineRule="auto"/>
        <w:ind w:firstLine="420"/>
      </w:pPr>
      <w:r>
        <w:rPr>
          <w:rFonts w:ascii="黑体" w:hAnsi="黑体" w:eastAsia="黑体"/>
          <w:b/>
          <w:sz w:val="24"/>
        </w:rPr>
        <w:t>【起因】</w:t>
      </w:r>
      <w:r>
        <w:rPr>
          <w:rFonts w:ascii="宋体" w:hAnsi="宋体" w:eastAsia="宋体"/>
          <w:sz w:val="24"/>
        </w:rPr>
        <w:t>根源在于刚果（金）东部长期存在的族群矛盾、矿产资源争夺及邻国干涉。M23指控政府未履行既往和平协议中关于图西族政治融入的承诺。卢旺达被指利用M23控制刚东部矿产资源的战略意图。</w:t>
      </w:r>
    </w:p>
    <w:p>
      <w:pPr>
        <w:spacing w:line="360" w:lineRule="auto"/>
        <w:ind w:firstLine="420"/>
      </w:pPr>
      <w:r>
        <w:rPr>
          <w:rFonts w:ascii="黑体" w:hAnsi="黑体" w:eastAsia="黑体"/>
          <w:b/>
          <w:sz w:val="24"/>
        </w:rPr>
        <w:t>【过程】</w:t>
      </w:r>
      <w:r>
        <w:rPr>
          <w:rFonts w:ascii="宋体" w:hAnsi="宋体" w:eastAsia="宋体"/>
          <w:sz w:val="24"/>
        </w:rPr>
        <w:t>2025年1月，M23从北基伍省据点发动大规模攻势，迅速攻占戈马。2月中旬向南基伍省推进，2月16日攻占首府布卡武。政府军溃败，大批平民流离失所。战事虽距中国矿业资产较远，但供应链断裂、人员流动受限、地区安全形势恶化直接波及中资企业运营。</w:t>
      </w:r>
    </w:p>
    <w:p>
      <w:pPr>
        <w:spacing w:line="360" w:lineRule="auto"/>
        <w:ind w:firstLine="420"/>
      </w:pPr>
      <w:r>
        <w:rPr>
          <w:rFonts w:ascii="黑体" w:hAnsi="黑体" w:eastAsia="黑体"/>
          <w:b/>
          <w:sz w:val="24"/>
        </w:rPr>
        <w:t>【结果】</w:t>
      </w:r>
      <w:r>
        <w:rPr>
          <w:rFonts w:ascii="宋体" w:hAnsi="宋体" w:eastAsia="宋体"/>
          <w:sz w:val="24"/>
        </w:rPr>
        <w:t>造成大量平民伤亡和流离失所。紫金矿业卡莫阿铜矿虽未直接受战火波及，但面临供应链中断风险和安保成本上升。中铝等企业启动应急安保预案。刚果（金）东部安全形势短期内难以改善，矿业投资政治风险显著上升。</w:t>
      </w:r>
    </w:p>
    <w:p>
      <w:pPr>
        <w:pStyle w:val="Heading2"/>
      </w:pPr>
      <w:r>
        <w:rPr>
          <w:rFonts w:ascii="黑体" w:hAnsi="黑体" w:eastAsia="黑体"/>
          <w:color w:val="2C3E50"/>
          <w:sz w:val="28"/>
        </w:rPr>
        <w:t>（三）红海—亚丁湾：胡塞武装袭击持续冲击国际航运</w:t>
      </w:r>
    </w:p>
    <w:p>
      <w:pPr>
        <w:spacing w:line="360" w:lineRule="auto"/>
        <w:ind w:firstLine="420"/>
      </w:pPr>
      <w:r>
        <w:rPr>
          <w:rFonts w:ascii="黑体" w:hAnsi="黑体" w:eastAsia="黑体"/>
          <w:b/>
          <w:sz w:val="24"/>
        </w:rPr>
        <w:t>【时间】</w:t>
      </w:r>
      <w:r>
        <w:rPr>
          <w:rFonts w:ascii="宋体" w:hAnsi="宋体" w:eastAsia="宋体"/>
          <w:sz w:val="24"/>
        </w:rPr>
        <w:t>2023年11月19日至今，持续态势。胡塞武装劫持"银河领袖"号货轮后，持续对红海商船发动导弹和无人机袭击。</w:t>
      </w:r>
    </w:p>
    <w:p>
      <w:pPr>
        <w:spacing w:line="360" w:lineRule="auto"/>
        <w:ind w:firstLine="420"/>
      </w:pPr>
      <w:r>
        <w:rPr>
          <w:rFonts w:ascii="黑体" w:hAnsi="黑体" w:eastAsia="黑体"/>
          <w:b/>
          <w:sz w:val="24"/>
        </w:rPr>
        <w:t>【地点】</w:t>
      </w:r>
      <w:r>
        <w:rPr>
          <w:rFonts w:ascii="宋体" w:hAnsi="宋体" w:eastAsia="宋体"/>
          <w:sz w:val="24"/>
        </w:rPr>
        <w:t>红海—亚丁湾—曼德海峡国际航道。该航道连接苏伊士运河与印度洋，是亚欧贸易最核心航运通道。中远海运、招商局等中国航运企业日常运营经过该水域。</w:t>
      </w:r>
    </w:p>
    <w:p>
      <w:pPr>
        <w:spacing w:line="360" w:lineRule="auto"/>
        <w:ind w:firstLine="420"/>
      </w:pPr>
      <w:r>
        <w:rPr>
          <w:rFonts w:ascii="黑体" w:hAnsi="黑体" w:eastAsia="黑体"/>
          <w:b/>
          <w:sz w:val="24"/>
        </w:rPr>
        <w:t>【人物】</w:t>
      </w:r>
      <w:r>
        <w:rPr>
          <w:rFonts w:ascii="宋体" w:hAnsi="宋体" w:eastAsia="宋体"/>
          <w:sz w:val="24"/>
        </w:rPr>
        <w:t>也门胡塞武装（安萨尔拉）为主要威胁行为体。该组织控制也门北部包括首都萨那在内的大片领土，拥有弹道导弹、巡航导弹和无人机打击能力。国际航运企业及各国海军护航力量为受影响方。</w:t>
      </w:r>
    </w:p>
    <w:p>
      <w:pPr>
        <w:spacing w:line="360" w:lineRule="auto"/>
        <w:ind w:firstLine="420"/>
      </w:pPr>
      <w:r>
        <w:rPr>
          <w:rFonts w:ascii="黑体" w:hAnsi="黑体" w:eastAsia="黑体"/>
          <w:b/>
          <w:sz w:val="24"/>
        </w:rPr>
        <w:t>【起因】</w:t>
      </w:r>
      <w:r>
        <w:rPr>
          <w:rFonts w:ascii="宋体" w:hAnsi="宋体" w:eastAsia="宋体"/>
          <w:sz w:val="24"/>
        </w:rPr>
        <w:t>直接导火索为2023年10月加沙冲突爆发。胡塞武装宣称袭击"与以色列相关"商船是对以色列在加沙军事行动的报复。深层原因包括胡塞武装寻求区域影响力扩张、也门内战未决及伊朗对胡塞武装的军事支持。</w:t>
      </w:r>
    </w:p>
    <w:p>
      <w:pPr>
        <w:spacing w:line="360" w:lineRule="auto"/>
        <w:ind w:firstLine="420"/>
      </w:pPr>
      <w:r>
        <w:rPr>
          <w:rFonts w:ascii="黑体" w:hAnsi="黑体" w:eastAsia="黑体"/>
          <w:b/>
          <w:sz w:val="24"/>
        </w:rPr>
        <w:t>【过程】</w:t>
      </w:r>
      <w:r>
        <w:rPr>
          <w:rFonts w:ascii="宋体" w:hAnsi="宋体" w:eastAsia="宋体"/>
          <w:sz w:val="24"/>
        </w:rPr>
        <w:t>2023年11月19日劫持以色列关联货轮"银河领袖"号，随后持续扩大袭击范围。至2024年底累计发动200余次袭击，击沉至少2艘商船、造成数名船员死亡。全球主要航运公司陆续暂停红海航线，中远海运于2023年12月18日宣布改道好望角。美国牵头组建"繁荣卫士行动"多国护航联盟，但未能完全遏制袭击。</w:t>
      </w:r>
    </w:p>
    <w:p>
      <w:pPr>
        <w:spacing w:line="360" w:lineRule="auto"/>
        <w:ind w:firstLine="420"/>
      </w:pPr>
      <w:r>
        <w:rPr>
          <w:rFonts w:ascii="黑体" w:hAnsi="黑体" w:eastAsia="黑体"/>
          <w:b/>
          <w:sz w:val="24"/>
        </w:rPr>
        <w:t>【结果】</w:t>
      </w:r>
      <w:r>
        <w:rPr>
          <w:rFonts w:ascii="宋体" w:hAnsi="宋体" w:eastAsia="宋体"/>
          <w:sz w:val="24"/>
        </w:rPr>
        <w:t>亚欧航线运价上涨256%，航行时间延长7-14天，单船燃油成本增加约100万美元。中国对欧出口物流成本大幅上升，部分企业订单交期延误。中远海运、招商局等企业被迫长期改道好望角，运营成本持续承压。红海航运安全短期内难以恢复正常。</w:t>
      </w:r>
    </w:p>
    <w:p>
      <w:pPr>
        <w:pStyle w:val="Heading1"/>
      </w:pPr>
      <w:r>
        <w:rPr>
          <w:rFonts w:ascii="黑体" w:hAnsi="黑体" w:eastAsia="黑体"/>
          <w:color w:val="C0392B"/>
          <w:sz w:val="32"/>
        </w:rPr>
        <w:t>三、主要威胁组织活动态势</w:t>
      </w:r>
    </w:p>
    <w:p>
      <w:pPr>
        <w:spacing w:line="360" w:lineRule="auto"/>
        <w:ind w:firstLine="420"/>
      </w:pPr>
      <w:r>
        <w:rPr>
          <w:rFonts w:ascii="宋体" w:hAnsi="宋体" w:eastAsia="宋体"/>
          <w:sz w:val="24"/>
        </w:rPr>
        <w:t>当前全球威胁组织活动呈现"恐怖组织与犯罪组织交织、传统安全与非传统安全叠加"的特征。在恐怖组织方面，伊斯兰国（ISIS）领土实体虽于2019年被消灭，但转入"虚拟哈里发"模式，通过全球省分支和独狼袭击持续发动恐怖活动，2024年1月在伊朗克尔曼制造连环爆炸造成94人死亡。基地组织核心虽削弱，但阿拉伯半岛分支（AQAP）和萨赫勒分支仍构成区域性重大威胁。青年党在索马里和肯尼亚频繁发动大规模袭击，2022年摩加迪沙双重爆炸造成121人死亡。塔利班重新执政后阿富汗成为恐怖组织策源地，TTP在阿境内策划对巴基斯坦包括中资目标的袭击。</w:t>
      </w:r>
    </w:p>
    <w:p>
      <w:pPr>
        <w:spacing w:line="360" w:lineRule="auto"/>
        <w:ind w:firstLine="420"/>
      </w:pPr>
      <w:r>
        <w:rPr>
          <w:rFonts w:ascii="宋体" w:hAnsi="宋体" w:eastAsia="宋体"/>
          <w:sz w:val="24"/>
        </w:rPr>
        <w:t>在犯罪组织方面，锡那罗亚贩毒集团控制从南美到北美的毒品走廊，芬太尼危机使其成为美国头号禁毒目标。意大利光荣会控制欧洲80%的可卡因进口，年收入估计达500-700亿美元，是全球最富有的犯罪组织。日本山口组虽因法律打击成员大幅减少，但仍控制日本有组织犯罪大部分市场份额。这些犯罪组织虽不直接针对中国目标，但其活动区域与中资企业海外布局存在重叠，间接影响中国企业运营安全和社会治安环境。</w:t>
      </w:r>
    </w:p>
    <w:p>
      <w:pPr>
        <w:pStyle w:val="Heading1"/>
      </w:pPr>
      <w:r>
        <w:rPr>
          <w:rFonts w:ascii="黑体" w:hAnsi="黑体" w:eastAsia="黑体"/>
          <w:color w:val="C0392B"/>
          <w:sz w:val="32"/>
        </w:rPr>
        <w:t>四、对华威胁评估</w:t>
      </w:r>
    </w:p>
    <w:p>
      <w:pPr>
        <w:spacing w:line="360" w:lineRule="auto"/>
        <w:ind w:firstLine="420"/>
      </w:pPr>
      <w:r>
        <w:rPr>
          <w:rFonts w:ascii="宋体" w:hAnsi="宋体" w:eastAsia="宋体"/>
          <w:sz w:val="24"/>
        </w:rPr>
        <w:t>综合分析，当前中国海外利益面临的安全威胁可划分为三个层级：</w:t>
      </w:r>
    </w:p>
    <w:p>
      <w:pPr>
        <w:spacing w:line="360" w:lineRule="auto"/>
        <w:ind w:firstLine="420"/>
      </w:pPr>
      <w:r>
        <w:rPr>
          <w:rFonts w:ascii="宋体" w:hAnsi="宋体" w:eastAsia="宋体"/>
          <w:sz w:val="24"/>
        </w:rPr>
        <w:t>第一层级（极高威胁）：巴基斯坦。TTP和俾路支分离武装已将中资项目和中方人员作为特定袭击目标，袭击频率上升、手段升级，造成中方人员伤亡最为严重。中巴经济走廊作为"一带一路"旗舰项目，其安全状况直接影响中国南亚战略推进。在巴中资企业超过15家，中方人员数千人，暴露面极大。</w:t>
      </w:r>
    </w:p>
    <w:p>
      <w:pPr>
        <w:spacing w:line="360" w:lineRule="auto"/>
        <w:ind w:firstLine="420"/>
      </w:pPr>
      <w:r>
        <w:rPr>
          <w:rFonts w:ascii="宋体" w:hAnsi="宋体" w:eastAsia="宋体"/>
          <w:sz w:val="24"/>
        </w:rPr>
        <w:t>第二层级（高威胁）：刚果（金）、缅甸、苏丹。刚果（金）东部武装冲突虽未直接波及中资矿业资产，但政治风险和供应链风险显著上升。缅甸军政府与地方武装冲突持续影响中缅油气管道和中电建等项目安全。苏丹武装冲突已导致中石油油田运营中断和1,500余名中方人员撤离。</w:t>
      </w:r>
    </w:p>
    <w:p>
      <w:pPr>
        <w:spacing w:line="360" w:lineRule="auto"/>
        <w:ind w:firstLine="420"/>
      </w:pPr>
      <w:r>
        <w:rPr>
          <w:rFonts w:ascii="宋体" w:hAnsi="宋体" w:eastAsia="宋体"/>
          <w:sz w:val="24"/>
        </w:rPr>
        <w:t>第三层级（中等威胁）：红海航道、哥伦比亚、阿富汗。红海胡塞武装袭击虽非针对中国，但中国作为全球最大贸易国，航运成本上升直接冲击对欧出口竞争力。哥伦比亚非法采矿组织已控制紫金矿业武里蒂卡金矿60%以上矿区。阿富汗塔利班执政后中色集团艾娜克铜矿项目无限期搁置。</w:t>
      </w:r>
    </w:p>
    <w:p>
      <w:pPr>
        <w:pStyle w:val="Heading1"/>
      </w:pPr>
      <w:r>
        <w:rPr>
          <w:rFonts w:ascii="黑体" w:hAnsi="黑体" w:eastAsia="黑体"/>
          <w:color w:val="C0392B"/>
          <w:sz w:val="32"/>
        </w:rPr>
        <w:t>五、对策建议</w:t>
      </w:r>
    </w:p>
    <w:p>
      <w:pPr>
        <w:spacing w:line="360" w:lineRule="auto"/>
        <w:ind w:firstLine="420"/>
      </w:pPr>
      <w:r>
        <w:rPr>
          <w:rFonts w:ascii="黑体" w:hAnsi="黑体" w:eastAsia="黑体"/>
          <w:b/>
          <w:sz w:val="24"/>
        </w:rPr>
        <w:t>1. 强化重点地区安保机制。</w:t>
      </w:r>
      <w:r>
        <w:rPr>
          <w:rFonts w:ascii="宋体" w:hAnsi="宋体" w:eastAsia="宋体"/>
          <w:sz w:val="24"/>
        </w:rPr>
        <w:t>针对巴基斯坦等极高威胁地区，推动建立中方主导的安保力量部署机制，在达苏、瓜达尔等重点项目区域部署专业安保团队。加强与驻在国安全情报共享，建立恐怖袭击预警系统，实现威胁信息提前72小时通报。</w:t>
      </w:r>
    </w:p>
    <w:p>
      <w:pPr>
        <w:spacing w:line="360" w:lineRule="auto"/>
        <w:ind w:firstLine="420"/>
      </w:pPr>
      <w:r>
        <w:rPr>
          <w:rFonts w:ascii="黑体" w:hAnsi="黑体" w:eastAsia="黑体"/>
          <w:b/>
          <w:sz w:val="24"/>
        </w:rPr>
        <w:t>2. 完善海外利益风险评估体系。</w:t>
      </w:r>
      <w:r>
        <w:rPr>
          <w:rFonts w:ascii="宋体" w:hAnsi="宋体" w:eastAsia="宋体"/>
          <w:sz w:val="24"/>
        </w:rPr>
        <w:t>建立覆盖全球的动态风险监测平台，对中资企业海外资产、人员进行实时暴露度评估。将威胁组织活动数据、地区安全形势、企业资产分布等多维数据关联分析，实现自动预警。本平台已具备五大自动预警规则引擎，应持续优化算法并扩大数据覆盖。</w:t>
      </w:r>
    </w:p>
    <w:p>
      <w:pPr>
        <w:spacing w:line="360" w:lineRule="auto"/>
        <w:ind w:firstLine="420"/>
      </w:pPr>
      <w:r>
        <w:rPr>
          <w:rFonts w:ascii="黑体" w:hAnsi="黑体" w:eastAsia="黑体"/>
          <w:b/>
          <w:sz w:val="24"/>
        </w:rPr>
        <w:t>3. 推进供应链多元化与韧性建设。</w:t>
      </w:r>
      <w:r>
        <w:rPr>
          <w:rFonts w:ascii="宋体" w:hAnsi="宋体" w:eastAsia="宋体"/>
          <w:sz w:val="24"/>
        </w:rPr>
        <w:t>针对红海航道中断等航运风险，加快中欧班列等陆上替代通道建设。在矿业领域，评估刚果（金）、赞比亚等高风险国家的供应链替代方案，降低对单一来源的依赖。建立关键矿产战略储备机制。</w:t>
      </w:r>
    </w:p>
    <w:p>
      <w:pPr>
        <w:spacing w:line="360" w:lineRule="auto"/>
        <w:ind w:firstLine="420"/>
      </w:pPr>
      <w:r>
        <w:rPr>
          <w:rFonts w:ascii="黑体" w:hAnsi="黑体" w:eastAsia="黑体"/>
          <w:b/>
          <w:sz w:val="24"/>
        </w:rPr>
        <w:t>4. 加强人员安全培训与应急能力。</w:t>
      </w:r>
      <w:r>
        <w:rPr>
          <w:rFonts w:ascii="宋体" w:hAnsi="宋体" w:eastAsia="宋体"/>
          <w:sz w:val="24"/>
        </w:rPr>
        <w:t>对派往高风险地区的中方人员进行系统的安全培训，包括防恐袭、应急逃生、医疗急救等技能。完善海外公民撤离预案，与外交部、使领馆建立快速响应通道。定期开展安全演练。</w:t>
      </w:r>
    </w:p>
    <w:p>
      <w:pPr>
        <w:spacing w:line="360" w:lineRule="auto"/>
        <w:ind w:firstLine="420"/>
      </w:pPr>
      <w:r>
        <w:rPr>
          <w:rFonts w:ascii="黑体" w:hAnsi="黑体" w:eastAsia="黑体"/>
          <w:b/>
          <w:sz w:val="24"/>
        </w:rPr>
        <w:t>5. 深化国际合作与情报共享。</w:t>
      </w:r>
      <w:r>
        <w:rPr>
          <w:rFonts w:ascii="宋体" w:hAnsi="宋体" w:eastAsia="宋体"/>
          <w:sz w:val="24"/>
        </w:rPr>
        <w:t>加强与重点驻在国的安全合作，推动签署双边安保协议。在上合组织、中非合作论坛等多边框架下建立反恐情报共享机制。参与国际红海护航合作，保障航道安全。</w:t>
      </w:r>
    </w:p>
    <w:p>
      <w:pPr>
        <w:pStyle w:val="Heading1"/>
      </w:pPr>
      <w:r>
        <w:rPr>
          <w:rFonts w:ascii="黑体" w:hAnsi="黑体" w:eastAsia="黑体"/>
          <w:color w:val="C0392B"/>
          <w:sz w:val="32"/>
        </w:rPr>
        <w:t>六、结语</w:t>
      </w:r>
    </w:p>
    <w:p>
      <w:pPr>
        <w:spacing w:line="360" w:lineRule="auto"/>
        <w:ind w:firstLine="420"/>
      </w:pPr>
      <w:r>
        <w:rPr>
          <w:rFonts w:ascii="宋体" w:hAnsi="宋体" w:eastAsia="宋体"/>
          <w:sz w:val="24"/>
        </w:rPr>
        <w:t>当前中国海外利益安全面临的风险挑战呈现多点散发、类型多元、影响叠加的特点。从巴基斯坦的恐怖袭击到刚果（金）的武装冲突，从红海的航运中断到哥伦比亚的非法采矿侵占，中国企业和公民在海外的暴露面持续扩大。必须坚持以总体国家安全观为指导，统筹发展与安全，构建覆盖风险评估、预警监测、应急处置、事后恢复的全链条海外利益保护体系。本平台将持续追踪全球威胁态势动态，为决策提供及时、准确的情报支撑。</w:t>
      </w:r>
    </w:p>
    <w:p/>
    <w:p>
      <w:pPr>
        <w:jc w:val="right"/>
      </w:pPr>
      <w:r>
        <w:rPr>
          <w:rFonts w:ascii="仿宋" w:hAnsi="仿宋" w:eastAsia="仿宋"/>
          <w:i/>
          <w:color w:val="888888"/>
          <w:sz w:val="20"/>
        </w:rPr>
        <w:t>（本报告由海安情报预警平台自动生成，仅供内部参考）</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