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Arial" w:cs="Arial" w:eastAsia="Arial" w:hAnsi="Arial"/>
          <w:b/>
          <w:bCs/>
          <w:color w:val="1F4E79"/>
          <w:sz w:val="36"/>
          <w:szCs w:val="36"/>
        </w:rPr>
        <w:t xml:space="preserve">Controls and Compliance Checklist</w:t>
      </w:r>
    </w:p>
    <w:p>
      <w:pPr>
        <w:spacing w:before="0" w:after="120"/>
      </w:pPr>
      <w:r>
        <w:rPr>
          <w:rFonts w:ascii="Arial" w:cs="Arial" w:eastAsia="Arial" w:hAnsi="Arial"/>
          <w:i/>
          <w:iCs/>
          <w:color w:val="555555"/>
          <w:sz w:val="22"/>
          <w:szCs w:val="22"/>
        </w:rPr>
        <w:t xml:space="preserve">Botium Toys — Security Audit</w:t>
      </w:r>
    </w:p>
    <w:p>
      <w:pPr>
        <w:pBdr>
          <w:bottom w:val="single" w:color="1F4E79" w:sz="6" w:space="1"/>
        </w:pBdr>
        <w:spacing w:before="0" w:after="300"/>
      </w:pPr>
      <w:r>
        <w:t xml:space="preserve"/>
      </w:r>
    </w:p>
    <w:p>
      <w:pPr>
        <w:pStyle w:val="Heading2"/>
      </w:pPr>
      <w:r>
        <w:rPr>
          <w:rFonts w:ascii="Arial" w:cs="Arial" w:eastAsia="Arial" w:hAnsi="Arial"/>
          <w:b/>
          <w:bCs/>
          <w:color w:val="2E74B5"/>
          <w:sz w:val="28"/>
          <w:szCs w:val="28"/>
        </w:rPr>
        <w:t xml:space="preserve">Controls Assessment Checklist</w:t>
      </w:r>
    </w:p>
    <w:p>
      <w:pPr>
        <w:spacing w:before="0" w:after="160"/>
      </w:pPr>
      <w:r>
        <w:rPr>
          <w:rFonts w:ascii="Arial" w:cs="Arial" w:eastAsia="Arial" w:hAnsi="Arial"/>
          <w:i/>
          <w:iCs/>
          <w:color w:val="444444"/>
          <w:sz w:val="20"/>
          <w:szCs w:val="20"/>
        </w:rPr>
        <w:t xml:space="preserve">Does Botium Toys currently have this control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Yes</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 / Best Practice</w:t>
            </w:r>
          </w:p>
        </w:tc>
      </w:tr>
      <w:tr>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
            </w:r>
          </w:p>
        </w:tc>
        <w:tc>
          <w:tcPr>
            <w:tcW w:type="dxa" w:w="12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No</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Least Privilege</w:t>
            </w:r>
          </w:p>
        </w:tc>
      </w:tr>
      <w:tr>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
            </w:r>
          </w:p>
        </w:tc>
        <w:tc>
          <w:tcPr>
            <w:tcW w:type="dxa" w:w="12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No</w:t>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Disaster recovery plans</w:t>
            </w:r>
          </w:p>
        </w:tc>
      </w:tr>
      <w:tr>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
            </w:r>
          </w:p>
        </w:tc>
        <w:tc>
          <w:tcPr>
            <w:tcW w:type="dxa" w:w="12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No</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Password policies</w:t>
            </w:r>
          </w:p>
        </w:tc>
      </w:tr>
      <w:tr>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
            </w:r>
          </w:p>
        </w:tc>
        <w:tc>
          <w:tcPr>
            <w:tcW w:type="dxa" w:w="12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No</w:t>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Separation of duties</w:t>
            </w:r>
          </w:p>
        </w:tc>
      </w:tr>
      <w:tr>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 Yes</w:t>
            </w:r>
          </w:p>
        </w:tc>
        <w:tc>
          <w:tcPr>
            <w:tcW w:type="dxa" w:w="12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Firewall</w:t>
            </w:r>
          </w:p>
        </w:tc>
      </w:tr>
      <w:tr>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
            </w:r>
          </w:p>
        </w:tc>
        <w:tc>
          <w:tcPr>
            <w:tcW w:type="dxa" w:w="12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No</w:t>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Intrusion detection system (IDS)</w:t>
            </w:r>
          </w:p>
        </w:tc>
      </w:tr>
      <w:tr>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
            </w:r>
          </w:p>
        </w:tc>
        <w:tc>
          <w:tcPr>
            <w:tcW w:type="dxa" w:w="12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No</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Backups</w:t>
            </w:r>
          </w:p>
        </w:tc>
      </w:tr>
      <w:tr>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 Yes</w:t>
            </w:r>
          </w:p>
        </w:tc>
        <w:tc>
          <w:tcPr>
            <w:tcW w:type="dxa" w:w="12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Antivirus software</w:t>
            </w:r>
          </w:p>
        </w:tc>
      </w:tr>
      <w:tr>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
            </w:r>
          </w:p>
        </w:tc>
        <w:tc>
          <w:tcPr>
            <w:tcW w:type="dxa" w:w="12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No</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Manual monitoring, maintenance, and intervention for legacy systems</w:t>
            </w:r>
          </w:p>
        </w:tc>
      </w:tr>
      <w:tr>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
            </w:r>
          </w:p>
        </w:tc>
        <w:tc>
          <w:tcPr>
            <w:tcW w:type="dxa" w:w="12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No</w:t>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Encryption</w:t>
            </w:r>
          </w:p>
        </w:tc>
      </w:tr>
      <w:tr>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
            </w:r>
          </w:p>
        </w:tc>
        <w:tc>
          <w:tcPr>
            <w:tcW w:type="dxa" w:w="12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No</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Password management system</w:t>
            </w:r>
          </w:p>
        </w:tc>
      </w:tr>
      <w:tr>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 Yes</w:t>
            </w:r>
          </w:p>
        </w:tc>
        <w:tc>
          <w:tcPr>
            <w:tcW w:type="dxa" w:w="12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Locks (offices, storefront, warehouse)</w:t>
            </w:r>
          </w:p>
        </w:tc>
      </w:tr>
      <w:tr>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 Yes</w:t>
            </w:r>
          </w:p>
        </w:tc>
        <w:tc>
          <w:tcPr>
            <w:tcW w:type="dxa" w:w="12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Closed-circuit television (CCTV) surveillance</w:t>
            </w:r>
          </w:p>
        </w:tc>
      </w:tr>
      <w:tr>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 Yes</w:t>
            </w:r>
          </w:p>
        </w:tc>
        <w:tc>
          <w:tcPr>
            <w:tcW w:type="dxa" w:w="12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Fire detection/prevention (fire alarm, sprinkler system, etc.)</w:t>
            </w:r>
          </w:p>
        </w:tc>
      </w:tr>
    </w:tbl>
    <w:p>
      <w:pPr>
        <w:pStyle w:val="Heading2"/>
        <w:spacing w:before="360" w:after="120"/>
      </w:pPr>
      <w:r>
        <w:rPr>
          <w:rFonts w:ascii="Arial" w:cs="Arial" w:eastAsia="Arial" w:hAnsi="Arial"/>
          <w:b/>
          <w:bCs/>
          <w:color w:val="2E74B5"/>
          <w:sz w:val="28"/>
          <w:szCs w:val="28"/>
        </w:rPr>
        <w:t xml:space="preserve">Compliance Checklist</w:t>
      </w:r>
    </w:p>
    <w:p>
      <w:pPr>
        <w:spacing w:before="0" w:after="200"/>
      </w:pPr>
      <w:r>
        <w:rPr>
          <w:rFonts w:ascii="Arial" w:cs="Arial" w:eastAsia="Arial" w:hAnsi="Arial"/>
          <w:i/>
          <w:iCs/>
          <w:color w:val="444444"/>
          <w:sz w:val="20"/>
          <w:szCs w:val="20"/>
        </w:rPr>
        <w:t xml:space="preserve">Does Botium Toys currently adhere to this compliance best practice?</w:t>
      </w:r>
    </w:p>
    <w:p>
      <w:pPr>
        <w:spacing w:before="240" w:after="120"/>
      </w:pPr>
      <w:r>
        <w:rPr>
          <w:rFonts w:ascii="Arial" w:cs="Arial" w:eastAsia="Arial" w:hAnsi="Arial"/>
          <w:b/>
          <w:bCs/>
          <w:color w:val="1F4E79"/>
          <w:sz w:val="22"/>
          <w:szCs w:val="22"/>
          <w:u w:val="single"/>
        </w:rPr>
        <w:t xml:space="preserve">Payment Card Industry Data Security Standard (PCI DSS)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Yes</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 / Best Practice</w:t>
            </w:r>
          </w:p>
        </w:tc>
      </w:tr>
      <w:tr>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
            </w:r>
          </w:p>
        </w:tc>
        <w:tc>
          <w:tcPr>
            <w:tcW w:type="dxa" w:w="12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No</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Only authorized users have access to customers' credit card information.</w:t>
            </w:r>
          </w:p>
        </w:tc>
      </w:tr>
      <w:tr>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
            </w:r>
          </w:p>
        </w:tc>
        <w:tc>
          <w:tcPr>
            <w:tcW w:type="dxa" w:w="12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No</w:t>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Credit card information is stored, accepted, processed, and transmitted internally, in a secure environment.</w:t>
            </w:r>
          </w:p>
        </w:tc>
      </w:tr>
      <w:tr>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
            </w:r>
          </w:p>
        </w:tc>
        <w:tc>
          <w:tcPr>
            <w:tcW w:type="dxa" w:w="12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No</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Implement data encryption procedures to better secure credit card transaction touchpoints and data.</w:t>
            </w:r>
          </w:p>
        </w:tc>
      </w:tr>
      <w:tr>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
            </w:r>
          </w:p>
        </w:tc>
        <w:tc>
          <w:tcPr>
            <w:tcW w:type="dxa" w:w="12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No</w:t>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Adopt secure password management policies.</w:t>
            </w:r>
          </w:p>
        </w:tc>
      </w:tr>
    </w:tbl>
    <w:p>
      <w:pPr>
        <w:spacing w:before="240" w:after="120"/>
      </w:pPr>
      <w:r>
        <w:rPr>
          <w:rFonts w:ascii="Arial" w:cs="Arial" w:eastAsia="Arial" w:hAnsi="Arial"/>
          <w:b/>
          <w:bCs/>
          <w:color w:val="1F4E79"/>
          <w:sz w:val="22"/>
          <w:szCs w:val="22"/>
          <w:u w:val="single"/>
        </w:rPr>
        <w:t xml:space="preserve">General Data Protection Regulation (GDPR)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Yes</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 / Best Practice</w:t>
            </w:r>
          </w:p>
        </w:tc>
      </w:tr>
      <w:tr>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
            </w:r>
          </w:p>
        </w:tc>
        <w:tc>
          <w:tcPr>
            <w:tcW w:type="dxa" w:w="12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No</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E.U. customers' data is kept private/secured.</w:t>
            </w:r>
          </w:p>
        </w:tc>
      </w:tr>
      <w:tr>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 Yes</w:t>
            </w:r>
          </w:p>
        </w:tc>
        <w:tc>
          <w:tcPr>
            <w:tcW w:type="dxa" w:w="12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There is a plan in place to notify E.U. customers within 72 hours if their data is compromised/there is a breach.</w:t>
            </w:r>
          </w:p>
        </w:tc>
      </w:tr>
      <w:tr>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
            </w:r>
          </w:p>
        </w:tc>
        <w:tc>
          <w:tcPr>
            <w:tcW w:type="dxa" w:w="12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No</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Ensure data is properly classified and inventoried.</w:t>
            </w:r>
          </w:p>
        </w:tc>
      </w:tr>
      <w:tr>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 Yes</w:t>
            </w:r>
          </w:p>
        </w:tc>
        <w:tc>
          <w:tcPr>
            <w:tcW w:type="dxa" w:w="12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Enforce privacy policies, procedures, and processes to properly document and maintain data.</w:t>
            </w:r>
          </w:p>
        </w:tc>
      </w:tr>
    </w:tbl>
    <w:p>
      <w:pPr>
        <w:spacing w:before="240" w:after="120"/>
      </w:pPr>
      <w:r>
        <w:rPr>
          <w:rFonts w:ascii="Arial" w:cs="Arial" w:eastAsia="Arial" w:hAnsi="Arial"/>
          <w:b/>
          <w:bCs/>
          <w:color w:val="1F4E79"/>
          <w:sz w:val="22"/>
          <w:szCs w:val="22"/>
          <w:u w:val="single"/>
        </w:rPr>
        <w:t xml:space="preserve">System and Organizations Controls (SOC type 1, SOC type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Yes</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 / Best Practice</w:t>
            </w:r>
          </w:p>
        </w:tc>
      </w:tr>
      <w:tr>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
            </w:r>
          </w:p>
        </w:tc>
        <w:tc>
          <w:tcPr>
            <w:tcW w:type="dxa" w:w="12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No</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User access policies are established.</w:t>
            </w:r>
          </w:p>
        </w:tc>
      </w:tr>
      <w:tr>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
            </w:r>
          </w:p>
        </w:tc>
        <w:tc>
          <w:tcPr>
            <w:tcW w:type="dxa" w:w="12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No</w:t>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Sensitive data (PII/SPII) is confidential/private.</w:t>
            </w:r>
          </w:p>
        </w:tc>
      </w:tr>
      <w:tr>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 Yes</w:t>
            </w:r>
          </w:p>
        </w:tc>
        <w:tc>
          <w:tcPr>
            <w:tcW w:type="dxa" w:w="12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 integrity ensures the data is consistent, complete, accurate, and has been validated.</w:t>
            </w:r>
          </w:p>
        </w:tc>
      </w:tr>
      <w:tr>
        <w:tc>
          <w:tcPr>
            <w:tcW w:type="dxa" w:w="120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 Yes</w:t>
            </w:r>
          </w:p>
        </w:tc>
        <w:tc>
          <w:tcPr>
            <w:tcW w:type="dxa" w:w="12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
            </w:r>
          </w:p>
        </w:tc>
        <w:tc>
          <w:tcPr>
            <w:tcW w:type="dxa" w:w="69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Arial" w:cs="Arial" w:eastAsia="Arial" w:hAnsi="Arial"/>
                <w:sz w:val="20"/>
                <w:szCs w:val="20"/>
              </w:rPr>
              <w:t xml:space="preserve">Data is available to individuals authorized to access it.</w:t>
            </w:r>
          </w:p>
        </w:tc>
      </w:tr>
    </w:tbl>
    <w:p>
      <w:pPr>
        <w:pStyle w:val="Heading2"/>
        <w:spacing w:before="360" w:after="120"/>
      </w:pPr>
      <w:r>
        <w:rPr>
          <w:rFonts w:ascii="Arial" w:cs="Arial" w:eastAsia="Arial" w:hAnsi="Arial"/>
          <w:b/>
          <w:bCs/>
          <w:color w:val="2E74B5"/>
          <w:sz w:val="28"/>
          <w:szCs w:val="28"/>
        </w:rPr>
        <w:t xml:space="preserve">Recommendations</w:t>
      </w:r>
    </w:p>
    <w:p>
      <w:pPr>
        <w:spacing w:before="100" w:after="100"/>
      </w:pPr>
      <w:r>
        <w:rPr>
          <w:rFonts w:ascii="Arial" w:cs="Arial" w:eastAsia="Arial" w:hAnsi="Arial"/>
          <w:sz w:val="20"/>
          <w:szCs w:val="20"/>
        </w:rPr>
        <w:t xml:space="preserve">Based on the risk assessment, the following controls and compliance measures should be prioritized immediately:</w:t>
      </w:r>
    </w:p>
    <w:p>
      <w:pPr>
        <w:spacing w:before="100" w:after="100"/>
      </w:pPr>
      <w:r>
        <w:rPr>
          <w:rFonts w:ascii="Arial" w:cs="Arial" w:eastAsia="Arial" w:hAnsi="Arial"/>
          <w:sz w:val="20"/>
          <w:szCs w:val="20"/>
        </w:rPr>
        <w:t xml:space="preserve">1. Least Privilege &amp; Separation of Duties: Currently all employees have unrestricted access to internal data including PII and cardholder data. Implementing role-based access controls is critical to reducing insider threat risk.</w:t>
      </w:r>
    </w:p>
    <w:p>
      <w:pPr>
        <w:spacing w:before="100" w:after="100"/>
      </w:pPr>
      <w:r>
        <w:rPr>
          <w:rFonts w:ascii="Arial" w:cs="Arial" w:eastAsia="Arial" w:hAnsi="Arial"/>
          <w:sz w:val="20"/>
          <w:szCs w:val="20"/>
        </w:rPr>
        <w:t xml:space="preserve">2. Encryption: Credit card data is stored, processed, and transmitted without encryption, creating severe PCI DSS violations and customer data exposure risk. Encryption must be implemented across all credit card touchpoints.</w:t>
      </w:r>
    </w:p>
    <w:p>
      <w:pPr>
        <w:spacing w:before="100" w:after="100"/>
      </w:pPr>
      <w:r>
        <w:rPr>
          <w:rFonts w:ascii="Arial" w:cs="Arial" w:eastAsia="Arial" w:hAnsi="Arial"/>
          <w:sz w:val="20"/>
          <w:szCs w:val="20"/>
        </w:rPr>
        <w:t xml:space="preserve">3. Disaster Recovery Plans &amp; Backups: No recovery plans or data backups exist. A single incident could cause irreversible data loss and extended business interruption.</w:t>
      </w:r>
    </w:p>
    <w:p>
      <w:pPr>
        <w:spacing w:before="100" w:after="100"/>
      </w:pPr>
      <w:r>
        <w:rPr>
          <w:rFonts w:ascii="Arial" w:cs="Arial" w:eastAsia="Arial" w:hAnsi="Arial"/>
          <w:sz w:val="20"/>
          <w:szCs w:val="20"/>
        </w:rPr>
        <w:t xml:space="preserve">4. Intrusion Detection System (IDS): The current firewall alone is insufficient without an IDS to detect anomalous traffic and active threats.</w:t>
      </w:r>
    </w:p>
    <w:p>
      <w:pPr>
        <w:spacing w:before="100" w:after="100"/>
      </w:pPr>
      <w:r>
        <w:rPr>
          <w:rFonts w:ascii="Arial" w:cs="Arial" w:eastAsia="Arial" w:hAnsi="Arial"/>
          <w:sz w:val="20"/>
          <w:szCs w:val="20"/>
        </w:rPr>
        <w:t xml:space="preserve">5. Password Management System: A centralized password manager should enforce the existing policy's requirements consistently across all employees and vendors.</w:t>
      </w:r>
    </w:p>
    <w:p>
      <w:pPr>
        <w:spacing w:before="100" w:after="100"/>
      </w:pPr>
      <w:r>
        <w:rPr>
          <w:rFonts w:ascii="Arial" w:cs="Arial" w:eastAsia="Arial" w:hAnsi="Arial"/>
          <w:sz w:val="20"/>
          <w:szCs w:val="20"/>
        </w:rPr>
        <w:t xml:space="preserve">6. Legacy System Monitoring Schedule: A formal, documented schedule for legacy system maintenance is needed to ensure consistent coverage.</w:t>
      </w:r>
    </w:p>
    <w:p>
      <w:pPr>
        <w:spacing w:before="100" w:after="100"/>
      </w:pPr>
      <w:r>
        <w:rPr>
          <w:rFonts w:ascii="Arial" w:cs="Arial" w:eastAsia="Arial" w:hAnsi="Arial"/>
          <w:sz w:val="20"/>
          <w:szCs w:val="20"/>
        </w:rPr>
        <w:t xml:space="preserve">Compliance gaps in PCI DSS (encryption, access controls) and GDPR (data classification) represent the highest regulatory and financial risk. While physical controls and some notification procedures are already in place, the digital control gaps expose Botium Toys to significant fines and reputational harm.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2026-03-10T16:46:51.854Z</dcterms:created>
  <dcterms:modified xsi:type="dcterms:W3CDTF">2026-03-10T16:46:51.855Z</dcterms:modified>
</cp:coreProperties>
</file>

<file path=docProps/custom.xml><?xml version="1.0" encoding="utf-8"?>
<Properties xmlns="http://schemas.openxmlformats.org/officeDocument/2006/custom-properties" xmlns:vt="http://schemas.openxmlformats.org/officeDocument/2006/docPropsVTypes"/>
</file>