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color w:val="141414"/>
          <w:sz w:val="52"/>
        </w:rPr>
        <w:t>AuraBridge</w:t>
      </w:r>
    </w:p>
    <w:p>
      <w:pPr>
        <w:spacing w:before="0" w:after="160"/>
      </w:pPr>
      <w:r>
        <w:rPr>
          <w:color w:val="5F5F5F"/>
          <w:sz w:val="28"/>
        </w:rPr>
        <w:t>Mission, Vision &amp; Values</w:t>
      </w:r>
    </w:p>
    <w:p>
      <w:pPr>
        <w:spacing w:after="200"/>
      </w:pPr>
      <w:r>
        <w:rPr>
          <w:color w:val="828282"/>
          <w:sz w:val="19"/>
        </w:rPr>
        <w:t>Corporate identity and strategic direction</w:t>
      </w:r>
    </w:p>
    <w:p>
      <w:pPr>
        <w:spacing w:before="40" w:after="160"/>
        <w:pBdr>
          <w:bottom w:val="single" w:sz="6" w:space="1" w:color="D9D9D9"/>
        </w:pBdr>
      </w:pPr>
    </w:p>
    <w:p>
      <w:pPr>
        <w:pStyle w:val="Heading1"/>
        <w:spacing w:before="240" w:after="120"/>
      </w:pPr>
      <w:r>
        <w:t>Company Positioning  公司定位</w:t>
      </w:r>
    </w:p>
    <w:p>
      <w:pPr>
        <w:spacing w:after="40" w:line="259" w:lineRule="auto"/>
      </w:pPr>
      <w:r>
        <w:rPr>
          <w:b w:val="0"/>
          <w:sz w:val="21"/>
        </w:rPr>
        <w:t>AuraBridge 专注于将亚洲的医疗美容与健康创新引入欧洲市场。公司聚焦美容、头皮护理、医疗健康及相关设备，通过连接亚洲的研发、制造和供应链能力，与欧洲本地的消费者需求、法规要求、销售渠道和品牌发展机会，为产品进入欧洲市场提供完整支持。</w:t>
      </w:r>
    </w:p>
    <w:p>
      <w:pPr>
        <w:spacing w:before="0" w:after="160" w:line="259" w:lineRule="auto"/>
      </w:pPr>
      <w:r>
        <w:rPr>
          <w:i/>
          <w:color w:val="595959"/>
          <w:sz w:val="20"/>
        </w:rPr>
        <w:t>AuraBridge focuses on bringing Asian medical beauty and health innovations to the European market. By connecting Asian R&amp;D, manufacturing and supply-chain capabilities with local consumer needs, regulatory requirements, distribution channels and brand-building opportunities, AuraBridge supports the full market-entry journey in Europe.</w:t>
      </w:r>
    </w:p>
    <w:p>
      <w:pPr>
        <w:pStyle w:val="Heading1"/>
        <w:spacing w:before="240" w:after="120"/>
      </w:pPr>
      <w:r>
        <w:t>Mission &amp; Vision  使命与愿景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vAlign w:val="top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  <w:insideH w:val="single" w:sz="4" w:color="E6E6E6"/>
              <w:insideV w:val="single" w:sz="4" w:color="E6E6E6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MISSION</w:t>
            </w:r>
            <w:r>
              <w:rPr>
                <w:color w:val="6E6E6E"/>
                <w:sz w:val="18"/>
              </w:rPr>
              <w:br/>
              <w:t>使命</w:t>
            </w:r>
          </w:p>
        </w:tc>
        <w:tc>
          <w:tcPr>
            <w:tcW w:type="dxa" w:w="8496"/>
            <w:vAlign w:val="top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  <w:insideH w:val="single" w:sz="4" w:color="E6E6E6"/>
              <w:insideV w:val="single" w:sz="4" w:color="E6E6E6"/>
            </w:tcBorders>
          </w:tcPr>
          <w:p>
            <w:pPr>
              <w:spacing w:after="60"/>
            </w:pPr>
            <w:r>
              <w:rPr>
                <w:b/>
                <w:sz w:val="22"/>
              </w:rPr>
              <w:t>连接亚洲创新与欧洲医疗美容市场，为消费者提供安全、可靠、以用户为中心的健康与美容解决方案。</w:t>
            </w:r>
          </w:p>
          <w:p>
            <w:pPr>
              <w:spacing w:before="0" w:after="0"/>
            </w:pPr>
            <w:r>
              <w:rPr>
                <w:i/>
                <w:color w:val="555555"/>
                <w:sz w:val="20"/>
              </w:rPr>
              <w:t>To connect Asian innovation with the European medical beauty market and deliver safe, reliable and user-centered health and beauty solutions.</w:t>
            </w:r>
          </w:p>
        </w:tc>
      </w:tr>
      <w:tr>
        <w:tc>
          <w:tcPr>
            <w:tcW w:type="dxa" w:w="2160"/>
            <w:vAlign w:val="top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  <w:insideH w:val="single" w:sz="4" w:color="E6E6E6"/>
              <w:insideV w:val="single" w:sz="4" w:color="E6E6E6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VISION</w:t>
            </w:r>
            <w:r>
              <w:rPr>
                <w:color w:val="6E6E6E"/>
                <w:sz w:val="18"/>
              </w:rPr>
              <w:br/>
              <w:t>愿景</w:t>
            </w:r>
          </w:p>
        </w:tc>
        <w:tc>
          <w:tcPr>
            <w:tcW w:type="dxa" w:w="8496"/>
            <w:vAlign w:val="top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  <w:insideH w:val="single" w:sz="4" w:color="E6E6E6"/>
              <w:insideV w:val="single" w:sz="4" w:color="E6E6E6"/>
            </w:tcBorders>
          </w:tcPr>
          <w:p>
            <w:pPr>
              <w:spacing w:after="60"/>
            </w:pPr>
            <w:r>
              <w:rPr>
                <w:b/>
                <w:sz w:val="22"/>
              </w:rPr>
              <w:t>成为连接亚洲医疗美容创新与欧洲市场的可信赖桥梁。</w:t>
            </w:r>
          </w:p>
          <w:p>
            <w:pPr>
              <w:spacing w:before="0" w:after="0"/>
            </w:pPr>
            <w:r>
              <w:rPr>
                <w:i/>
                <w:color w:val="555555"/>
                <w:sz w:val="20"/>
              </w:rPr>
              <w:t>To become the trusted bridge between Asian medical beauty innovation and the European market.</w:t>
            </w:r>
          </w:p>
        </w:tc>
      </w:tr>
    </w:tbl>
    <w:p>
      <w:pPr>
        <w:pStyle w:val="Heading1"/>
        <w:spacing w:before="240" w:after="120"/>
      </w:pPr>
      <w:r>
        <w:t>Core Values  核心价值观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92"/>
            <w:vAlign w:val="top"/>
            <w:tcBorders>
              <w:bottom w:val="single" w:sz="4" w:color="EAEAEA"/>
            </w:tcBorders>
          </w:tcPr>
          <w:p>
            <w:pPr>
              <w:jc w:val="center"/>
            </w:pPr>
            <w:r>
              <w:rPr>
                <w:b/>
                <w:color w:val="787878"/>
                <w:sz w:val="20"/>
              </w:rPr>
              <w:t>01</w:t>
            </w:r>
          </w:p>
        </w:tc>
        <w:tc>
          <w:tcPr>
            <w:tcW w:type="dxa" w:w="9792"/>
            <w:vAlign w:val="top"/>
            <w:tcBorders>
              <w:bottom w:val="single" w:sz="4" w:color="EAEAEA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Safety First  |  安全优先</w:t>
            </w:r>
          </w:p>
          <w:p>
            <w:pPr>
              <w:spacing w:after="20"/>
            </w:pPr>
            <w:r>
              <w:rPr>
                <w:sz w:val="20"/>
              </w:rPr>
              <w:t>将产品安全、法规合规和消费者信任放在首位。</w:t>
            </w:r>
          </w:p>
          <w:p>
            <w:pPr>
              <w:spacing w:before="0" w:after="0"/>
            </w:pPr>
            <w:r>
              <w:rPr>
                <w:i/>
                <w:color w:val="5A5A5A"/>
                <w:sz w:val="19"/>
              </w:rPr>
              <w:t>We put product safety, regulatory compliance and consumer trust first.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92"/>
            <w:vAlign w:val="top"/>
            <w:tcBorders>
              <w:bottom w:val="single" w:sz="4" w:color="EAEAEA"/>
            </w:tcBorders>
          </w:tcPr>
          <w:p>
            <w:pPr>
              <w:jc w:val="center"/>
            </w:pPr>
            <w:r>
              <w:rPr>
                <w:b/>
                <w:color w:val="787878"/>
                <w:sz w:val="20"/>
              </w:rPr>
              <w:t>02</w:t>
            </w:r>
          </w:p>
        </w:tc>
        <w:tc>
          <w:tcPr>
            <w:tcW w:type="dxa" w:w="9792"/>
            <w:vAlign w:val="top"/>
            <w:tcBorders>
              <w:bottom w:val="single" w:sz="4" w:color="EAEAEA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Evidence over Hype  |  证据高于营销</w:t>
            </w:r>
          </w:p>
          <w:p>
            <w:pPr>
              <w:spacing w:after="20"/>
            </w:pPr>
            <w:r>
              <w:rPr>
                <w:sz w:val="20"/>
              </w:rPr>
              <w:t>尊重科学、真实数据和实际使用结果，不夸大产品效果，也不通过制造焦虑进行营销。</w:t>
            </w:r>
          </w:p>
          <w:p>
            <w:pPr>
              <w:spacing w:before="0" w:after="0"/>
            </w:pPr>
            <w:r>
              <w:rPr>
                <w:i/>
                <w:color w:val="5A5A5A"/>
                <w:sz w:val="19"/>
              </w:rPr>
              <w:t>We value scientific evidence, real data and practical results over exaggerated claims and empty hype.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92"/>
            <w:vAlign w:val="top"/>
            <w:tcBorders>
              <w:bottom w:val="single" w:sz="4" w:color="EAEAEA"/>
            </w:tcBorders>
          </w:tcPr>
          <w:p>
            <w:pPr>
              <w:jc w:val="center"/>
            </w:pPr>
            <w:r>
              <w:rPr>
                <w:b/>
                <w:color w:val="787878"/>
                <w:sz w:val="20"/>
              </w:rPr>
              <w:t>03</w:t>
            </w:r>
          </w:p>
        </w:tc>
        <w:tc>
          <w:tcPr>
            <w:tcW w:type="dxa" w:w="9792"/>
            <w:vAlign w:val="top"/>
            <w:tcBorders>
              <w:bottom w:val="single" w:sz="4" w:color="EAEAEA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User-Centered Innovation  |  以用户为中心的创新</w:t>
            </w:r>
          </w:p>
          <w:p>
            <w:pPr>
              <w:spacing w:after="20"/>
            </w:pPr>
            <w:r>
              <w:rPr>
                <w:sz w:val="20"/>
              </w:rPr>
              <w:t>从真实用户需求和使用痛点出发，让产品更简单、更舒适、更可靠、更高效。</w:t>
            </w:r>
          </w:p>
          <w:p>
            <w:pPr>
              <w:spacing w:before="0" w:after="0"/>
            </w:pPr>
            <w:r>
              <w:rPr>
                <w:i/>
                <w:color w:val="5A5A5A"/>
                <w:sz w:val="19"/>
              </w:rPr>
              <w:t>We innovate around real user needs, making products simpler, more comfortable, more reliable and more efficient to use.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92"/>
            <w:vAlign w:val="top"/>
            <w:tcBorders>
              <w:bottom w:val="single" w:sz="4" w:color="EAEAEA"/>
            </w:tcBorders>
          </w:tcPr>
          <w:p>
            <w:pPr>
              <w:jc w:val="center"/>
            </w:pPr>
            <w:r>
              <w:rPr>
                <w:b/>
                <w:color w:val="787878"/>
                <w:sz w:val="20"/>
              </w:rPr>
              <w:t>04</w:t>
            </w:r>
          </w:p>
        </w:tc>
        <w:tc>
          <w:tcPr>
            <w:tcW w:type="dxa" w:w="9792"/>
            <w:vAlign w:val="top"/>
            <w:tcBorders>
              <w:bottom w:val="single" w:sz="4" w:color="EAEAEA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Local Insight  |  本地化理解</w:t>
            </w:r>
          </w:p>
          <w:p>
            <w:pPr>
              <w:spacing w:after="20"/>
            </w:pPr>
            <w:r>
              <w:rPr>
                <w:sz w:val="20"/>
              </w:rPr>
              <w:t>尊重不同市场的文化、消费习惯、法规与渠道差异，并根据当地实际需求调整产品与市场策略。</w:t>
            </w:r>
          </w:p>
          <w:p>
            <w:pPr>
              <w:spacing w:before="0" w:after="0"/>
            </w:pPr>
            <w:r>
              <w:rPr>
                <w:i/>
                <w:color w:val="5A5A5A"/>
                <w:sz w:val="19"/>
              </w:rPr>
              <w:t>We respect local cultures, consumer behaviors, regulations and market realities, adapting products and strategies to local needs.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92"/>
            <w:vAlign w:val="top"/>
            <w:tcBorders>
              <w:bottom w:val="single" w:sz="4" w:color="EAEAEA"/>
            </w:tcBorders>
          </w:tcPr>
          <w:p>
            <w:pPr>
              <w:jc w:val="center"/>
            </w:pPr>
            <w:r>
              <w:rPr>
                <w:b/>
                <w:color w:val="787878"/>
                <w:sz w:val="20"/>
              </w:rPr>
              <w:t>05</w:t>
            </w:r>
          </w:p>
        </w:tc>
        <w:tc>
          <w:tcPr>
            <w:tcW w:type="dxa" w:w="9792"/>
            <w:vAlign w:val="top"/>
            <w:tcBorders>
              <w:bottom w:val="single" w:sz="4" w:color="EAEAEA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Long-Term Partnership  |  长期合作</w:t>
            </w:r>
          </w:p>
          <w:p>
            <w:pPr>
              <w:spacing w:after="20"/>
            </w:pPr>
            <w:r>
              <w:rPr>
                <w:sz w:val="20"/>
              </w:rPr>
              <w:t>重视长期信任而非短期交易，与品牌、工厂、经销商及客户共同成长。</w:t>
            </w:r>
          </w:p>
          <w:p>
            <w:pPr>
              <w:spacing w:before="0" w:after="0"/>
            </w:pPr>
            <w:r>
              <w:rPr>
                <w:i/>
                <w:color w:val="5A5A5A"/>
                <w:sz w:val="19"/>
              </w:rPr>
              <w:t>We build long-term partnerships based on trust, transparency and shared growth.</w:t>
            </w:r>
          </w:p>
        </w:tc>
      </w:tr>
    </w:tbl>
    <w:p>
      <w:pPr>
        <w:pStyle w:val="Heading1"/>
        <w:spacing w:before="240" w:after="120"/>
      </w:pPr>
      <w:r>
        <w:t>One-Sentence Introduction  一句话介绍</w:t>
      </w:r>
    </w:p>
    <w:p>
      <w:pPr>
        <w:spacing w:after="40" w:line="259" w:lineRule="auto"/>
      </w:pPr>
      <w:r>
        <w:rPr>
          <w:b/>
          <w:sz w:val="22"/>
        </w:rPr>
        <w:t>AuraBridge 专注于连接亚洲医疗美容与健康创新和欧洲市场。</w:t>
      </w:r>
    </w:p>
    <w:p>
      <w:pPr>
        <w:spacing w:before="0" w:after="160" w:line="259" w:lineRule="auto"/>
      </w:pPr>
      <w:r>
        <w:rPr>
          <w:i/>
          <w:color w:val="595959"/>
          <w:sz w:val="20"/>
        </w:rPr>
        <w:t>AuraBridge connects innovative Asian medical beauty and health products with the European market.</w:t>
      </w:r>
    </w:p>
    <w:p>
      <w:pPr>
        <w:pStyle w:val="Heading1"/>
        <w:spacing w:before="240" w:after="120"/>
      </w:pPr>
      <w:r>
        <w:t>Brand Purpose  品牌存在的意义</w:t>
      </w:r>
    </w:p>
    <w:p>
      <w:pPr>
        <w:spacing w:after="120"/>
      </w:pPr>
      <w:r>
        <w:rPr>
          <w:b/>
          <w:sz w:val="21"/>
        </w:rPr>
        <w:t>AuraBridge 不只是将产品从亚洲销售到欧洲。</w:t>
      </w:r>
    </w:p>
    <w:p>
      <w:pPr>
        <w:pStyle w:val="ListBullet"/>
        <w:spacing w:after="40"/>
      </w:pPr>
      <w:r>
        <w:t>判断产品是否真正适合欧洲消费者</w:t>
      </w:r>
    </w:p>
    <w:p>
      <w:pPr>
        <w:pStyle w:val="ListBullet"/>
        <w:spacing w:after="40"/>
      </w:pPr>
      <w:r>
        <w:t>根据欧洲市场需求优化产品定位</w:t>
      </w:r>
    </w:p>
    <w:p>
      <w:pPr>
        <w:pStyle w:val="ListBullet"/>
        <w:spacing w:after="40"/>
      </w:pPr>
      <w:r>
        <w:t>协助产品满足当地法规、标签和合规要求</w:t>
      </w:r>
    </w:p>
    <w:p>
      <w:pPr>
        <w:pStyle w:val="ListBullet"/>
        <w:spacing w:after="40"/>
      </w:pPr>
      <w:r>
        <w:t>寻找合适的经销商、零售渠道和合作伙伴</w:t>
      </w:r>
    </w:p>
    <w:p>
      <w:pPr>
        <w:pStyle w:val="ListBullet"/>
        <w:spacing w:after="40"/>
      </w:pPr>
      <w:r>
        <w:t>帮助亚洲医疗美容品牌在欧洲建立长期市场</w:t>
      </w:r>
    </w:p>
    <w:p>
      <w:pPr>
        <w:pStyle w:val="ListBullet"/>
        <w:spacing w:after="40"/>
      </w:pPr>
      <w:r>
        <w:t>将消费者反馈传递给工厂与研发团队，推动产品持续改进</w:t>
      </w:r>
    </w:p>
    <w:p>
      <w:pPr>
        <w:spacing w:before="100" w:after="40"/>
      </w:pPr>
      <w:r>
        <w:rPr>
          <w:b/>
        </w:rPr>
        <w:t>AuraBridge 的价值，不只是“出口产品”，而是建立一座连接研发、制造、法规、渠道与消费者需求的桥梁。</w:t>
      </w:r>
    </w:p>
    <w:p>
      <w:pPr>
        <w:pStyle w:val="Heading1"/>
        <w:spacing w:before="240" w:after="120"/>
      </w:pPr>
      <w:r>
        <w:t>Business Focus  业务重点</w:t>
      </w:r>
    </w:p>
    <w:p>
      <w:pPr>
        <w:pStyle w:val="ListBullet"/>
        <w:spacing w:after="40"/>
      </w:pPr>
      <w:r>
        <w:t>头皮护理设备</w:t>
      </w:r>
    </w:p>
    <w:p>
      <w:pPr>
        <w:pStyle w:val="ListBullet"/>
        <w:spacing w:after="40"/>
      </w:pPr>
      <w:r>
        <w:t>头皮上药器及液体涂抹设备</w:t>
      </w:r>
    </w:p>
    <w:p>
      <w:pPr>
        <w:pStyle w:val="ListBullet"/>
        <w:spacing w:after="40"/>
      </w:pPr>
      <w:r>
        <w:t>红光及光疗美容设备</w:t>
      </w:r>
    </w:p>
    <w:p>
      <w:pPr>
        <w:pStyle w:val="ListBullet"/>
        <w:spacing w:after="40"/>
      </w:pPr>
      <w:r>
        <w:t>医疗美容设备</w:t>
      </w:r>
    </w:p>
    <w:p>
      <w:pPr>
        <w:pStyle w:val="ListBullet"/>
        <w:spacing w:after="40"/>
      </w:pPr>
      <w:r>
        <w:t>家庭健康设备</w:t>
      </w:r>
    </w:p>
    <w:p>
      <w:pPr>
        <w:pStyle w:val="ListBullet"/>
        <w:spacing w:after="40"/>
      </w:pPr>
      <w:r>
        <w:t>雾化及呼吸护理设备</w:t>
      </w:r>
    </w:p>
    <w:p>
      <w:pPr>
        <w:pStyle w:val="ListBullet"/>
        <w:spacing w:after="40"/>
      </w:pPr>
      <w:r>
        <w:t>康复及日常护理产品</w:t>
      </w:r>
    </w:p>
    <w:p>
      <w:pPr>
        <w:pStyle w:val="ListBullet"/>
        <w:spacing w:after="40"/>
      </w:pPr>
      <w:r>
        <w:t>亚洲医疗美容品牌的欧洲市场进入</w:t>
      </w:r>
    </w:p>
    <w:p>
      <w:pPr>
        <w:pStyle w:val="ListBullet"/>
        <w:spacing w:after="40"/>
      </w:pPr>
      <w:r>
        <w:t>OEM / ODM 与品牌合作</w:t>
      </w:r>
    </w:p>
    <w:p>
      <w:pPr>
        <w:pStyle w:val="ListBullet"/>
        <w:spacing w:after="40"/>
      </w:pPr>
      <w:r>
        <w:t>欧洲分销与渠道开发</w:t>
      </w:r>
    </w:p>
    <w:p>
      <w:pPr>
        <w:spacing w:before="140" w:after="0"/>
      </w:pPr>
      <w:r>
        <w:rPr>
          <w:b/>
          <w:sz w:val="21"/>
        </w:rPr>
        <w:t>Scope note｜业务边界</w:t>
      </w:r>
    </w:p>
    <w:p>
      <w:pPr>
        <w:spacing w:before="20" w:after="0"/>
      </w:pPr>
      <w:r>
        <w:t>AuraBridge 不将户外露营床、泳圈、泳池浮具等产品纳入主营范围，以保持清晰、专业且统一的医疗美容与健康品牌定位。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69696"/>
        <w:sz w:val="16"/>
      </w:rPr>
      <w:t>AuraBridge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1F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1F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