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2" w:displacedByCustomXml="next"/>
    <w:bookmarkStart w:id="1" w:name="_Toc221721583" w:displacedByCustomXml="next"/>
    <w:bookmarkStart w:id="2" w:name="OLE_LINK1" w:displacedByCustomXml="next"/>
    <w:bookmarkStart w:id="3" w:name="OLE_LINK33" w:displacedByCustomXml="next"/>
    <w:sdt>
      <w:sdtPr>
        <w:id w:val="854233524"/>
        <w:docPartObj>
          <w:docPartGallery w:val="Cover Pages"/>
          <w:docPartUnique/>
        </w:docPartObj>
      </w:sdtPr>
      <w:sdtEndPr>
        <w:rPr>
          <w:b/>
        </w:rPr>
      </w:sdtEndPr>
      <w:sdtContent>
        <w:p w14:paraId="2E89DB91" w14:textId="480EBC48" w:rsidR="00CA1F0D" w:rsidRPr="00F36202" w:rsidRDefault="006F5FDF" w:rsidP="00CA1F0D">
          <w:pPr>
            <w:rPr>
              <w:color w:val="2F5496" w:themeColor="accent1" w:themeShade="BF"/>
            </w:rPr>
          </w:pPr>
          <w:r>
            <w:rPr>
              <w:noProof/>
            </w:rPr>
            <w:drawing>
              <wp:anchor distT="0" distB="0" distL="114300" distR="114300" simplePos="0" relativeHeight="251670528" behindDoc="0" locked="0" layoutInCell="1" allowOverlap="1" wp14:anchorId="3B876B4F" wp14:editId="097315F9">
                <wp:simplePos x="0" y="0"/>
                <wp:positionH relativeFrom="column">
                  <wp:posOffset>-154940</wp:posOffset>
                </wp:positionH>
                <wp:positionV relativeFrom="paragraph">
                  <wp:posOffset>0</wp:posOffset>
                </wp:positionV>
                <wp:extent cx="4080510" cy="1413510"/>
                <wp:effectExtent l="0" t="0" r="0" b="0"/>
                <wp:wrapTopAndBottom/>
                <wp:docPr id="355202219" name="Image 3"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2219" name="Image 3" descr="Une image contenant texte, Police, logo, Graphiqu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0510" cy="1413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763A" w:rsidRPr="000F763A">
            <w:t xml:space="preserve"> </w:t>
          </w:r>
          <w:r w:rsidR="00352CD7">
            <w:t xml:space="preserve"> </w:t>
          </w:r>
          <w:r w:rsidR="000F763A" w:rsidRPr="00F36202">
            <w:rPr>
              <w:rFonts w:ascii="Times New Roman" w:hAnsi="Times New Roman" w:cs="Times New Roman"/>
              <w:b/>
              <w:bCs/>
              <w:i/>
              <w:iCs/>
              <w:color w:val="2F5496" w:themeColor="accent1" w:themeShade="BF"/>
              <w:sz w:val="28"/>
              <w:szCs w:val="28"/>
            </w:rPr>
            <w:t>Master 2 Innovation, Marché et Sciences des Données</w:t>
          </w:r>
          <w:r w:rsidR="008B6480" w:rsidRPr="00F36202">
            <w:rPr>
              <w:noProof/>
              <w:color w:val="2F5496" w:themeColor="accent1" w:themeShade="BF"/>
            </w:rPr>
            <mc:AlternateContent>
              <mc:Choice Requires="wpg">
                <w:drawing>
                  <wp:anchor distT="0" distB="0" distL="114300" distR="114300" simplePos="0" relativeHeight="251663360" behindDoc="0" locked="0" layoutInCell="1" allowOverlap="1" wp14:anchorId="374E61A2" wp14:editId="4984C6DF">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2DCEEA3" id="Groupe 115" o:spid="_x0000_s1026" style="position:absolute;margin-left:0;margin-top:0;width:18pt;height:10in;z-index:25166336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" fillcolor="#2f5496 [2404]" stroked="f" strokeweight="1pt">
                      <o:lock v:ext="edit" aspectratio="t"/>
                    </v:rect>
                    <w10:wrap anchorx="page" anchory="page"/>
                  </v:group>
                </w:pict>
              </mc:Fallback>
            </mc:AlternateContent>
          </w:r>
        </w:p>
        <w:p w14:paraId="1C4A0226" w14:textId="77777777" w:rsidR="008C4A75" w:rsidRDefault="008C4A75" w:rsidP="00CA1F0D"/>
        <w:p w14:paraId="5B01C550" w14:textId="77777777" w:rsidR="004273F3" w:rsidRDefault="004273F3" w:rsidP="00CA1F0D"/>
        <w:p w14:paraId="2AEDFA7B" w14:textId="52995DBB" w:rsidR="001C375E" w:rsidRDefault="0041611F" w:rsidP="00CA1F0D">
          <w:r>
            <w:rPr>
              <w:rFonts w:ascii="Times New Roman" w:hAnsi="Times New Roman" w:cs="Times New Roman"/>
              <w:sz w:val="24"/>
              <w:szCs w:val="24"/>
            </w:rPr>
            <w:pict w14:anchorId="1070CDF1">
              <v:rect id="_x0000_i1025" style="width:0;height:1.5pt" o:hralign="center" o:hrstd="t" o:hr="t" fillcolor="#a0a0a0" stroked="f"/>
            </w:pict>
          </w:r>
        </w:p>
        <w:p w14:paraId="3576FE25" w14:textId="274596BD" w:rsidR="00CA1F0D" w:rsidRPr="00B80B56" w:rsidRDefault="00B80B56" w:rsidP="00B80B56">
          <w:pPr>
            <w:jc w:val="center"/>
            <w:rPr>
              <w:rFonts w:ascii="Times New Roman" w:hAnsi="Times New Roman" w:cs="Times New Roman"/>
              <w:b/>
              <w:bCs/>
              <w:color w:val="ED7D31" w:themeColor="accent2"/>
              <w:sz w:val="48"/>
              <w:szCs w:val="48"/>
            </w:rPr>
          </w:pPr>
          <w:r>
            <w:rPr>
              <w:rFonts w:ascii="Times New Roman" w:hAnsi="Times New Roman" w:cs="Times New Roman"/>
              <w:color w:val="ED7D31" w:themeColor="accent2"/>
              <w:sz w:val="48"/>
              <w:szCs w:val="48"/>
            </w:rPr>
            <w:t xml:space="preserve">   </w:t>
          </w:r>
          <w:r w:rsidR="00BD1614">
            <w:rPr>
              <w:rFonts w:ascii="Times New Roman" w:hAnsi="Times New Roman" w:cs="Times New Roman"/>
              <w:color w:val="ED7D31" w:themeColor="accent2"/>
              <w:sz w:val="48"/>
              <w:szCs w:val="48"/>
            </w:rPr>
            <w:t xml:space="preserve"> </w:t>
          </w:r>
          <w:r w:rsidRPr="00B80B56">
            <w:rPr>
              <w:rFonts w:ascii="Times New Roman" w:hAnsi="Times New Roman" w:cs="Times New Roman"/>
              <w:b/>
              <w:bCs/>
              <w:color w:val="ED7D31" w:themeColor="accent2"/>
              <w:sz w:val="48"/>
              <w:szCs w:val="48"/>
            </w:rPr>
            <w:t>RAPPORT</w:t>
          </w:r>
          <w:r w:rsidR="00FD0AF9">
            <w:rPr>
              <w:rFonts w:ascii="Times New Roman" w:hAnsi="Times New Roman" w:cs="Times New Roman"/>
              <w:b/>
              <w:bCs/>
              <w:color w:val="ED7D31" w:themeColor="accent2"/>
              <w:sz w:val="48"/>
              <w:szCs w:val="48"/>
            </w:rPr>
            <w:t xml:space="preserve"> DU PROJET</w:t>
          </w:r>
          <w:r w:rsidR="00C54825" w:rsidRPr="00C54825">
            <w:rPr>
              <w:rFonts w:ascii="Times New Roman" w:hAnsi="Times New Roman" w:cs="Times New Roman"/>
              <w:b/>
              <w:bCs/>
              <w:color w:val="ED7D31" w:themeColor="accent2"/>
              <w:sz w:val="48"/>
              <w:szCs w:val="48"/>
            </w:rPr>
            <w:t xml:space="preserve"> DE </w:t>
          </w:r>
          <w:r w:rsidR="00BD1614" w:rsidRPr="00C54825">
            <w:rPr>
              <w:rFonts w:ascii="Times New Roman" w:hAnsi="Times New Roman" w:cs="Times New Roman"/>
              <w:b/>
              <w:bCs/>
              <w:color w:val="ED7D31" w:themeColor="accent2"/>
              <w:sz w:val="48"/>
              <w:szCs w:val="48"/>
            </w:rPr>
            <w:t xml:space="preserve">DATA </w:t>
          </w:r>
          <w:r w:rsidR="00BD1614">
            <w:rPr>
              <w:rFonts w:ascii="Times New Roman" w:hAnsi="Times New Roman" w:cs="Times New Roman"/>
              <w:b/>
              <w:bCs/>
              <w:color w:val="ED7D31" w:themeColor="accent2"/>
              <w:sz w:val="48"/>
              <w:szCs w:val="48"/>
            </w:rPr>
            <w:t>MINNING</w:t>
          </w:r>
        </w:p>
        <w:p w14:paraId="448D339A" w14:textId="619DA72D" w:rsidR="00CA1F0D" w:rsidRPr="00CA1F0D" w:rsidRDefault="0041611F" w:rsidP="00CA1F0D">
          <w:r>
            <w:rPr>
              <w:rFonts w:ascii="Times New Roman" w:hAnsi="Times New Roman" w:cs="Times New Roman"/>
              <w:sz w:val="24"/>
              <w:szCs w:val="24"/>
            </w:rPr>
            <w:pict w14:anchorId="663E6B77">
              <v:rect id="_x0000_i1026" style="width:0;height:1.5pt" o:hralign="center" o:hrstd="t" o:hr="t" fillcolor="#a0a0a0" stroked="f"/>
            </w:pict>
          </w:r>
        </w:p>
        <w:p w14:paraId="6AF2B44D" w14:textId="78234ECC" w:rsidR="00CA1F0D" w:rsidRPr="00CA1F0D" w:rsidRDefault="00256D15" w:rsidP="00CA1F0D">
          <w:r w:rsidRPr="00B80B56">
            <w:rPr>
              <w:rFonts w:ascii="Times New Roman" w:hAnsi="Times New Roman" w:cs="Times New Roman"/>
              <w:b/>
              <w:bCs/>
              <w:noProof/>
              <w:color w:val="ED7D31" w:themeColor="accent2"/>
              <w:sz w:val="48"/>
              <w:szCs w:val="48"/>
            </w:rPr>
            <mc:AlternateContent>
              <mc:Choice Requires="wps">
                <w:drawing>
                  <wp:anchor distT="0" distB="0" distL="114300" distR="114300" simplePos="0" relativeHeight="251669504" behindDoc="0" locked="0" layoutInCell="1" allowOverlap="1" wp14:anchorId="345A43A6" wp14:editId="05CE407E">
                    <wp:simplePos x="0" y="0"/>
                    <wp:positionH relativeFrom="margin">
                      <wp:posOffset>20532</wp:posOffset>
                    </wp:positionH>
                    <wp:positionV relativeFrom="paragraph">
                      <wp:posOffset>16510</wp:posOffset>
                    </wp:positionV>
                    <wp:extent cx="5838093" cy="2892669"/>
                    <wp:effectExtent l="0" t="0" r="10795" b="22225"/>
                    <wp:wrapNone/>
                    <wp:docPr id="18559002" name="Parchemin : horizontal 1"/>
                    <wp:cNvGraphicFramePr/>
                    <a:graphic xmlns:a="http://schemas.openxmlformats.org/drawingml/2006/main">
                      <a:graphicData uri="http://schemas.microsoft.com/office/word/2010/wordprocessingShape">
                        <wps:wsp>
                          <wps:cNvSpPr/>
                          <wps:spPr>
                            <a:xfrm>
                              <a:off x="0" y="0"/>
                              <a:ext cx="5838093" cy="2892669"/>
                            </a:xfrm>
                            <a:prstGeom prst="horizontalScroll">
                              <a:avLst/>
                            </a:prstGeom>
                            <a:solidFill>
                              <a:schemeClr val="accent1">
                                <a:lumMod val="75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E95D1C" w14:textId="660930BC" w:rsidR="00AB0299" w:rsidRDefault="008032A3" w:rsidP="00AB0299">
                                <w:pPr>
                                  <w:jc w:val="center"/>
                                  <w:rPr>
                                    <w:rFonts w:ascii="Times New Roman" w:hAnsi="Times New Roman" w:cs="Times New Roman"/>
                                    <w:b/>
                                    <w:bCs/>
                                    <w:color w:val="FFFFFF" w:themeColor="background1"/>
                                    <w:sz w:val="44"/>
                                    <w:szCs w:val="44"/>
                                  </w:rPr>
                                </w:pPr>
                                <w:bookmarkStart w:id="4" w:name="OLE_LINK41"/>
                                <w:bookmarkStart w:id="5" w:name="OLE_LINK42"/>
                                <w:bookmarkStart w:id="6" w:name="_Hlk221746261"/>
                                <w:r w:rsidRPr="008032A3">
                                  <w:rPr>
                                    <w:rFonts w:ascii="Times New Roman" w:hAnsi="Times New Roman" w:cs="Times New Roman"/>
                                    <w:b/>
                                    <w:bCs/>
                                    <w:color w:val="FFFFFF" w:themeColor="background1"/>
                                    <w:sz w:val="44"/>
                                    <w:szCs w:val="44"/>
                                  </w:rPr>
                                  <w:t>MARKETING BANCAIRE</w:t>
                                </w:r>
                              </w:p>
                              <w:p w14:paraId="293BDC81" w14:textId="660930BC" w:rsidR="00712980" w:rsidRDefault="00712980" w:rsidP="00AB0299">
                                <w:pPr>
                                  <w:jc w:val="center"/>
                                  <w:rPr>
                                    <w:rFonts w:ascii="Times New Roman" w:hAnsi="Times New Roman" w:cs="Times New Roman"/>
                                    <w:b/>
                                    <w:bCs/>
                                    <w:color w:val="FFFFFF" w:themeColor="background1"/>
                                    <w:sz w:val="32"/>
                                    <w:szCs w:val="32"/>
                                  </w:rPr>
                                </w:pPr>
                              </w:p>
                              <w:bookmarkEnd w:id="4"/>
                              <w:bookmarkEnd w:id="5"/>
                              <w:bookmarkEnd w:id="6"/>
                              <w:p w14:paraId="2DA5F3CF" w14:textId="7C34C2A4" w:rsidR="00AB0299" w:rsidRPr="00087022" w:rsidRDefault="00C93EA4" w:rsidP="00AD50AC">
                                <w:pPr>
                                  <w:jc w:val="center"/>
                                  <w:rPr>
                                    <w:i/>
                                    <w:iCs/>
                                    <w:color w:val="FFFFFF" w:themeColor="background1"/>
                                  </w:rPr>
                                </w:pPr>
                                <w:r w:rsidRPr="00087022">
                                  <w:rPr>
                                    <w:rFonts w:ascii="Times New Roman" w:hAnsi="Times New Roman" w:cs="Times New Roman"/>
                                    <w:b/>
                                    <w:bCs/>
                                    <w:i/>
                                    <w:iCs/>
                                    <w:color w:val="FFFFFF" w:themeColor="background1"/>
                                    <w:sz w:val="32"/>
                                    <w:szCs w:val="32"/>
                                  </w:rPr>
                                  <w:t>Segmentation des profils clients et modélisation prédictive de la souscription à un dépôt à terme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5A43A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 o:spid="_x0000_s1026" type="#_x0000_t98" style="position:absolute;margin-left:1.6pt;margin-top:1.3pt;width:459.7pt;height:227.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" fillcolor="#2f5496 [2404]" strokecolor="#ed7d31 [3205]" strokeweight="1pt">
                    <v:stroke joinstyle="miter"/>
                    <v:textbox>
                      <w:txbxContent>
                        <w:p w14:paraId="62E95D1C" w14:textId="660930BC" w:rsidR="00AB0299" w:rsidRDefault="008032A3" w:rsidP="00AB0299">
                          <w:pPr>
                            <w:jc w:val="center"/>
                            <w:rPr>
                              <w:rFonts w:ascii="Times New Roman" w:hAnsi="Times New Roman" w:cs="Times New Roman"/>
                              <w:b/>
                              <w:bCs/>
                              <w:color w:val="FFFFFF" w:themeColor="background1"/>
                              <w:sz w:val="44"/>
                              <w:szCs w:val="44"/>
                            </w:rPr>
                          </w:pPr>
                          <w:bookmarkStart w:id="6" w:name="OLE_LINK41"/>
                          <w:bookmarkStart w:id="7" w:name="OLE_LINK42"/>
                          <w:bookmarkStart w:id="8" w:name="_Hlk221746261"/>
                          <w:r w:rsidRPr="008032A3">
                            <w:rPr>
                              <w:rFonts w:ascii="Times New Roman" w:hAnsi="Times New Roman" w:cs="Times New Roman"/>
                              <w:b/>
                              <w:bCs/>
                              <w:color w:val="FFFFFF" w:themeColor="background1"/>
                              <w:sz w:val="44"/>
                              <w:szCs w:val="44"/>
                            </w:rPr>
                            <w:t>MARKETING BANCAIRE</w:t>
                          </w:r>
                        </w:p>
                        <w:p w14:paraId="293BDC81" w14:textId="660930BC" w:rsidR="00712980" w:rsidRDefault="00712980" w:rsidP="00AB0299">
                          <w:pPr>
                            <w:jc w:val="center"/>
                            <w:rPr>
                              <w:rFonts w:ascii="Times New Roman" w:hAnsi="Times New Roman" w:cs="Times New Roman"/>
                              <w:b/>
                              <w:bCs/>
                              <w:color w:val="FFFFFF" w:themeColor="background1"/>
                              <w:sz w:val="32"/>
                              <w:szCs w:val="32"/>
                            </w:rPr>
                          </w:pPr>
                        </w:p>
                        <w:bookmarkEnd w:id="6"/>
                        <w:bookmarkEnd w:id="7"/>
                        <w:bookmarkEnd w:id="8"/>
                        <w:p w14:paraId="2DA5F3CF" w14:textId="7C34C2A4" w:rsidR="00AB0299" w:rsidRPr="00087022" w:rsidRDefault="00C93EA4" w:rsidP="00AD50AC">
                          <w:pPr>
                            <w:jc w:val="center"/>
                            <w:rPr>
                              <w:i/>
                              <w:iCs/>
                              <w:color w:val="FFFFFF" w:themeColor="background1"/>
                            </w:rPr>
                          </w:pPr>
                          <w:r w:rsidRPr="00087022">
                            <w:rPr>
                              <w:rFonts w:ascii="Times New Roman" w:hAnsi="Times New Roman" w:cs="Times New Roman"/>
                              <w:b/>
                              <w:bCs/>
                              <w:i/>
                              <w:iCs/>
                              <w:color w:val="FFFFFF" w:themeColor="background1"/>
                              <w:sz w:val="32"/>
                              <w:szCs w:val="32"/>
                            </w:rPr>
                            <w:t>Segmentation des profils clients et modélisation prédictive de la souscription à un dépôt à terme</w:t>
                          </w:r>
                        </w:p>
                      </w:txbxContent>
                    </v:textbox>
                    <w10:wrap anchorx="margin"/>
                  </v:shape>
                </w:pict>
              </mc:Fallback>
            </mc:AlternateContent>
          </w:r>
        </w:p>
        <w:p w14:paraId="09045C15" w14:textId="77777777" w:rsidR="00CA1F0D" w:rsidRPr="00CA1F0D" w:rsidRDefault="00CA1F0D" w:rsidP="00CA1F0D"/>
        <w:p w14:paraId="3CDF11C5" w14:textId="77777777" w:rsidR="00CA1F0D" w:rsidRPr="00CA1F0D" w:rsidRDefault="00CA1F0D" w:rsidP="00CA1F0D"/>
        <w:p w14:paraId="6E1B3A24" w14:textId="77777777" w:rsidR="00CA1F0D" w:rsidRPr="00CA1F0D" w:rsidRDefault="00CA1F0D" w:rsidP="00CA1F0D"/>
        <w:p w14:paraId="7AACC84D" w14:textId="77777777" w:rsidR="00CA1F0D" w:rsidRPr="00CA1F0D" w:rsidRDefault="00CA1F0D" w:rsidP="00CA1F0D"/>
        <w:p w14:paraId="31F88C71" w14:textId="77777777" w:rsidR="00CA1F0D" w:rsidRPr="00CA1F0D" w:rsidRDefault="00CA1F0D" w:rsidP="00CA1F0D"/>
        <w:p w14:paraId="0E8643C6" w14:textId="77777777" w:rsidR="00CA1F0D" w:rsidRPr="00CA1F0D" w:rsidRDefault="00CA1F0D" w:rsidP="00CA1F0D"/>
        <w:p w14:paraId="31EF1B06" w14:textId="77777777" w:rsidR="00CA1F0D" w:rsidRPr="00CA1F0D" w:rsidRDefault="00CA1F0D" w:rsidP="00CA1F0D"/>
        <w:p w14:paraId="59B06A91" w14:textId="77777777" w:rsidR="00CA1F0D" w:rsidRDefault="00CA1F0D" w:rsidP="00CA1F0D"/>
        <w:p w14:paraId="7092B6E7" w14:textId="77777777" w:rsidR="00D95BF0" w:rsidRPr="00CA1F0D" w:rsidRDefault="00D95BF0" w:rsidP="00CA1F0D"/>
        <w:p w14:paraId="532797C6" w14:textId="5D91CBC5" w:rsidR="00CA1F0D" w:rsidRDefault="00CA1F0D" w:rsidP="00CA1F0D"/>
        <w:p w14:paraId="4B6FBA8C" w14:textId="77777777" w:rsidR="00CA1F0D" w:rsidRDefault="00CA1F0D" w:rsidP="00CA1F0D">
          <w:pPr>
            <w:autoSpaceDE w:val="0"/>
            <w:autoSpaceDN w:val="0"/>
            <w:adjustRightInd w:val="0"/>
            <w:spacing w:after="0" w:line="240" w:lineRule="auto"/>
            <w:jc w:val="center"/>
            <w:rPr>
              <w:rFonts w:ascii="Times New Roman" w:hAnsi="Times New Roman" w:cs="Times New Roman"/>
              <w:b/>
              <w:bCs/>
              <w:color w:val="000000" w:themeColor="text1"/>
              <w:sz w:val="44"/>
              <w:szCs w:val="44"/>
            </w:rPr>
          </w:pPr>
        </w:p>
        <w:p w14:paraId="18547B62" w14:textId="0A5902B5" w:rsidR="00CA1F0D" w:rsidRPr="00D20705" w:rsidRDefault="006436F4" w:rsidP="00CA1F0D">
          <w:pPr>
            <w:autoSpaceDE w:val="0"/>
            <w:autoSpaceDN w:val="0"/>
            <w:adjustRightInd w:val="0"/>
            <w:spacing w:after="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3F182D">
            <w:rPr>
              <w:rFonts w:ascii="Times New Roman" w:hAnsi="Times New Roman" w:cs="Times New Roman"/>
              <w:b/>
              <w:bCs/>
              <w:color w:val="000000" w:themeColor="text1"/>
              <w:sz w:val="28"/>
              <w:szCs w:val="28"/>
            </w:rPr>
            <w:t xml:space="preserve"> </w:t>
          </w:r>
          <w:r w:rsidR="00CA1F0D">
            <w:rPr>
              <w:rFonts w:ascii="Times New Roman" w:hAnsi="Times New Roman" w:cs="Times New Roman"/>
              <w:b/>
              <w:bCs/>
              <w:color w:val="000000" w:themeColor="text1"/>
              <w:sz w:val="28"/>
              <w:szCs w:val="28"/>
            </w:rPr>
            <w:t>Rédigé</w:t>
          </w:r>
          <w:r w:rsidR="00CA1F0D" w:rsidRPr="00D20705">
            <w:rPr>
              <w:rFonts w:ascii="Times New Roman" w:hAnsi="Times New Roman" w:cs="Times New Roman"/>
              <w:b/>
              <w:bCs/>
              <w:color w:val="000000" w:themeColor="text1"/>
              <w:sz w:val="28"/>
              <w:szCs w:val="28"/>
            </w:rPr>
            <w:t xml:space="preserve"> par :</w:t>
          </w:r>
          <w:r w:rsidR="00CA1F0D">
            <w:rPr>
              <w:rFonts w:ascii="Times New Roman" w:hAnsi="Times New Roman" w:cs="Times New Roman"/>
              <w:b/>
              <w:bCs/>
              <w:color w:val="000000" w:themeColor="text1"/>
              <w:sz w:val="28"/>
              <w:szCs w:val="28"/>
            </w:rPr>
            <w:t xml:space="preserve">                                                              </w:t>
          </w:r>
          <w:r w:rsidR="009C58F7">
            <w:rPr>
              <w:rFonts w:ascii="Times New Roman" w:hAnsi="Times New Roman" w:cs="Times New Roman"/>
              <w:b/>
              <w:bCs/>
              <w:color w:val="000000" w:themeColor="text1"/>
              <w:sz w:val="28"/>
              <w:szCs w:val="28"/>
            </w:rPr>
            <w:t xml:space="preserve">      </w:t>
          </w:r>
          <w:r w:rsidR="00C1083C" w:rsidRPr="00C1083C">
            <w:rPr>
              <w:rFonts w:ascii="Times New Roman" w:hAnsi="Times New Roman" w:cs="Times New Roman"/>
              <w:b/>
              <w:bCs/>
              <w:color w:val="000000" w:themeColor="text1"/>
              <w:sz w:val="28"/>
              <w:szCs w:val="28"/>
            </w:rPr>
            <w:t>Encadrant</w:t>
          </w:r>
          <w:r w:rsidR="00C1083C">
            <w:rPr>
              <w:rFonts w:ascii="Times New Roman" w:hAnsi="Times New Roman" w:cs="Times New Roman"/>
              <w:b/>
              <w:bCs/>
              <w:color w:val="000000" w:themeColor="text1"/>
              <w:sz w:val="28"/>
              <w:szCs w:val="28"/>
            </w:rPr>
            <w:t xml:space="preserve"> </w:t>
          </w:r>
          <w:r w:rsidR="00CA1F0D" w:rsidRPr="00A549E6">
            <w:rPr>
              <w:rFonts w:ascii="Times New Roman" w:hAnsi="Times New Roman" w:cs="Times New Roman"/>
              <w:b/>
              <w:bCs/>
              <w:color w:val="000000" w:themeColor="text1"/>
              <w:sz w:val="28"/>
              <w:szCs w:val="28"/>
            </w:rPr>
            <w:t xml:space="preserve">: </w:t>
          </w:r>
          <w:r w:rsidR="00CA1F0D">
            <w:rPr>
              <w:rFonts w:ascii="Times New Roman" w:hAnsi="Times New Roman" w:cs="Times New Roman"/>
              <w:b/>
              <w:bCs/>
              <w:color w:val="000000" w:themeColor="text1"/>
              <w:sz w:val="28"/>
              <w:szCs w:val="28"/>
            </w:rPr>
            <w:t xml:space="preserve">          </w:t>
          </w:r>
        </w:p>
        <w:p w14:paraId="7C0E0F00" w14:textId="77777777" w:rsidR="00CA1F0D" w:rsidRDefault="00CA1F0D" w:rsidP="00CA1F0D">
          <w:pPr>
            <w:autoSpaceDE w:val="0"/>
            <w:autoSpaceDN w:val="0"/>
            <w:adjustRightInd w:val="0"/>
            <w:spacing w:after="0" w:line="240" w:lineRule="auto"/>
            <w:ind w:left="708"/>
            <w:rPr>
              <w:rFonts w:ascii="Times New Roman" w:hAnsi="Times New Roman" w:cs="Times New Roman"/>
              <w:b/>
              <w:bCs/>
              <w:color w:val="000000" w:themeColor="text1"/>
              <w:sz w:val="28"/>
              <w:szCs w:val="28"/>
            </w:rPr>
          </w:pPr>
        </w:p>
        <w:p w14:paraId="4262803D" w14:textId="08EA1DBD" w:rsidR="00CA1F0D" w:rsidRPr="00801925" w:rsidRDefault="006436F4" w:rsidP="00CA1F0D">
          <w:pPr>
            <w:autoSpaceDE w:val="0"/>
            <w:autoSpaceDN w:val="0"/>
            <w:adjustRightInd w:val="0"/>
            <w:spacing w:after="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3F182D">
            <w:rPr>
              <w:rFonts w:ascii="Times New Roman" w:hAnsi="Times New Roman" w:cs="Times New Roman"/>
              <w:b/>
              <w:bCs/>
              <w:color w:val="000000" w:themeColor="text1"/>
              <w:sz w:val="28"/>
              <w:szCs w:val="28"/>
            </w:rPr>
            <w:t xml:space="preserve"> </w:t>
          </w:r>
          <w:r w:rsidR="00EC0D61" w:rsidRPr="00EC0D61">
            <w:rPr>
              <w:rFonts w:ascii="Times New Roman" w:hAnsi="Times New Roman" w:cs="Times New Roman"/>
              <w:b/>
              <w:bCs/>
              <w:color w:val="000000" w:themeColor="text1"/>
              <w:sz w:val="28"/>
              <w:szCs w:val="28"/>
            </w:rPr>
            <w:t xml:space="preserve">KOURAOGO Emmanuel                                  </w:t>
          </w:r>
          <w:r w:rsidR="00EC0D61">
            <w:rPr>
              <w:rFonts w:ascii="Times New Roman" w:hAnsi="Times New Roman" w:cs="Times New Roman"/>
              <w:b/>
              <w:bCs/>
              <w:color w:val="000000" w:themeColor="text1"/>
              <w:sz w:val="28"/>
              <w:szCs w:val="28"/>
            </w:rPr>
            <w:t xml:space="preserve">           </w:t>
          </w:r>
          <w:r w:rsidR="00801925" w:rsidRPr="00801925">
            <w:rPr>
              <w:rFonts w:ascii="Times New Roman" w:hAnsi="Times New Roman" w:cs="Times New Roman"/>
              <w:b/>
              <w:bCs/>
              <w:color w:val="000000" w:themeColor="text1"/>
              <w:sz w:val="28"/>
              <w:szCs w:val="28"/>
            </w:rPr>
            <w:t>MAGON</w:t>
          </w:r>
          <w:r w:rsidR="00CA1F0D" w:rsidRPr="00801925">
            <w:rPr>
              <w:rFonts w:ascii="Times New Roman" w:hAnsi="Times New Roman" w:cs="Times New Roman"/>
              <w:b/>
              <w:bCs/>
              <w:color w:val="000000" w:themeColor="text1"/>
              <w:sz w:val="28"/>
              <w:szCs w:val="28"/>
            </w:rPr>
            <w:t xml:space="preserve"> </w:t>
          </w:r>
          <w:r w:rsidR="00801925" w:rsidRPr="00801925">
            <w:rPr>
              <w:rFonts w:ascii="Times New Roman" w:hAnsi="Times New Roman" w:cs="Times New Roman"/>
              <w:color w:val="000000" w:themeColor="text1"/>
              <w:sz w:val="28"/>
              <w:szCs w:val="28"/>
            </w:rPr>
            <w:t>Laurent</w:t>
          </w:r>
          <w:r w:rsidR="00CA1F0D" w:rsidRPr="00801925">
            <w:rPr>
              <w:rFonts w:ascii="Times New Roman" w:hAnsi="Times New Roman" w:cs="Times New Roman"/>
              <w:b/>
              <w:bCs/>
              <w:color w:val="000000" w:themeColor="text1"/>
              <w:sz w:val="28"/>
              <w:szCs w:val="28"/>
            </w:rPr>
            <w:t xml:space="preserve"> </w:t>
          </w:r>
        </w:p>
        <w:p w14:paraId="57DE8D22" w14:textId="77777777" w:rsidR="00CA1F0D" w:rsidRPr="00801925" w:rsidRDefault="00CA1F0D" w:rsidP="00CA1F0D">
          <w:pPr>
            <w:autoSpaceDE w:val="0"/>
            <w:autoSpaceDN w:val="0"/>
            <w:adjustRightInd w:val="0"/>
            <w:spacing w:after="0" w:line="240" w:lineRule="auto"/>
            <w:ind w:left="2124"/>
            <w:jc w:val="center"/>
            <w:rPr>
              <w:rFonts w:ascii="Times New Roman" w:hAnsi="Times New Roman" w:cs="Times New Roman"/>
              <w:b/>
              <w:bCs/>
              <w:color w:val="000000" w:themeColor="text1"/>
              <w:sz w:val="28"/>
              <w:szCs w:val="28"/>
            </w:rPr>
          </w:pPr>
        </w:p>
        <w:p w14:paraId="0FD93D8D" w14:textId="6F43CA96" w:rsidR="00CA1F0D" w:rsidRPr="00D20705" w:rsidRDefault="006436F4" w:rsidP="00CA1F0D">
          <w:pPr>
            <w:autoSpaceDE w:val="0"/>
            <w:autoSpaceDN w:val="0"/>
            <w:adjustRightInd w:val="0"/>
            <w:spacing w:after="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3F182D">
            <w:rPr>
              <w:rFonts w:ascii="Times New Roman" w:hAnsi="Times New Roman" w:cs="Times New Roman"/>
              <w:b/>
              <w:bCs/>
              <w:color w:val="000000" w:themeColor="text1"/>
              <w:sz w:val="28"/>
              <w:szCs w:val="28"/>
            </w:rPr>
            <w:t xml:space="preserve"> </w:t>
          </w:r>
        </w:p>
        <w:p w14:paraId="4F7C7C71" w14:textId="1238C75F" w:rsidR="008B6480" w:rsidRPr="00143B86" w:rsidRDefault="00304E86">
          <w:pPr>
            <w:rPr>
              <w:rFonts w:ascii="Times New Roman" w:hAnsi="Times New Roman" w:cs="Times New Roman"/>
              <w:color w:val="000000" w:themeColor="text1"/>
              <w:sz w:val="32"/>
              <w:szCs w:val="32"/>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86B9BA5" wp14:editId="6B41F089">
                    <wp:simplePos x="0" y="0"/>
                    <wp:positionH relativeFrom="margin">
                      <wp:posOffset>348192</wp:posOffset>
                    </wp:positionH>
                    <wp:positionV relativeFrom="paragraph">
                      <wp:posOffset>505248</wp:posOffset>
                    </wp:positionV>
                    <wp:extent cx="5698587" cy="533400"/>
                    <wp:effectExtent l="38100" t="0" r="54610" b="19050"/>
                    <wp:wrapNone/>
                    <wp:docPr id="1121436901" name="Ruban : incliné vers le bas 1"/>
                    <wp:cNvGraphicFramePr/>
                    <a:graphic xmlns:a="http://schemas.openxmlformats.org/drawingml/2006/main">
                      <a:graphicData uri="http://schemas.microsoft.com/office/word/2010/wordprocessingShape">
                        <wps:wsp>
                          <wps:cNvSpPr/>
                          <wps:spPr>
                            <a:xfrm>
                              <a:off x="0" y="0"/>
                              <a:ext cx="5698587" cy="533400"/>
                            </a:xfrm>
                            <a:prstGeom prst="ribbon">
                              <a:avLst/>
                            </a:prstGeom>
                            <a:solidFill>
                              <a:schemeClr val="accent1">
                                <a:lumMod val="75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95044B" w14:textId="165B336A" w:rsidR="00AB0299" w:rsidRDefault="005927C3" w:rsidP="00AB0299">
                                <w:pPr>
                                  <w:jc w:val="center"/>
                                  <w:rPr>
                                    <w:rFonts w:ascii="Times New Roman" w:hAnsi="Times New Roman" w:cs="Times New Roman"/>
                                    <w:sz w:val="26"/>
                                    <w:szCs w:val="26"/>
                                  </w:rPr>
                                </w:pPr>
                                <w:r w:rsidRPr="005927C3">
                                  <w:rPr>
                                    <w:rFonts w:ascii="Times New Roman" w:hAnsi="Times New Roman" w:cs="Times New Roman"/>
                                    <w:sz w:val="26"/>
                                    <w:szCs w:val="26"/>
                                  </w:rPr>
                                  <w:t>Année universitaire</w:t>
                                </w:r>
                                <w:r w:rsidR="00AB0299">
                                  <w:rPr>
                                    <w:rFonts w:ascii="Times New Roman" w:hAnsi="Times New Roman" w:cs="Times New Roman"/>
                                    <w:sz w:val="26"/>
                                    <w:szCs w:val="26"/>
                                  </w:rPr>
                                  <w:t xml:space="preserve"> 202</w:t>
                                </w:r>
                                <w:r w:rsidR="00143B86">
                                  <w:rPr>
                                    <w:rFonts w:ascii="Times New Roman" w:hAnsi="Times New Roman" w:cs="Times New Roman"/>
                                    <w:sz w:val="26"/>
                                    <w:szCs w:val="26"/>
                                  </w:rPr>
                                  <w:t>5</w:t>
                                </w:r>
                                <w:r w:rsidR="00AB0299">
                                  <w:rPr>
                                    <w:rFonts w:ascii="Times New Roman" w:hAnsi="Times New Roman" w:cs="Times New Roman"/>
                                    <w:sz w:val="26"/>
                                    <w:szCs w:val="26"/>
                                  </w:rPr>
                                  <w:t>-202</w:t>
                                </w:r>
                                <w:r w:rsidR="00143B86">
                                  <w:rPr>
                                    <w:rFonts w:ascii="Times New Roman" w:hAnsi="Times New Roman" w:cs="Times New Roman"/>
                                    <w:sz w:val="26"/>
                                    <w:szCs w:val="26"/>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86B9BA5"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1" o:spid="_x0000_s1027" type="#_x0000_t53" style="position:absolute;margin-left:27.4pt;margin-top:39.8pt;width:448.7pt;height:4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" adj=",3600" fillcolor="#2f5496 [2404]" strokecolor="#ed7d31 [3205]" strokeweight="1pt">
                    <v:stroke joinstyle="miter"/>
                    <v:textbox>
                      <w:txbxContent>
                        <w:p w14:paraId="2295044B" w14:textId="165B336A" w:rsidR="00AB0299" w:rsidRDefault="005927C3" w:rsidP="00AB0299">
                          <w:pPr>
                            <w:jc w:val="center"/>
                            <w:rPr>
                              <w:rFonts w:ascii="Times New Roman" w:hAnsi="Times New Roman" w:cs="Times New Roman"/>
                              <w:sz w:val="26"/>
                              <w:szCs w:val="26"/>
                            </w:rPr>
                          </w:pPr>
                          <w:r w:rsidRPr="005927C3">
                            <w:rPr>
                              <w:rFonts w:ascii="Times New Roman" w:hAnsi="Times New Roman" w:cs="Times New Roman"/>
                              <w:sz w:val="26"/>
                              <w:szCs w:val="26"/>
                            </w:rPr>
                            <w:t>Année universitaire</w:t>
                          </w:r>
                          <w:r w:rsidR="00AB0299">
                            <w:rPr>
                              <w:rFonts w:ascii="Times New Roman" w:hAnsi="Times New Roman" w:cs="Times New Roman"/>
                              <w:sz w:val="26"/>
                              <w:szCs w:val="26"/>
                            </w:rPr>
                            <w:t xml:space="preserve"> 202</w:t>
                          </w:r>
                          <w:r w:rsidR="00143B86">
                            <w:rPr>
                              <w:rFonts w:ascii="Times New Roman" w:hAnsi="Times New Roman" w:cs="Times New Roman"/>
                              <w:sz w:val="26"/>
                              <w:szCs w:val="26"/>
                            </w:rPr>
                            <w:t>5</w:t>
                          </w:r>
                          <w:r w:rsidR="00AB0299">
                            <w:rPr>
                              <w:rFonts w:ascii="Times New Roman" w:hAnsi="Times New Roman" w:cs="Times New Roman"/>
                              <w:sz w:val="26"/>
                              <w:szCs w:val="26"/>
                            </w:rPr>
                            <w:t>-202</w:t>
                          </w:r>
                          <w:r w:rsidR="00143B86">
                            <w:rPr>
                              <w:rFonts w:ascii="Times New Roman" w:hAnsi="Times New Roman" w:cs="Times New Roman"/>
                              <w:sz w:val="26"/>
                              <w:szCs w:val="26"/>
                            </w:rPr>
                            <w:t>6</w:t>
                          </w:r>
                        </w:p>
                      </w:txbxContent>
                    </v:textbox>
                    <w10:wrap anchorx="margin"/>
                  </v:shape>
                </w:pict>
              </mc:Fallback>
            </mc:AlternateContent>
          </w:r>
          <w:r w:rsidR="008B6480" w:rsidRPr="00CA1F0D">
            <w:br w:type="page"/>
          </w:r>
        </w:p>
      </w:sdtContent>
    </w:sdt>
    <w:bookmarkEnd w:id="0"/>
    <w:p w14:paraId="673A92C2" w14:textId="5A2B7035" w:rsidR="00783905" w:rsidRDefault="00EB60B9" w:rsidP="00EB60B9">
      <w:pPr>
        <w:pStyle w:val="Titre2"/>
      </w:pPr>
      <w:r>
        <w:lastRenderedPageBreak/>
        <w:t>Tables de matières</w:t>
      </w:r>
      <w:bookmarkEnd w:id="1"/>
    </w:p>
    <w:p w14:paraId="6C3C066C" w14:textId="77777777" w:rsidR="00783905" w:rsidRPr="004F79CD" w:rsidRDefault="00783905" w:rsidP="00B23D15">
      <w:pPr>
        <w:pStyle w:val="TM2"/>
        <w:rPr>
          <w:rFonts w:ascii="Times New Roman" w:hAnsi="Times New Roman" w:cs="Times New Roman"/>
          <w:b/>
          <w:bCs/>
          <w:sz w:val="24"/>
          <w:szCs w:val="24"/>
        </w:rPr>
      </w:pPr>
    </w:p>
    <w:p w14:paraId="5A662539" w14:textId="25C9C807" w:rsidR="00B23D15" w:rsidRPr="00A22149" w:rsidRDefault="00783905" w:rsidP="00B23D15">
      <w:pPr>
        <w:pStyle w:val="TM2"/>
        <w:rPr>
          <w:rFonts w:ascii="Times New Roman" w:eastAsiaTheme="minorEastAsia" w:hAnsi="Times New Roman" w:cs="Times New Roman"/>
          <w:noProof/>
          <w:kern w:val="2"/>
          <w:sz w:val="24"/>
          <w:szCs w:val="24"/>
          <w:lang w:eastAsia="fr-FR"/>
          <w14:ligatures w14:val="standardContextual"/>
        </w:rPr>
      </w:pPr>
      <w:r w:rsidRPr="004F79CD">
        <w:rPr>
          <w:rFonts w:ascii="Times New Roman" w:hAnsi="Times New Roman" w:cs="Times New Roman"/>
          <w:b/>
          <w:bCs/>
          <w:sz w:val="24"/>
          <w:szCs w:val="24"/>
        </w:rPr>
        <w:fldChar w:fldCharType="begin"/>
      </w:r>
      <w:r w:rsidRPr="004F79CD">
        <w:rPr>
          <w:rFonts w:ascii="Times New Roman" w:hAnsi="Times New Roman" w:cs="Times New Roman"/>
          <w:b/>
          <w:bCs/>
          <w:sz w:val="24"/>
          <w:szCs w:val="24"/>
        </w:rPr>
        <w:instrText xml:space="preserve"> TOC \o "1-3" \h \z \u </w:instrText>
      </w:r>
      <w:r w:rsidRPr="004F79CD">
        <w:rPr>
          <w:rFonts w:ascii="Times New Roman" w:hAnsi="Times New Roman" w:cs="Times New Roman"/>
          <w:b/>
          <w:bCs/>
          <w:sz w:val="24"/>
          <w:szCs w:val="24"/>
        </w:rPr>
        <w:fldChar w:fldCharType="separate"/>
      </w:r>
      <w:hyperlink w:anchor="_Toc221721583" w:history="1">
        <w:r w:rsidR="00B23D15" w:rsidRPr="00A22149">
          <w:rPr>
            <w:rStyle w:val="Lienhypertexte"/>
            <w:rFonts w:ascii="Times New Roman" w:hAnsi="Times New Roman" w:cs="Times New Roman"/>
            <w:noProof/>
            <w:sz w:val="24"/>
            <w:szCs w:val="24"/>
          </w:rPr>
          <w:t>Tables de matières</w:t>
        </w:r>
        <w:r w:rsidR="00B23D15" w:rsidRPr="00A22149">
          <w:rPr>
            <w:rFonts w:ascii="Times New Roman" w:hAnsi="Times New Roman" w:cs="Times New Roman"/>
            <w:noProof/>
            <w:webHidden/>
            <w:sz w:val="24"/>
            <w:szCs w:val="24"/>
          </w:rPr>
          <w:tab/>
        </w:r>
        <w:r w:rsidR="00B23D15" w:rsidRPr="00A22149">
          <w:rPr>
            <w:rFonts w:ascii="Times New Roman" w:hAnsi="Times New Roman" w:cs="Times New Roman"/>
            <w:noProof/>
            <w:webHidden/>
            <w:sz w:val="24"/>
            <w:szCs w:val="24"/>
          </w:rPr>
          <w:fldChar w:fldCharType="begin"/>
        </w:r>
        <w:r w:rsidR="00B23D15" w:rsidRPr="00A22149">
          <w:rPr>
            <w:rFonts w:ascii="Times New Roman" w:hAnsi="Times New Roman" w:cs="Times New Roman"/>
            <w:noProof/>
            <w:webHidden/>
            <w:sz w:val="24"/>
            <w:szCs w:val="24"/>
          </w:rPr>
          <w:instrText xml:space="preserve"> PAGEREF _Toc221721583 \h </w:instrText>
        </w:r>
        <w:r w:rsidR="00B23D15" w:rsidRPr="00A22149">
          <w:rPr>
            <w:rFonts w:ascii="Times New Roman" w:hAnsi="Times New Roman" w:cs="Times New Roman"/>
            <w:noProof/>
            <w:webHidden/>
            <w:sz w:val="24"/>
            <w:szCs w:val="24"/>
          </w:rPr>
        </w:r>
        <w:r w:rsidR="00B23D15"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w:t>
        </w:r>
        <w:r w:rsidR="00B23D15" w:rsidRPr="00A22149">
          <w:rPr>
            <w:rFonts w:ascii="Times New Roman" w:hAnsi="Times New Roman" w:cs="Times New Roman"/>
            <w:noProof/>
            <w:webHidden/>
            <w:sz w:val="24"/>
            <w:szCs w:val="24"/>
          </w:rPr>
          <w:fldChar w:fldCharType="end"/>
        </w:r>
      </w:hyperlink>
    </w:p>
    <w:p w14:paraId="1BAEE549" w14:textId="0C4751CE" w:rsidR="00B23D15" w:rsidRPr="00A22149" w:rsidRDefault="00B23D15" w:rsidP="00B23D15">
      <w:pPr>
        <w:pStyle w:val="TM2"/>
        <w:rPr>
          <w:rFonts w:ascii="Times New Roman" w:eastAsiaTheme="minorEastAsia" w:hAnsi="Times New Roman" w:cs="Times New Roman"/>
          <w:noProof/>
          <w:kern w:val="2"/>
          <w:sz w:val="24"/>
          <w:szCs w:val="24"/>
          <w:lang w:eastAsia="fr-FR"/>
          <w14:ligatures w14:val="standardContextual"/>
        </w:rPr>
      </w:pPr>
      <w:hyperlink w:anchor="_Toc221721584" w:history="1">
        <w:r w:rsidRPr="00A22149">
          <w:rPr>
            <w:rStyle w:val="Lienhypertexte"/>
            <w:rFonts w:ascii="Times New Roman" w:hAnsi="Times New Roman" w:cs="Times New Roman"/>
            <w:noProof/>
            <w:sz w:val="24"/>
            <w:szCs w:val="24"/>
          </w:rPr>
          <w:t>Introduction</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_Toc221721584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w:t>
        </w:r>
        <w:r w:rsidRPr="00A22149">
          <w:rPr>
            <w:rFonts w:ascii="Times New Roman" w:hAnsi="Times New Roman" w:cs="Times New Roman"/>
            <w:noProof/>
            <w:webHidden/>
            <w:sz w:val="24"/>
            <w:szCs w:val="24"/>
          </w:rPr>
          <w:fldChar w:fldCharType="end"/>
        </w:r>
      </w:hyperlink>
    </w:p>
    <w:p w14:paraId="1F9ED260" w14:textId="2225E170" w:rsidR="00B23D15" w:rsidRPr="00A22149" w:rsidRDefault="00B23D15">
      <w:pPr>
        <w:pStyle w:val="TM1"/>
        <w:tabs>
          <w:tab w:val="left" w:pos="44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85" w:history="1">
        <w:r w:rsidRPr="00A22149">
          <w:rPr>
            <w:rStyle w:val="Lienhypertexte"/>
            <w:rFonts w:ascii="Times New Roman" w:hAnsi="Times New Roman" w:cs="Times New Roman"/>
            <w:noProof/>
            <w:sz w:val="24"/>
            <w:szCs w:val="24"/>
          </w:rPr>
          <w:t>I.</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Méthodologie et description des données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_Toc221721585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3</w:t>
        </w:r>
        <w:r w:rsidRPr="00A22149">
          <w:rPr>
            <w:rFonts w:ascii="Times New Roman" w:hAnsi="Times New Roman" w:cs="Times New Roman"/>
            <w:noProof/>
            <w:webHidden/>
            <w:sz w:val="24"/>
            <w:szCs w:val="24"/>
          </w:rPr>
          <w:fldChar w:fldCharType="end"/>
        </w:r>
      </w:hyperlink>
    </w:p>
    <w:p w14:paraId="2AF970D6" w14:textId="2B6248E9"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86" w:history="1">
        <w:r w:rsidRPr="00A22149">
          <w:rPr>
            <w:rStyle w:val="Lienhypertexte"/>
            <w:rFonts w:ascii="Times New Roman" w:hAnsi="Times New Roman" w:cs="Times New Roman"/>
            <w:noProof/>
            <w:sz w:val="24"/>
            <w:szCs w:val="24"/>
          </w:rPr>
          <w:t>1.</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Présentation des données : source et qualité des données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_Toc221721586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3</w:t>
        </w:r>
        <w:r w:rsidRPr="00A22149">
          <w:rPr>
            <w:rFonts w:ascii="Times New Roman" w:hAnsi="Times New Roman" w:cs="Times New Roman"/>
            <w:noProof/>
            <w:webHidden/>
            <w:sz w:val="24"/>
            <w:szCs w:val="24"/>
          </w:rPr>
          <w:fldChar w:fldCharType="end"/>
        </w:r>
      </w:hyperlink>
    </w:p>
    <w:p w14:paraId="3E6A91EA" w14:textId="60CFC194"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87" w:history="1">
        <w:r w:rsidRPr="00A22149">
          <w:rPr>
            <w:rStyle w:val="Lienhypertexte"/>
            <w:rFonts w:ascii="Times New Roman" w:hAnsi="Times New Roman" w:cs="Times New Roman"/>
            <w:noProof/>
            <w:sz w:val="24"/>
            <w:szCs w:val="24"/>
          </w:rPr>
          <w:t>2.</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Description de la variable cible (souscription à un dépôt à terme)</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_Toc221721587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4</w:t>
        </w:r>
        <w:r w:rsidRPr="00A22149">
          <w:rPr>
            <w:rFonts w:ascii="Times New Roman" w:hAnsi="Times New Roman" w:cs="Times New Roman"/>
            <w:noProof/>
            <w:webHidden/>
            <w:sz w:val="24"/>
            <w:szCs w:val="24"/>
          </w:rPr>
          <w:fldChar w:fldCharType="end"/>
        </w:r>
      </w:hyperlink>
    </w:p>
    <w:p w14:paraId="196CA57D" w14:textId="6CF068A2"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88" w:history="1">
        <w:r w:rsidRPr="00A22149">
          <w:rPr>
            <w:rStyle w:val="Lienhypertexte"/>
            <w:rFonts w:ascii="Times New Roman" w:hAnsi="Times New Roman" w:cs="Times New Roman"/>
            <w:noProof/>
            <w:sz w:val="24"/>
            <w:szCs w:val="24"/>
          </w:rPr>
          <w:t>3.</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Présentation des variables explicatives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_Toc221721588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4</w:t>
        </w:r>
        <w:r w:rsidRPr="00A22149">
          <w:rPr>
            <w:rFonts w:ascii="Times New Roman" w:hAnsi="Times New Roman" w:cs="Times New Roman"/>
            <w:noProof/>
            <w:webHidden/>
            <w:sz w:val="24"/>
            <w:szCs w:val="24"/>
          </w:rPr>
          <w:fldChar w:fldCharType="end"/>
        </w:r>
      </w:hyperlink>
    </w:p>
    <w:p w14:paraId="781559F7" w14:textId="1D7F65A2" w:rsidR="00B23D15" w:rsidRPr="00A22149" w:rsidRDefault="00B23D15">
      <w:pPr>
        <w:pStyle w:val="TM1"/>
        <w:tabs>
          <w:tab w:val="left" w:pos="44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89" w:history="1">
        <w:r w:rsidRPr="00A22149">
          <w:rPr>
            <w:rStyle w:val="Lienhypertexte"/>
            <w:rFonts w:ascii="Times New Roman" w:hAnsi="Times New Roman" w:cs="Times New Roman"/>
            <w:noProof/>
            <w:sz w:val="24"/>
            <w:szCs w:val="24"/>
          </w:rPr>
          <w:t>II.</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Analyse et préparation des données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_Toc221721589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7</w:t>
        </w:r>
        <w:r w:rsidRPr="00A22149">
          <w:rPr>
            <w:rFonts w:ascii="Times New Roman" w:hAnsi="Times New Roman" w:cs="Times New Roman"/>
            <w:noProof/>
            <w:webHidden/>
            <w:sz w:val="24"/>
            <w:szCs w:val="24"/>
          </w:rPr>
          <w:fldChar w:fldCharType="end"/>
        </w:r>
      </w:hyperlink>
    </w:p>
    <w:p w14:paraId="6629435A" w14:textId="64B70210"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0" w:history="1">
        <w:r w:rsidRPr="00A22149">
          <w:rPr>
            <w:rStyle w:val="Lienhypertexte"/>
            <w:rFonts w:ascii="Times New Roman" w:hAnsi="Times New Roman" w:cs="Times New Roman"/>
            <w:noProof/>
            <w:sz w:val="24"/>
            <w:szCs w:val="24"/>
          </w:rPr>
          <w:t>1.</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Séparation des données et prévention des fuites d’information</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_Toc221721590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7</w:t>
        </w:r>
        <w:r w:rsidRPr="00A22149">
          <w:rPr>
            <w:rFonts w:ascii="Times New Roman" w:hAnsi="Times New Roman" w:cs="Times New Roman"/>
            <w:noProof/>
            <w:webHidden/>
            <w:sz w:val="24"/>
            <w:szCs w:val="24"/>
          </w:rPr>
          <w:fldChar w:fldCharType="end"/>
        </w:r>
      </w:hyperlink>
    </w:p>
    <w:p w14:paraId="5809BFD1" w14:textId="0665CFEC"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1" w:history="1">
        <w:r w:rsidRPr="00A22149">
          <w:rPr>
            <w:rStyle w:val="Lienhypertexte"/>
            <w:rFonts w:ascii="Times New Roman" w:hAnsi="Times New Roman" w:cs="Times New Roman"/>
            <w:i/>
            <w:iCs/>
            <w:noProof/>
            <w:sz w:val="24"/>
            <w:szCs w:val="24"/>
          </w:rPr>
          <w:t>2.</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Analyse exploratoire des données (EDA)</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_Toc221721591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8</w:t>
        </w:r>
        <w:r w:rsidRPr="00A22149">
          <w:rPr>
            <w:rFonts w:ascii="Times New Roman" w:hAnsi="Times New Roman" w:cs="Times New Roman"/>
            <w:noProof/>
            <w:webHidden/>
            <w:sz w:val="24"/>
            <w:szCs w:val="24"/>
          </w:rPr>
          <w:fldChar w:fldCharType="end"/>
        </w:r>
      </w:hyperlink>
    </w:p>
    <w:p w14:paraId="091092E4" w14:textId="69E9DC31"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2" w:history="1">
        <w:r w:rsidRPr="00A22149">
          <w:rPr>
            <w:rStyle w:val="Lienhypertexte"/>
            <w:rFonts w:ascii="Times New Roman" w:hAnsi="Times New Roman" w:cs="Times New Roman"/>
            <w:noProof/>
            <w:sz w:val="24"/>
            <w:szCs w:val="24"/>
          </w:rPr>
          <w:t>3.</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Ingénierie des caractéristiques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_Toc221721592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12</w:t>
        </w:r>
        <w:r w:rsidRPr="00A22149">
          <w:rPr>
            <w:rFonts w:ascii="Times New Roman" w:hAnsi="Times New Roman" w:cs="Times New Roman"/>
            <w:noProof/>
            <w:webHidden/>
            <w:sz w:val="24"/>
            <w:szCs w:val="24"/>
          </w:rPr>
          <w:fldChar w:fldCharType="end"/>
        </w:r>
      </w:hyperlink>
    </w:p>
    <w:p w14:paraId="5BDFDFC3" w14:textId="1B879388"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3" w:history="1">
        <w:r w:rsidRPr="00A22149">
          <w:rPr>
            <w:rStyle w:val="Lienhypertexte"/>
            <w:rFonts w:ascii="Times New Roman" w:hAnsi="Times New Roman" w:cs="Times New Roman"/>
            <w:noProof/>
            <w:sz w:val="24"/>
            <w:szCs w:val="24"/>
          </w:rPr>
          <w:t>4.</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 xml:space="preserve">Cas particulier de la variable </w:t>
        </w:r>
        <w:r w:rsidRPr="00A22149">
          <w:rPr>
            <w:rStyle w:val="Lienhypertexte"/>
            <w:rFonts w:ascii="Times New Roman" w:hAnsi="Times New Roman" w:cs="Times New Roman"/>
            <w:i/>
            <w:iCs/>
            <w:noProof/>
            <w:sz w:val="24"/>
            <w:szCs w:val="24"/>
          </w:rPr>
          <w:t>duration</w:t>
        </w:r>
        <w:r w:rsidRPr="00A22149">
          <w:rPr>
            <w:rStyle w:val="Lienhypertexte"/>
            <w:rFonts w:ascii="Times New Roman" w:hAnsi="Times New Roman" w:cs="Times New Roman"/>
            <w:noProof/>
            <w:sz w:val="24"/>
            <w:szCs w:val="24"/>
          </w:rPr>
          <w:t xml:space="preserve"> : justification méthodologique de son exclusion dans une approche prédictive </w:t>
        </w:r>
        <w:r w:rsidRPr="00A22149">
          <w:rPr>
            <w:rStyle w:val="Lienhypertexte"/>
            <w:rFonts w:ascii="Times New Roman" w:hAnsi="Times New Roman" w:cs="Times New Roman"/>
            <w:i/>
            <w:iCs/>
            <w:noProof/>
            <w:sz w:val="24"/>
            <w:szCs w:val="24"/>
          </w:rPr>
          <w:t>ex ante</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_Toc221721593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14</w:t>
        </w:r>
        <w:r w:rsidRPr="00A22149">
          <w:rPr>
            <w:rFonts w:ascii="Times New Roman" w:hAnsi="Times New Roman" w:cs="Times New Roman"/>
            <w:noProof/>
            <w:webHidden/>
            <w:sz w:val="24"/>
            <w:szCs w:val="24"/>
          </w:rPr>
          <w:fldChar w:fldCharType="end"/>
        </w:r>
      </w:hyperlink>
    </w:p>
    <w:p w14:paraId="369818C0" w14:textId="3C10D42D" w:rsidR="00B23D15" w:rsidRPr="00A22149" w:rsidRDefault="00B23D15">
      <w:pPr>
        <w:pStyle w:val="TM1"/>
        <w:tabs>
          <w:tab w:val="left" w:pos="72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4" w:history="1">
        <w:r w:rsidRPr="00A22149">
          <w:rPr>
            <w:rStyle w:val="Lienhypertexte"/>
            <w:rFonts w:ascii="Times New Roman" w:hAnsi="Times New Roman" w:cs="Times New Roman"/>
            <w:noProof/>
            <w:sz w:val="24"/>
            <w:szCs w:val="24"/>
          </w:rPr>
          <w:t>III.</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Analyse non supervisée : segmentation des profils clients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_Toc221721594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15</w:t>
        </w:r>
        <w:r w:rsidRPr="00A22149">
          <w:rPr>
            <w:rFonts w:ascii="Times New Roman" w:hAnsi="Times New Roman" w:cs="Times New Roman"/>
            <w:noProof/>
            <w:webHidden/>
            <w:sz w:val="24"/>
            <w:szCs w:val="24"/>
          </w:rPr>
          <w:fldChar w:fldCharType="end"/>
        </w:r>
      </w:hyperlink>
    </w:p>
    <w:p w14:paraId="03FA6096" w14:textId="2088A006"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5" w:history="1">
        <w:r w:rsidRPr="00A22149">
          <w:rPr>
            <w:rStyle w:val="Lienhypertexte"/>
            <w:rFonts w:ascii="Times New Roman" w:hAnsi="Times New Roman" w:cs="Times New Roman"/>
            <w:noProof/>
            <w:sz w:val="24"/>
            <w:szCs w:val="24"/>
          </w:rPr>
          <w:t>1.</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Objectif de la segmentation</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_Toc221721595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15</w:t>
        </w:r>
        <w:r w:rsidRPr="00A22149">
          <w:rPr>
            <w:rFonts w:ascii="Times New Roman" w:hAnsi="Times New Roman" w:cs="Times New Roman"/>
            <w:noProof/>
            <w:webHidden/>
            <w:sz w:val="24"/>
            <w:szCs w:val="24"/>
          </w:rPr>
          <w:fldChar w:fldCharType="end"/>
        </w:r>
      </w:hyperlink>
    </w:p>
    <w:p w14:paraId="3757FE02" w14:textId="01D66B03"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6" w:history="1">
        <w:r w:rsidRPr="00A22149">
          <w:rPr>
            <w:rStyle w:val="Lienhypertexte"/>
            <w:rFonts w:ascii="Times New Roman" w:hAnsi="Times New Roman" w:cs="Times New Roman"/>
            <w:noProof/>
            <w:sz w:val="24"/>
            <w:szCs w:val="24"/>
          </w:rPr>
          <w:t>2.</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Méthodologie</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_Toc221721596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16</w:t>
        </w:r>
        <w:r w:rsidRPr="00A22149">
          <w:rPr>
            <w:rFonts w:ascii="Times New Roman" w:hAnsi="Times New Roman" w:cs="Times New Roman"/>
            <w:noProof/>
            <w:webHidden/>
            <w:sz w:val="24"/>
            <w:szCs w:val="24"/>
          </w:rPr>
          <w:fldChar w:fldCharType="end"/>
        </w:r>
      </w:hyperlink>
    </w:p>
    <w:p w14:paraId="45B87050" w14:textId="4B555708"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7" w:history="1">
        <w:r w:rsidRPr="00A22149">
          <w:rPr>
            <w:rStyle w:val="Lienhypertexte"/>
            <w:rFonts w:ascii="Times New Roman" w:hAnsi="Times New Roman" w:cs="Times New Roman"/>
            <w:noProof/>
            <w:sz w:val="24"/>
            <w:szCs w:val="24"/>
          </w:rPr>
          <w:t>3.</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Résultats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_Toc221721597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17</w:t>
        </w:r>
        <w:r w:rsidRPr="00A22149">
          <w:rPr>
            <w:rFonts w:ascii="Times New Roman" w:hAnsi="Times New Roman" w:cs="Times New Roman"/>
            <w:noProof/>
            <w:webHidden/>
            <w:sz w:val="24"/>
            <w:szCs w:val="24"/>
          </w:rPr>
          <w:fldChar w:fldCharType="end"/>
        </w:r>
      </w:hyperlink>
    </w:p>
    <w:p w14:paraId="4FB981E1" w14:textId="4784DEC6" w:rsidR="00B23D15" w:rsidRPr="00A22149" w:rsidRDefault="00B23D15">
      <w:pPr>
        <w:pStyle w:val="TM1"/>
        <w:tabs>
          <w:tab w:val="left" w:pos="72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8" w:history="1">
        <w:r w:rsidRPr="00A22149">
          <w:rPr>
            <w:rStyle w:val="Lienhypertexte"/>
            <w:rFonts w:ascii="Times New Roman" w:hAnsi="Times New Roman" w:cs="Times New Roman"/>
            <w:noProof/>
            <w:sz w:val="24"/>
            <w:szCs w:val="24"/>
          </w:rPr>
          <w:t>IV.</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Stratégie de modélisation – Modèle supervisés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_Toc221721598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19</w:t>
        </w:r>
        <w:r w:rsidRPr="00A22149">
          <w:rPr>
            <w:rFonts w:ascii="Times New Roman" w:hAnsi="Times New Roman" w:cs="Times New Roman"/>
            <w:noProof/>
            <w:webHidden/>
            <w:sz w:val="24"/>
            <w:szCs w:val="24"/>
          </w:rPr>
          <w:fldChar w:fldCharType="end"/>
        </w:r>
      </w:hyperlink>
    </w:p>
    <w:p w14:paraId="1AB88642" w14:textId="4C68B0A9"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599" w:history="1">
        <w:r w:rsidRPr="00A22149">
          <w:rPr>
            <w:rStyle w:val="Lienhypertexte"/>
            <w:rFonts w:ascii="Times New Roman" w:hAnsi="Times New Roman" w:cs="Times New Roman"/>
            <w:noProof/>
            <w:sz w:val="24"/>
            <w:szCs w:val="24"/>
          </w:rPr>
          <w:t>1.</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Gestion du déséquilibre des classes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_Toc221721599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19</w:t>
        </w:r>
        <w:r w:rsidRPr="00A22149">
          <w:rPr>
            <w:rFonts w:ascii="Times New Roman" w:hAnsi="Times New Roman" w:cs="Times New Roman"/>
            <w:noProof/>
            <w:webHidden/>
            <w:sz w:val="24"/>
            <w:szCs w:val="24"/>
          </w:rPr>
          <w:fldChar w:fldCharType="end"/>
        </w:r>
      </w:hyperlink>
    </w:p>
    <w:p w14:paraId="34034C92" w14:textId="76EAA0CB"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0" w:history="1">
        <w:r w:rsidRPr="00A22149">
          <w:rPr>
            <w:rStyle w:val="Lienhypertexte"/>
            <w:rFonts w:ascii="Times New Roman" w:hAnsi="Times New Roman" w:cs="Times New Roman"/>
            <w:noProof/>
            <w:sz w:val="24"/>
            <w:szCs w:val="24"/>
          </w:rPr>
          <w:t>2.</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Présentation des algorithmes utilisés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_Toc221721600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19</w:t>
        </w:r>
        <w:r w:rsidRPr="00A22149">
          <w:rPr>
            <w:rFonts w:ascii="Times New Roman" w:hAnsi="Times New Roman" w:cs="Times New Roman"/>
            <w:noProof/>
            <w:webHidden/>
            <w:sz w:val="24"/>
            <w:szCs w:val="24"/>
          </w:rPr>
          <w:fldChar w:fldCharType="end"/>
        </w:r>
      </w:hyperlink>
    </w:p>
    <w:p w14:paraId="7D9D5886" w14:textId="52B94624"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1" w:history="1">
        <w:r w:rsidRPr="00A22149">
          <w:rPr>
            <w:rStyle w:val="Lienhypertexte"/>
            <w:rFonts w:ascii="Times New Roman" w:hAnsi="Times New Roman" w:cs="Times New Roman"/>
            <w:noProof/>
            <w:sz w:val="24"/>
            <w:szCs w:val="24"/>
          </w:rPr>
          <w:t>3.</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Protocole d’évaluation des modèles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_Toc221721601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20</w:t>
        </w:r>
        <w:r w:rsidRPr="00A22149">
          <w:rPr>
            <w:rFonts w:ascii="Times New Roman" w:hAnsi="Times New Roman" w:cs="Times New Roman"/>
            <w:noProof/>
            <w:webHidden/>
            <w:sz w:val="24"/>
            <w:szCs w:val="24"/>
          </w:rPr>
          <w:fldChar w:fldCharType="end"/>
        </w:r>
      </w:hyperlink>
    </w:p>
    <w:p w14:paraId="185A0491" w14:textId="5AD17D13" w:rsidR="00B23D15" w:rsidRPr="00A22149" w:rsidRDefault="00B23D15">
      <w:pPr>
        <w:pStyle w:val="TM1"/>
        <w:tabs>
          <w:tab w:val="left" w:pos="44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2" w:history="1">
        <w:r w:rsidRPr="00A22149">
          <w:rPr>
            <w:rStyle w:val="Lienhypertexte"/>
            <w:rFonts w:ascii="Times New Roman" w:hAnsi="Times New Roman" w:cs="Times New Roman"/>
            <w:noProof/>
            <w:sz w:val="24"/>
            <w:szCs w:val="24"/>
          </w:rPr>
          <w:t>V.</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Résultats et recommandations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_Toc221721602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21</w:t>
        </w:r>
        <w:r w:rsidRPr="00A22149">
          <w:rPr>
            <w:rFonts w:ascii="Times New Roman" w:hAnsi="Times New Roman" w:cs="Times New Roman"/>
            <w:noProof/>
            <w:webHidden/>
            <w:sz w:val="24"/>
            <w:szCs w:val="24"/>
          </w:rPr>
          <w:fldChar w:fldCharType="end"/>
        </w:r>
      </w:hyperlink>
    </w:p>
    <w:p w14:paraId="506DFA21" w14:textId="0EF3E087"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3" w:history="1">
        <w:r w:rsidRPr="00A22149">
          <w:rPr>
            <w:rStyle w:val="Lienhypertexte"/>
            <w:rFonts w:ascii="Times New Roman" w:hAnsi="Times New Roman" w:cs="Times New Roman"/>
            <w:noProof/>
            <w:sz w:val="24"/>
            <w:szCs w:val="24"/>
          </w:rPr>
          <w:t>1.</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Comparaison des performances des modèles sur le jeu de test</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_Toc221721603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21</w:t>
        </w:r>
        <w:r w:rsidRPr="00A22149">
          <w:rPr>
            <w:rFonts w:ascii="Times New Roman" w:hAnsi="Times New Roman" w:cs="Times New Roman"/>
            <w:noProof/>
            <w:webHidden/>
            <w:sz w:val="24"/>
            <w:szCs w:val="24"/>
          </w:rPr>
          <w:fldChar w:fldCharType="end"/>
        </w:r>
      </w:hyperlink>
    </w:p>
    <w:p w14:paraId="26219A75" w14:textId="3B4AB384"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4" w:history="1">
        <w:r w:rsidRPr="00A22149">
          <w:rPr>
            <w:rStyle w:val="Lienhypertexte"/>
            <w:rFonts w:ascii="Times New Roman" w:hAnsi="Times New Roman" w:cs="Times New Roman"/>
            <w:noProof/>
            <w:sz w:val="24"/>
            <w:szCs w:val="24"/>
          </w:rPr>
          <w:t>2.</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Analyse comparative à seuil de décision métier (20 %)</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_Toc221721604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22</w:t>
        </w:r>
        <w:r w:rsidRPr="00A22149">
          <w:rPr>
            <w:rFonts w:ascii="Times New Roman" w:hAnsi="Times New Roman" w:cs="Times New Roman"/>
            <w:noProof/>
            <w:webHidden/>
            <w:sz w:val="24"/>
            <w:szCs w:val="24"/>
          </w:rPr>
          <w:fldChar w:fldCharType="end"/>
        </w:r>
      </w:hyperlink>
    </w:p>
    <w:p w14:paraId="722F4581" w14:textId="1475A7AE"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5" w:history="1">
        <w:r w:rsidRPr="00A22149">
          <w:rPr>
            <w:rStyle w:val="Lienhypertexte"/>
            <w:rFonts w:ascii="Times New Roman" w:hAnsi="Times New Roman" w:cs="Times New Roman"/>
            <w:noProof/>
            <w:sz w:val="24"/>
            <w:szCs w:val="24"/>
          </w:rPr>
          <w:t>3.</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Interprétation métier et choix du modèle</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_Toc221721605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24</w:t>
        </w:r>
        <w:r w:rsidRPr="00A22149">
          <w:rPr>
            <w:rFonts w:ascii="Times New Roman" w:hAnsi="Times New Roman" w:cs="Times New Roman"/>
            <w:noProof/>
            <w:webHidden/>
            <w:sz w:val="24"/>
            <w:szCs w:val="24"/>
          </w:rPr>
          <w:fldChar w:fldCharType="end"/>
        </w:r>
      </w:hyperlink>
    </w:p>
    <w:p w14:paraId="1A8A5F40" w14:textId="5480BB72"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6" w:history="1">
        <w:r w:rsidRPr="00A22149">
          <w:rPr>
            <w:rStyle w:val="Lienhypertexte"/>
            <w:rFonts w:ascii="Times New Roman" w:hAnsi="Times New Roman" w:cs="Times New Roman"/>
            <w:noProof/>
            <w:sz w:val="24"/>
            <w:szCs w:val="24"/>
          </w:rPr>
          <w:t>4.</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Analyse de l’importance des variables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_Toc221721606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24</w:t>
        </w:r>
        <w:r w:rsidRPr="00A22149">
          <w:rPr>
            <w:rFonts w:ascii="Times New Roman" w:hAnsi="Times New Roman" w:cs="Times New Roman"/>
            <w:noProof/>
            <w:webHidden/>
            <w:sz w:val="24"/>
            <w:szCs w:val="24"/>
          </w:rPr>
          <w:fldChar w:fldCharType="end"/>
        </w:r>
      </w:hyperlink>
    </w:p>
    <w:p w14:paraId="4974D79E" w14:textId="5E3C05D6"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7" w:history="1">
        <w:r w:rsidRPr="00A22149">
          <w:rPr>
            <w:rStyle w:val="Lienhypertexte"/>
            <w:rFonts w:ascii="Times New Roman" w:hAnsi="Times New Roman" w:cs="Times New Roman"/>
            <w:noProof/>
            <w:sz w:val="24"/>
            <w:szCs w:val="24"/>
          </w:rPr>
          <w:t>5.</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Simulation opérationnelle et recommandations métier</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_Toc221721607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27</w:t>
        </w:r>
        <w:r w:rsidRPr="00A22149">
          <w:rPr>
            <w:rFonts w:ascii="Times New Roman" w:hAnsi="Times New Roman" w:cs="Times New Roman"/>
            <w:noProof/>
            <w:webHidden/>
            <w:sz w:val="24"/>
            <w:szCs w:val="24"/>
          </w:rPr>
          <w:fldChar w:fldCharType="end"/>
        </w:r>
      </w:hyperlink>
    </w:p>
    <w:p w14:paraId="2280992C" w14:textId="1E9C4E83" w:rsidR="00B23D15" w:rsidRPr="00A22149" w:rsidRDefault="00B23D15">
      <w:pPr>
        <w:pStyle w:val="TM3"/>
        <w:tabs>
          <w:tab w:val="left" w:pos="960"/>
          <w:tab w:val="right" w:leader="dot" w:pos="9062"/>
        </w:tabs>
        <w:rPr>
          <w:rFonts w:ascii="Times New Roman" w:eastAsiaTheme="minorEastAsia" w:hAnsi="Times New Roman" w:cs="Times New Roman"/>
          <w:noProof/>
          <w:kern w:val="2"/>
          <w:sz w:val="24"/>
          <w:szCs w:val="24"/>
          <w:lang w:eastAsia="fr-FR"/>
          <w14:ligatures w14:val="standardContextual"/>
        </w:rPr>
      </w:pPr>
      <w:hyperlink w:anchor="_Toc221721608" w:history="1">
        <w:r w:rsidRPr="00A22149">
          <w:rPr>
            <w:rStyle w:val="Lienhypertexte"/>
            <w:rFonts w:ascii="Times New Roman" w:hAnsi="Times New Roman" w:cs="Times New Roman"/>
            <w:noProof/>
            <w:sz w:val="24"/>
            <w:szCs w:val="24"/>
          </w:rPr>
          <w:t>6.</w:t>
        </w:r>
        <w:r w:rsidRPr="00A22149">
          <w:rPr>
            <w:rFonts w:ascii="Times New Roman" w:eastAsiaTheme="minorEastAsia" w:hAnsi="Times New Roman" w:cs="Times New Roman"/>
            <w:noProof/>
            <w:kern w:val="2"/>
            <w:sz w:val="24"/>
            <w:szCs w:val="24"/>
            <w:lang w:eastAsia="fr-FR"/>
            <w14:ligatures w14:val="standardContextual"/>
          </w:rPr>
          <w:tab/>
        </w:r>
        <w:r w:rsidRPr="00A22149">
          <w:rPr>
            <w:rStyle w:val="Lienhypertexte"/>
            <w:rFonts w:ascii="Times New Roman" w:hAnsi="Times New Roman" w:cs="Times New Roman"/>
            <w:noProof/>
            <w:sz w:val="24"/>
            <w:szCs w:val="24"/>
          </w:rPr>
          <w:t>Recommandations opérationnelles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_Toc221721608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28</w:t>
        </w:r>
        <w:r w:rsidRPr="00A22149">
          <w:rPr>
            <w:rFonts w:ascii="Times New Roman" w:hAnsi="Times New Roman" w:cs="Times New Roman"/>
            <w:noProof/>
            <w:webHidden/>
            <w:sz w:val="24"/>
            <w:szCs w:val="24"/>
          </w:rPr>
          <w:fldChar w:fldCharType="end"/>
        </w:r>
      </w:hyperlink>
    </w:p>
    <w:p w14:paraId="3A80FF7B" w14:textId="5E1614D0" w:rsidR="00B23D15" w:rsidRPr="00A22149" w:rsidRDefault="00B23D15" w:rsidP="00B23D15">
      <w:pPr>
        <w:pStyle w:val="TM2"/>
        <w:rPr>
          <w:rFonts w:ascii="Times New Roman" w:eastAsiaTheme="minorEastAsia" w:hAnsi="Times New Roman" w:cs="Times New Roman"/>
          <w:noProof/>
          <w:kern w:val="2"/>
          <w:sz w:val="24"/>
          <w:szCs w:val="24"/>
          <w:lang w:eastAsia="fr-FR"/>
          <w14:ligatures w14:val="standardContextual"/>
        </w:rPr>
      </w:pPr>
      <w:hyperlink w:anchor="_Toc221721609" w:history="1">
        <w:r w:rsidRPr="00A22149">
          <w:rPr>
            <w:rStyle w:val="Lienhypertexte"/>
            <w:rFonts w:ascii="Times New Roman" w:hAnsi="Times New Roman" w:cs="Times New Roman"/>
            <w:noProof/>
            <w:sz w:val="24"/>
            <w:szCs w:val="24"/>
          </w:rPr>
          <w:t>Conclusion et limites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_Toc221721609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29</w:t>
        </w:r>
        <w:r w:rsidRPr="00A22149">
          <w:rPr>
            <w:rFonts w:ascii="Times New Roman" w:hAnsi="Times New Roman" w:cs="Times New Roman"/>
            <w:noProof/>
            <w:webHidden/>
            <w:sz w:val="24"/>
            <w:szCs w:val="24"/>
          </w:rPr>
          <w:fldChar w:fldCharType="end"/>
        </w:r>
      </w:hyperlink>
    </w:p>
    <w:p w14:paraId="01D5EB01" w14:textId="5D3444A3" w:rsidR="00B23D15" w:rsidRPr="00A22149" w:rsidRDefault="00B23D15" w:rsidP="00B23D15">
      <w:pPr>
        <w:pStyle w:val="TM2"/>
        <w:rPr>
          <w:rFonts w:ascii="Times New Roman" w:eastAsiaTheme="minorEastAsia" w:hAnsi="Times New Roman" w:cs="Times New Roman"/>
          <w:noProof/>
          <w:kern w:val="2"/>
          <w:sz w:val="24"/>
          <w:szCs w:val="24"/>
          <w:lang w:eastAsia="fr-FR"/>
          <w14:ligatures w14:val="standardContextual"/>
        </w:rPr>
      </w:pPr>
      <w:hyperlink w:anchor="_Toc221721610" w:history="1">
        <w:r w:rsidRPr="00A22149">
          <w:rPr>
            <w:rStyle w:val="Lienhypertexte"/>
            <w:rFonts w:ascii="Times New Roman" w:hAnsi="Times New Roman" w:cs="Times New Roman"/>
            <w:noProof/>
            <w:sz w:val="24"/>
            <w:szCs w:val="24"/>
            <w:lang w:val="en-US"/>
          </w:rPr>
          <w:t>BIBLIOGRAPHIE</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_Toc221721610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i</w:t>
        </w:r>
        <w:r w:rsidRPr="00A22149">
          <w:rPr>
            <w:rFonts w:ascii="Times New Roman" w:hAnsi="Times New Roman" w:cs="Times New Roman"/>
            <w:noProof/>
            <w:webHidden/>
            <w:sz w:val="24"/>
            <w:szCs w:val="24"/>
          </w:rPr>
          <w:fldChar w:fldCharType="end"/>
        </w:r>
      </w:hyperlink>
    </w:p>
    <w:p w14:paraId="06A52643" w14:textId="0C16BD17" w:rsidR="00B23D15" w:rsidRPr="004F79CD" w:rsidRDefault="00B23D15" w:rsidP="00B23D15">
      <w:pPr>
        <w:pStyle w:val="TM2"/>
        <w:rPr>
          <w:rFonts w:ascii="Times New Roman" w:eastAsiaTheme="minorEastAsia" w:hAnsi="Times New Roman" w:cs="Times New Roman"/>
          <w:b/>
          <w:bCs/>
          <w:noProof/>
          <w:kern w:val="2"/>
          <w:sz w:val="24"/>
          <w:szCs w:val="24"/>
          <w:lang w:eastAsia="fr-FR"/>
          <w14:ligatures w14:val="standardContextual"/>
        </w:rPr>
      </w:pPr>
      <w:hyperlink w:anchor="_Toc221721611" w:history="1">
        <w:r w:rsidRPr="00A22149">
          <w:rPr>
            <w:rStyle w:val="Lienhypertexte"/>
            <w:rFonts w:ascii="Times New Roman" w:hAnsi="Times New Roman" w:cs="Times New Roman"/>
            <w:noProof/>
            <w:sz w:val="24"/>
            <w:szCs w:val="24"/>
          </w:rPr>
          <w:t>ANNEXES</w:t>
        </w:r>
        <w:r w:rsidRPr="00A22149">
          <w:rPr>
            <w:rFonts w:ascii="Times New Roman" w:hAnsi="Times New Roman" w:cs="Times New Roman"/>
            <w:noProof/>
            <w:webHidden/>
            <w:sz w:val="24"/>
            <w:szCs w:val="24"/>
          </w:rPr>
          <w:tab/>
        </w:r>
        <w:r w:rsidRPr="00A22149">
          <w:rPr>
            <w:rFonts w:ascii="Times New Roman" w:hAnsi="Times New Roman" w:cs="Times New Roman"/>
            <w:noProof/>
            <w:webHidden/>
            <w:sz w:val="24"/>
            <w:szCs w:val="24"/>
          </w:rPr>
          <w:fldChar w:fldCharType="begin"/>
        </w:r>
        <w:r w:rsidRPr="00A22149">
          <w:rPr>
            <w:rFonts w:ascii="Times New Roman" w:hAnsi="Times New Roman" w:cs="Times New Roman"/>
            <w:noProof/>
            <w:webHidden/>
            <w:sz w:val="24"/>
            <w:szCs w:val="24"/>
          </w:rPr>
          <w:instrText xml:space="preserve"> PAGEREF _Toc221721611 \h </w:instrText>
        </w:r>
        <w:r w:rsidRPr="00A22149">
          <w:rPr>
            <w:rFonts w:ascii="Times New Roman" w:hAnsi="Times New Roman" w:cs="Times New Roman"/>
            <w:noProof/>
            <w:webHidden/>
            <w:sz w:val="24"/>
            <w:szCs w:val="24"/>
          </w:rPr>
        </w:r>
        <w:r w:rsidRPr="00A22149">
          <w:rPr>
            <w:rFonts w:ascii="Times New Roman" w:hAnsi="Times New Roman" w:cs="Times New Roman"/>
            <w:noProof/>
            <w:webHidden/>
            <w:sz w:val="24"/>
            <w:szCs w:val="24"/>
          </w:rPr>
          <w:fldChar w:fldCharType="separate"/>
        </w:r>
        <w:r w:rsidR="002E1310" w:rsidRPr="00A22149">
          <w:rPr>
            <w:rFonts w:ascii="Times New Roman" w:hAnsi="Times New Roman" w:cs="Times New Roman"/>
            <w:noProof/>
            <w:webHidden/>
            <w:sz w:val="24"/>
            <w:szCs w:val="24"/>
          </w:rPr>
          <w:t>ii</w:t>
        </w:r>
        <w:r w:rsidRPr="00A22149">
          <w:rPr>
            <w:rFonts w:ascii="Times New Roman" w:hAnsi="Times New Roman" w:cs="Times New Roman"/>
            <w:noProof/>
            <w:webHidden/>
            <w:sz w:val="24"/>
            <w:szCs w:val="24"/>
          </w:rPr>
          <w:fldChar w:fldCharType="end"/>
        </w:r>
      </w:hyperlink>
    </w:p>
    <w:p w14:paraId="632683CA" w14:textId="08B981DB" w:rsidR="00522A3A" w:rsidRPr="00D641A2" w:rsidRDefault="00783905" w:rsidP="001542B3">
      <w:pPr>
        <w:pStyle w:val="Titre2"/>
      </w:pPr>
      <w:r w:rsidRPr="004F79CD">
        <w:rPr>
          <w:rFonts w:cs="Times New Roman"/>
          <w:bCs/>
          <w:sz w:val="24"/>
          <w:szCs w:val="24"/>
        </w:rPr>
        <w:lastRenderedPageBreak/>
        <w:fldChar w:fldCharType="end"/>
      </w:r>
      <w:bookmarkStart w:id="7" w:name="_Toc221721584"/>
      <w:r w:rsidR="00522A3A" w:rsidRPr="00D641A2">
        <w:t>Introduction</w:t>
      </w:r>
      <w:bookmarkEnd w:id="7"/>
    </w:p>
    <w:bookmarkEnd w:id="2"/>
    <w:p w14:paraId="74EEEE3A" w14:textId="77777777" w:rsidR="003E0DAB" w:rsidRPr="003E0DAB" w:rsidRDefault="003E0DAB" w:rsidP="003E0DAB">
      <w:pPr>
        <w:spacing w:line="360" w:lineRule="auto"/>
        <w:jc w:val="both"/>
        <w:rPr>
          <w:rFonts w:ascii="Times New Roman" w:hAnsi="Times New Roman" w:cs="Times New Roman"/>
          <w:sz w:val="24"/>
          <w:szCs w:val="24"/>
        </w:rPr>
      </w:pPr>
      <w:r w:rsidRPr="003E0DAB">
        <w:rPr>
          <w:rFonts w:ascii="Times New Roman" w:hAnsi="Times New Roman" w:cs="Times New Roman"/>
          <w:sz w:val="24"/>
          <w:szCs w:val="24"/>
        </w:rPr>
        <w:t>Dans un contexte de concurrence accrue et de pression sur les marges, les établissements bancaires cherchent à optimiser l’efficacité de leurs actions commerciales, en particulier celles liées au marketing direct. Les campagnes de prospection téléphonique constituent un levier central pour la promotion de produits d’épargne tels que les dépôts à terme, qui offrent aux clients une solution de placement sécurisée. Toutefois, l’efficacité de ces campagnes demeure limitée, dans la mesure où seule une minorité des clients contactés manifeste un intérêt réel pour l’offre proposée.</w:t>
      </w:r>
    </w:p>
    <w:p w14:paraId="701AAAEF" w14:textId="77777777" w:rsidR="003E0DAB" w:rsidRPr="003E0DAB" w:rsidRDefault="003E0DAB" w:rsidP="003E0DAB">
      <w:pPr>
        <w:spacing w:line="360" w:lineRule="auto"/>
        <w:jc w:val="both"/>
        <w:rPr>
          <w:rFonts w:ascii="Times New Roman" w:hAnsi="Times New Roman" w:cs="Times New Roman"/>
          <w:sz w:val="24"/>
          <w:szCs w:val="24"/>
        </w:rPr>
      </w:pPr>
      <w:r w:rsidRPr="003E0DAB">
        <w:rPr>
          <w:rFonts w:ascii="Times New Roman" w:hAnsi="Times New Roman" w:cs="Times New Roman"/>
          <w:sz w:val="24"/>
          <w:szCs w:val="24"/>
        </w:rPr>
        <w:t>Les données analysées mettent en évidence cette difficulté structurelle : environ 11,7 % des clients contactés souscrivent effectivement à un dépôt à terme, contre 88,3 % de non-souscripteurs. Cette forte asymétrie entre les deux classes est caractéristique du marketing bancaire et rend les stratégies de contact non ciblées à la fois coûteuses et peu efficientes. Dans ce contexte, contacter l’ensemble de la base clients engendre des coûts élevés pour un rendement commercial limité.</w:t>
      </w:r>
    </w:p>
    <w:p w14:paraId="43308466" w14:textId="0697C389" w:rsidR="003E0DAB" w:rsidRPr="003E0DAB" w:rsidRDefault="003E0DAB" w:rsidP="003E0DAB">
      <w:pPr>
        <w:spacing w:line="360" w:lineRule="auto"/>
        <w:jc w:val="both"/>
        <w:rPr>
          <w:rFonts w:ascii="Times New Roman" w:hAnsi="Times New Roman" w:cs="Times New Roman"/>
          <w:sz w:val="24"/>
          <w:szCs w:val="24"/>
        </w:rPr>
      </w:pPr>
      <w:r w:rsidRPr="003E0DAB">
        <w:rPr>
          <w:rFonts w:ascii="Times New Roman" w:hAnsi="Times New Roman" w:cs="Times New Roman"/>
          <w:sz w:val="24"/>
          <w:szCs w:val="24"/>
        </w:rPr>
        <w:t>La problématique centrale de ce travail consiste donc à améliorer le ciblage des campagnes de dépôts à terme, en identifiant, avant tout contact, les clients présentant la plus forte probabilité de souscription. Cette démarche soulève plusieurs enjeux méthodologiques majeurs, notamment la gestion d’un déséquilibre marqué de la variable cible, la production de prédictions dans une logique ex ante afin d’éviter toute fuite d’information, ainsi que le choix de critères d’évaluation adaptés à l’objectif métier.</w:t>
      </w:r>
      <w:r w:rsidR="00797821">
        <w:rPr>
          <w:rFonts w:ascii="Times New Roman" w:hAnsi="Times New Roman" w:cs="Times New Roman"/>
          <w:sz w:val="24"/>
          <w:szCs w:val="24"/>
        </w:rPr>
        <w:t xml:space="preserve"> </w:t>
      </w:r>
      <w:r w:rsidRPr="003E0DAB">
        <w:rPr>
          <w:rFonts w:ascii="Times New Roman" w:hAnsi="Times New Roman" w:cs="Times New Roman"/>
          <w:sz w:val="24"/>
          <w:szCs w:val="24"/>
        </w:rPr>
        <w:t>Au-delà de la seule prédiction individuelle, ce travail s’inscrit également dans une logique plus large de compréhension des profils clients. Une analyse non supervisée est ainsi mobilisée afin d’identifier des groupes homogènes partageant des caractéristiques similaires, indépendamment de la variable cible. Cette approche permet d’explorer la structure sous-jacente de la base client et de mettre en évidence d’éventuels segments différenciés en termes de comportement et de potentiel commercial.</w:t>
      </w:r>
    </w:p>
    <w:p w14:paraId="2F9123C7" w14:textId="2F07EBFD" w:rsidR="00CF39A4" w:rsidRDefault="003E0DAB" w:rsidP="003E0DAB">
      <w:pPr>
        <w:spacing w:line="360" w:lineRule="auto"/>
        <w:jc w:val="both"/>
        <w:rPr>
          <w:rFonts w:ascii="Times New Roman" w:hAnsi="Times New Roman" w:cs="Times New Roman"/>
          <w:sz w:val="24"/>
          <w:szCs w:val="24"/>
        </w:rPr>
      </w:pPr>
      <w:r w:rsidRPr="003E0DAB">
        <w:rPr>
          <w:rFonts w:ascii="Times New Roman" w:hAnsi="Times New Roman" w:cs="Times New Roman"/>
          <w:sz w:val="24"/>
          <w:szCs w:val="24"/>
        </w:rPr>
        <w:t xml:space="preserve">L’objectif de ce projet est donc double. Il s’agit, d’une part, de structurer la base clients à travers une démarche de segmentation non supervisée et, d’autre part, de développer un outil d’aide à la décision fondé sur le scoring, capable d’estimer pour chaque client la probabilité de souscription à un dépôt à terme bancaire à partir de ses caractéristiques socio-démographiques, financières et de son historique de relation avec la banque. Pour ce faire, plusieurs modèles prédictifs sont construits et comparés, allant d’un modèle de référence interprétable (la régression logistique) à des approches plus complexes telles que la Random Forest et XGBoost. </w:t>
      </w:r>
      <w:r w:rsidRPr="003E0DAB">
        <w:rPr>
          <w:rFonts w:ascii="Times New Roman" w:hAnsi="Times New Roman" w:cs="Times New Roman"/>
          <w:sz w:val="24"/>
          <w:szCs w:val="24"/>
        </w:rPr>
        <w:lastRenderedPageBreak/>
        <w:t>Au-delà de la performance statistique, l’ambition de ce travail est de traduire les résultats en recommandations opérationnelles concrètes, notamment à travers l’ajustement des seuils de décision et l’analyse de la profitabilité des campagnes, afin d’aider les équipes commerciales à concentrer leurs efforts sur les clients les plus prometteurs.</w:t>
      </w:r>
    </w:p>
    <w:p w14:paraId="10127452" w14:textId="2BBB984E" w:rsidR="00522A3A" w:rsidRPr="00CF39A4" w:rsidRDefault="00D22214" w:rsidP="005407CF">
      <w:pPr>
        <w:pStyle w:val="Titre1"/>
      </w:pPr>
      <w:bookmarkStart w:id="8" w:name="_Toc221721585"/>
      <w:bookmarkStart w:id="9" w:name="OLE_LINK4"/>
      <w:r w:rsidRPr="00CF39A4">
        <w:t>Méthodologie et description des données</w:t>
      </w:r>
      <w:bookmarkEnd w:id="8"/>
    </w:p>
    <w:p w14:paraId="175071BE" w14:textId="4EED5A34" w:rsidR="000E07E6" w:rsidRPr="000E07E6" w:rsidRDefault="000E07E6" w:rsidP="00083AEB">
      <w:pPr>
        <w:pStyle w:val="Titre3"/>
      </w:pPr>
      <w:bookmarkStart w:id="10" w:name="_Toc221721586"/>
      <w:r w:rsidRPr="00D22214">
        <w:t xml:space="preserve">Présentation des données : </w:t>
      </w:r>
      <w:r w:rsidR="00505EA7">
        <w:t xml:space="preserve">source et </w:t>
      </w:r>
      <w:r w:rsidR="00090271" w:rsidRPr="00090271">
        <w:t>qualité des données</w:t>
      </w:r>
      <w:bookmarkEnd w:id="10"/>
      <w:r w:rsidRPr="00D22214">
        <w:t xml:space="preserve"> </w:t>
      </w:r>
    </w:p>
    <w:p w14:paraId="5BA9E4F7" w14:textId="73477495" w:rsidR="000E07E6" w:rsidRPr="000E07E6" w:rsidRDefault="000E07E6" w:rsidP="00813728">
      <w:pPr>
        <w:spacing w:line="360" w:lineRule="auto"/>
        <w:jc w:val="both"/>
        <w:rPr>
          <w:rFonts w:ascii="Times New Roman" w:hAnsi="Times New Roman" w:cs="Times New Roman"/>
          <w:sz w:val="24"/>
          <w:szCs w:val="24"/>
        </w:rPr>
      </w:pPr>
      <w:r w:rsidRPr="000E07E6">
        <w:rPr>
          <w:rFonts w:ascii="Times New Roman" w:hAnsi="Times New Roman" w:cs="Times New Roman"/>
          <w:sz w:val="24"/>
          <w:szCs w:val="24"/>
        </w:rPr>
        <w:t>Les données exploitées dans ce projet proviennent d’une base publique issue de l’UCI Machine Learning Repository, initialement constituée à partir des campagnes de marketing direct d’une institution bancaire portugaise. Elles ont été collectées et analysées dans un cadre académique par Moro, Laureano et Cortez (2011), dans le but d’illustrer l’apport des techniques de data mining à des problématiques concrètes de marketing bancaire. Leur diffusion publique en fait aujourd’hui un jeu de données de référence pour l’étude des méthodes de classification supervisée.</w:t>
      </w:r>
    </w:p>
    <w:p w14:paraId="1FC1C906" w14:textId="072F957E" w:rsidR="000E07E6" w:rsidRPr="000E07E6" w:rsidRDefault="000E07E6" w:rsidP="00813728">
      <w:pPr>
        <w:spacing w:line="360" w:lineRule="auto"/>
        <w:jc w:val="both"/>
        <w:rPr>
          <w:rFonts w:ascii="Times New Roman" w:hAnsi="Times New Roman" w:cs="Times New Roman"/>
          <w:sz w:val="24"/>
          <w:szCs w:val="24"/>
        </w:rPr>
      </w:pPr>
      <w:r w:rsidRPr="000E07E6">
        <w:rPr>
          <w:rFonts w:ascii="Times New Roman" w:hAnsi="Times New Roman" w:cs="Times New Roman"/>
          <w:sz w:val="24"/>
          <w:szCs w:val="24"/>
        </w:rPr>
        <w:t xml:space="preserve">La base se compose de </w:t>
      </w:r>
      <w:r w:rsidRPr="000E07E6">
        <w:rPr>
          <w:rFonts w:ascii="Times New Roman" w:hAnsi="Times New Roman" w:cs="Times New Roman"/>
          <w:b/>
          <w:bCs/>
          <w:sz w:val="24"/>
          <w:szCs w:val="24"/>
        </w:rPr>
        <w:t>45 211 observations</w:t>
      </w:r>
      <w:r w:rsidRPr="000E07E6">
        <w:rPr>
          <w:rFonts w:ascii="Times New Roman" w:hAnsi="Times New Roman" w:cs="Times New Roman"/>
          <w:sz w:val="24"/>
          <w:szCs w:val="24"/>
        </w:rPr>
        <w:t xml:space="preserve">, chacune correspondant à un contact client, et de </w:t>
      </w:r>
      <w:r w:rsidRPr="000E07E6">
        <w:rPr>
          <w:rFonts w:ascii="Times New Roman" w:hAnsi="Times New Roman" w:cs="Times New Roman"/>
          <w:b/>
          <w:bCs/>
          <w:sz w:val="24"/>
          <w:szCs w:val="24"/>
        </w:rPr>
        <w:t>17 variables</w:t>
      </w:r>
      <w:r w:rsidRPr="000E07E6">
        <w:rPr>
          <w:rFonts w:ascii="Times New Roman" w:hAnsi="Times New Roman" w:cs="Times New Roman"/>
          <w:sz w:val="24"/>
          <w:szCs w:val="24"/>
        </w:rPr>
        <w:t xml:space="preserve">, incluant une variable cible binaire indiquant la souscription ou non à un dépôt à terme bancaire. Les données </w:t>
      </w:r>
      <w:r w:rsidR="00434C73" w:rsidRPr="00434C73">
        <w:rPr>
          <w:rFonts w:ascii="Times New Roman" w:hAnsi="Times New Roman" w:cs="Times New Roman"/>
          <w:sz w:val="24"/>
          <w:szCs w:val="24"/>
        </w:rPr>
        <w:t xml:space="preserve">ne </w:t>
      </w:r>
      <w:r w:rsidR="00292D0C" w:rsidRPr="00434C73">
        <w:rPr>
          <w:rFonts w:ascii="Times New Roman" w:hAnsi="Times New Roman" w:cs="Times New Roman"/>
          <w:sz w:val="24"/>
          <w:szCs w:val="24"/>
        </w:rPr>
        <w:t>comportent</w:t>
      </w:r>
      <w:r w:rsidR="00434C73" w:rsidRPr="00434C73">
        <w:rPr>
          <w:rFonts w:ascii="Times New Roman" w:hAnsi="Times New Roman" w:cs="Times New Roman"/>
          <w:sz w:val="24"/>
          <w:szCs w:val="24"/>
        </w:rPr>
        <w:t xml:space="preserve"> aucune valeur manquante au sens informatique du terme (NA), ce qui facilite son exploitation. En revanche, certaines variables comportent des modalités renseignées comme “</w:t>
      </w:r>
      <w:r w:rsidR="00434C73" w:rsidRPr="00EE0249">
        <w:rPr>
          <w:rFonts w:ascii="Times New Roman" w:hAnsi="Times New Roman" w:cs="Times New Roman"/>
          <w:i/>
          <w:iCs/>
          <w:sz w:val="24"/>
          <w:szCs w:val="24"/>
        </w:rPr>
        <w:t>unknown</w:t>
      </w:r>
      <w:r w:rsidR="00434C73" w:rsidRPr="00434C73">
        <w:rPr>
          <w:rFonts w:ascii="Times New Roman" w:hAnsi="Times New Roman" w:cs="Times New Roman"/>
          <w:sz w:val="24"/>
          <w:szCs w:val="24"/>
        </w:rPr>
        <w:t>”, notamment pour les variables job, education ou poutcome. Plutôt que de les considérer comme des erreurs de saisie, ces valeurs ont été traitées comme une modalité spécifique, l’absence d’information constituant en elle-même un signal potentiellement informatif sur le comportement du client.</w:t>
      </w:r>
      <w:r w:rsidR="00434C73">
        <w:rPr>
          <w:rFonts w:ascii="Times New Roman" w:hAnsi="Times New Roman" w:cs="Times New Roman"/>
          <w:sz w:val="24"/>
          <w:szCs w:val="24"/>
        </w:rPr>
        <w:t xml:space="preserve"> </w:t>
      </w:r>
      <w:r w:rsidRPr="000E07E6">
        <w:rPr>
          <w:rFonts w:ascii="Times New Roman" w:hAnsi="Times New Roman" w:cs="Times New Roman"/>
          <w:sz w:val="24"/>
          <w:szCs w:val="24"/>
        </w:rPr>
        <w:t xml:space="preserve">La nature des données est mixte, combinant </w:t>
      </w:r>
      <w:r w:rsidRPr="000E07E6">
        <w:rPr>
          <w:rFonts w:ascii="Times New Roman" w:hAnsi="Times New Roman" w:cs="Times New Roman"/>
          <w:b/>
          <w:bCs/>
          <w:sz w:val="24"/>
          <w:szCs w:val="24"/>
        </w:rPr>
        <w:t>variables numériques</w:t>
      </w:r>
      <w:r w:rsidRPr="000E07E6">
        <w:rPr>
          <w:rFonts w:ascii="Times New Roman" w:hAnsi="Times New Roman" w:cs="Times New Roman"/>
          <w:sz w:val="24"/>
          <w:szCs w:val="24"/>
        </w:rPr>
        <w:t xml:space="preserve"> et </w:t>
      </w:r>
      <w:r w:rsidRPr="000E07E6">
        <w:rPr>
          <w:rFonts w:ascii="Times New Roman" w:hAnsi="Times New Roman" w:cs="Times New Roman"/>
          <w:b/>
          <w:bCs/>
          <w:sz w:val="24"/>
          <w:szCs w:val="24"/>
        </w:rPr>
        <w:t>variables catégorielles</w:t>
      </w:r>
      <w:r w:rsidRPr="000E07E6">
        <w:rPr>
          <w:rFonts w:ascii="Times New Roman" w:hAnsi="Times New Roman" w:cs="Times New Roman"/>
          <w:sz w:val="24"/>
          <w:szCs w:val="24"/>
        </w:rPr>
        <w:t>, ce qui justifie le recours à des techniques spécifiques de transformation et d’encodage lors de la phase de préparation.</w:t>
      </w:r>
    </w:p>
    <w:p w14:paraId="759FFF6E" w14:textId="662C32BC" w:rsidR="00522A3A" w:rsidRDefault="000E07E6" w:rsidP="00813728">
      <w:pPr>
        <w:spacing w:line="360" w:lineRule="auto"/>
        <w:jc w:val="both"/>
        <w:rPr>
          <w:rFonts w:ascii="Times New Roman" w:hAnsi="Times New Roman" w:cs="Times New Roman"/>
          <w:sz w:val="24"/>
          <w:szCs w:val="24"/>
        </w:rPr>
      </w:pPr>
      <w:r w:rsidRPr="000E07E6">
        <w:rPr>
          <w:rFonts w:ascii="Times New Roman" w:hAnsi="Times New Roman" w:cs="Times New Roman"/>
          <w:sz w:val="24"/>
          <w:szCs w:val="24"/>
        </w:rPr>
        <w:t>L’utilisation de ce jeu de données s’inscrit dans un cadre pédagogique, celui d’un projet de data mining, avec pour objectif de mettre en œuvre une démarche structurée allant de la compréhension des données à la construction de modèles prédictifs performants et interprétables. Ce choix permet d’ancrer l’analyse dans un cas réel tout en respectant les exigences méthodologiques attendues dans un contexte académique.</w:t>
      </w:r>
      <w:bookmarkEnd w:id="9"/>
    </w:p>
    <w:p w14:paraId="61DD5B1A" w14:textId="77777777" w:rsidR="001E7C9D" w:rsidRPr="00D22214" w:rsidRDefault="001E7C9D" w:rsidP="00083AEB">
      <w:pPr>
        <w:pStyle w:val="Titre3"/>
      </w:pPr>
      <w:bookmarkStart w:id="11" w:name="_Toc221721587"/>
      <w:bookmarkStart w:id="12" w:name="OLE_LINK8"/>
      <w:bookmarkStart w:id="13" w:name="OLE_LINK11"/>
      <w:r w:rsidRPr="00D22214">
        <w:lastRenderedPageBreak/>
        <w:t>Description de la variable cible (souscription à un dépôt à terme)</w:t>
      </w:r>
      <w:bookmarkEnd w:id="11"/>
    </w:p>
    <w:bookmarkEnd w:id="12"/>
    <w:p w14:paraId="10DA33A4" w14:textId="77777777" w:rsidR="00711D1E" w:rsidRPr="00711D1E" w:rsidRDefault="00711D1E" w:rsidP="00813728">
      <w:pPr>
        <w:spacing w:line="360" w:lineRule="auto"/>
        <w:jc w:val="both"/>
        <w:rPr>
          <w:rFonts w:ascii="Times New Roman" w:hAnsi="Times New Roman" w:cs="Times New Roman"/>
          <w:sz w:val="24"/>
          <w:szCs w:val="24"/>
        </w:rPr>
      </w:pPr>
      <w:r w:rsidRPr="00711D1E">
        <w:rPr>
          <w:rFonts w:ascii="Times New Roman" w:hAnsi="Times New Roman" w:cs="Times New Roman"/>
          <w:sz w:val="24"/>
          <w:szCs w:val="24"/>
        </w:rPr>
        <w:t>La variable cible étudiée dans ce projet correspond à la souscription à un dépôt à terme bancaire à l’issue d’une campagne de marketing direct. Dans la base de données d’origine, cette variable était codée sous forme numérique, prenant la valeur 1 pour les clients n’ayant pas souscrit et 2 pour les clients ayant souscrit. Afin d’améliorer la lisibilité des analyses et de garantir une interprétation cohérente des résultats, elle a été renommée souscription et recodée sous forme factorielle avec deux modalités explicites : no (non-souscription) et yes (souscription). Ce recodage permet d’éviter toute ambiguïté sur la classe positive étudiée et facilite l’exploitation des résultats statistiques et graphiques.</w:t>
      </w:r>
    </w:p>
    <w:p w14:paraId="615052EB" w14:textId="77777777" w:rsidR="00711D1E" w:rsidRPr="00711D1E" w:rsidRDefault="00711D1E" w:rsidP="00813728">
      <w:pPr>
        <w:spacing w:line="360" w:lineRule="auto"/>
        <w:jc w:val="both"/>
        <w:rPr>
          <w:rFonts w:ascii="Times New Roman" w:hAnsi="Times New Roman" w:cs="Times New Roman"/>
          <w:sz w:val="24"/>
          <w:szCs w:val="24"/>
        </w:rPr>
      </w:pPr>
      <w:r w:rsidRPr="00711D1E">
        <w:rPr>
          <w:rFonts w:ascii="Times New Roman" w:hAnsi="Times New Roman" w:cs="Times New Roman"/>
          <w:sz w:val="24"/>
          <w:szCs w:val="24"/>
        </w:rPr>
        <w:t>L’analyse de la distribution de cette variable met en évidence un déséquilibre marqué entre les deux modalités : environ 88,3 % des observations correspondent à des non-souscripteurs, contre 11,7 % de souscripteurs. Cette répartition asymétrique est caractéristique des campagnes de marketing bancaire, dans lesquelles l’acceptation d’une offre constitue un événement relativement rare.</w:t>
      </w:r>
    </w:p>
    <w:p w14:paraId="646C3ED9" w14:textId="0382B793" w:rsidR="00522A3A" w:rsidRDefault="00711D1E" w:rsidP="00813728">
      <w:pPr>
        <w:spacing w:line="360" w:lineRule="auto"/>
        <w:jc w:val="both"/>
        <w:rPr>
          <w:rFonts w:ascii="Times New Roman" w:hAnsi="Times New Roman" w:cs="Times New Roman"/>
          <w:sz w:val="24"/>
          <w:szCs w:val="24"/>
        </w:rPr>
      </w:pPr>
      <w:r w:rsidRPr="00711D1E">
        <w:rPr>
          <w:rFonts w:ascii="Times New Roman" w:hAnsi="Times New Roman" w:cs="Times New Roman"/>
          <w:sz w:val="24"/>
          <w:szCs w:val="24"/>
        </w:rPr>
        <w:t>Ce déséquilibre a des implications méthodologiques importantes pour la suite de l’étude, notamment en matière de choix des métriques d’évaluation et de stratégies de modélisation. Ces aspects sont approfondis dans les sections consacrées à l’analyse exploratoire et à la stratégie de modélisation.</w:t>
      </w:r>
    </w:p>
    <w:p w14:paraId="575F895A" w14:textId="7E6CC309" w:rsidR="00456C48" w:rsidRPr="00D22214" w:rsidRDefault="00456C48" w:rsidP="00083AEB">
      <w:pPr>
        <w:pStyle w:val="Titre3"/>
      </w:pPr>
      <w:bookmarkStart w:id="14" w:name="_Toc221721588"/>
      <w:bookmarkStart w:id="15" w:name="OLE_LINK12"/>
      <w:bookmarkEnd w:id="13"/>
      <w:r w:rsidRPr="00D22214">
        <w:t>Présentation des variables explicatives</w:t>
      </w:r>
      <w:bookmarkEnd w:id="14"/>
      <w:r w:rsidRPr="00D22214">
        <w:t xml:space="preserve"> </w:t>
      </w:r>
    </w:p>
    <w:p w14:paraId="065DCB14" w14:textId="77777777" w:rsidR="000D2C9D" w:rsidRPr="000D2C9D" w:rsidRDefault="000D2C9D" w:rsidP="00813728">
      <w:pPr>
        <w:spacing w:line="360" w:lineRule="auto"/>
        <w:jc w:val="both"/>
        <w:rPr>
          <w:rFonts w:ascii="Times New Roman" w:hAnsi="Times New Roman" w:cs="Times New Roman"/>
          <w:sz w:val="24"/>
          <w:szCs w:val="24"/>
        </w:rPr>
      </w:pPr>
      <w:r w:rsidRPr="000D2C9D">
        <w:rPr>
          <w:rFonts w:ascii="Times New Roman" w:hAnsi="Times New Roman" w:cs="Times New Roman"/>
          <w:sz w:val="24"/>
          <w:szCs w:val="24"/>
        </w:rPr>
        <w:t>Les variables explicatives utilisées dans ce projet décrivent les caractéristiques des clients contactés lors des campagnes de marketing direct, ainsi que les conditions dans lesquelles ces campagnes ont été menées. Elles visent à capturer les dimensions susceptibles d’influencer la décision de souscription à un dépôt à terme bancaire, en combinant des informations socio-démographiques, financières, temporelles et relationnelles.</w:t>
      </w:r>
    </w:p>
    <w:p w14:paraId="7A4D5ADA" w14:textId="77777777" w:rsidR="000D2C9D" w:rsidRPr="000D2C9D" w:rsidRDefault="000D2C9D" w:rsidP="00813728">
      <w:pPr>
        <w:spacing w:line="360" w:lineRule="auto"/>
        <w:jc w:val="both"/>
        <w:rPr>
          <w:rFonts w:ascii="Times New Roman" w:hAnsi="Times New Roman" w:cs="Times New Roman"/>
          <w:sz w:val="24"/>
          <w:szCs w:val="24"/>
        </w:rPr>
      </w:pPr>
      <w:r w:rsidRPr="000D2C9D">
        <w:rPr>
          <w:rFonts w:ascii="Times New Roman" w:hAnsi="Times New Roman" w:cs="Times New Roman"/>
          <w:sz w:val="24"/>
          <w:szCs w:val="24"/>
        </w:rPr>
        <w:t xml:space="preserve">Les </w:t>
      </w:r>
      <w:r w:rsidRPr="000D2C9D">
        <w:rPr>
          <w:rFonts w:ascii="Times New Roman" w:hAnsi="Times New Roman" w:cs="Times New Roman"/>
          <w:b/>
          <w:bCs/>
          <w:sz w:val="24"/>
          <w:szCs w:val="24"/>
        </w:rPr>
        <w:t>caractéristiques socio-démographiques</w:t>
      </w:r>
      <w:r w:rsidRPr="000D2C9D">
        <w:rPr>
          <w:rFonts w:ascii="Times New Roman" w:hAnsi="Times New Roman" w:cs="Times New Roman"/>
          <w:sz w:val="24"/>
          <w:szCs w:val="24"/>
        </w:rPr>
        <w:t xml:space="preserve"> sont décrites par les variables age, job, marital et education. La variable age renseigne sur le cycle de vie du client, tandis que job permet d’appréhender sa situation professionnelle. Les variables marital et education complètent ce profil en apportant des informations sur la situation familiale et le niveau de formation du client.</w:t>
      </w:r>
    </w:p>
    <w:p w14:paraId="0A73C188" w14:textId="77777777" w:rsidR="000D2C9D" w:rsidRPr="000D2C9D" w:rsidRDefault="000D2C9D" w:rsidP="00813728">
      <w:pPr>
        <w:spacing w:line="360" w:lineRule="auto"/>
        <w:jc w:val="both"/>
        <w:rPr>
          <w:rFonts w:ascii="Times New Roman" w:hAnsi="Times New Roman" w:cs="Times New Roman"/>
          <w:sz w:val="24"/>
          <w:szCs w:val="24"/>
        </w:rPr>
      </w:pPr>
      <w:r w:rsidRPr="000D2C9D">
        <w:rPr>
          <w:rFonts w:ascii="Times New Roman" w:hAnsi="Times New Roman" w:cs="Times New Roman"/>
          <w:sz w:val="24"/>
          <w:szCs w:val="24"/>
        </w:rPr>
        <w:t xml:space="preserve">Les </w:t>
      </w:r>
      <w:r w:rsidRPr="000D2C9D">
        <w:rPr>
          <w:rFonts w:ascii="Times New Roman" w:hAnsi="Times New Roman" w:cs="Times New Roman"/>
          <w:b/>
          <w:bCs/>
          <w:sz w:val="24"/>
          <w:szCs w:val="24"/>
        </w:rPr>
        <w:t>variables financières</w:t>
      </w:r>
      <w:r w:rsidRPr="000D2C9D">
        <w:rPr>
          <w:rFonts w:ascii="Times New Roman" w:hAnsi="Times New Roman" w:cs="Times New Roman"/>
          <w:sz w:val="24"/>
          <w:szCs w:val="24"/>
        </w:rPr>
        <w:t xml:space="preserve"> sont représentées par balance, housing, loan et default. La variable balance correspond au solde bancaire du client et constitue un indicateur de sa situation </w:t>
      </w:r>
      <w:r w:rsidRPr="000D2C9D">
        <w:rPr>
          <w:rFonts w:ascii="Times New Roman" w:hAnsi="Times New Roman" w:cs="Times New Roman"/>
          <w:sz w:val="24"/>
          <w:szCs w:val="24"/>
        </w:rPr>
        <w:lastRenderedPageBreak/>
        <w:t>financière. Les variables housing et loan renseignent sur la présence d’un prêt immobilier ou personnel en cours, tandis que default indique l’existence d’un défaut de paiement antérieur.</w:t>
      </w:r>
    </w:p>
    <w:p w14:paraId="0979120B" w14:textId="77777777" w:rsidR="000D2C9D" w:rsidRPr="000D2C9D" w:rsidRDefault="000D2C9D" w:rsidP="00813728">
      <w:pPr>
        <w:spacing w:line="360" w:lineRule="auto"/>
        <w:jc w:val="both"/>
        <w:rPr>
          <w:rFonts w:ascii="Times New Roman" w:hAnsi="Times New Roman" w:cs="Times New Roman"/>
          <w:sz w:val="24"/>
          <w:szCs w:val="24"/>
        </w:rPr>
      </w:pPr>
      <w:r w:rsidRPr="000D2C9D">
        <w:rPr>
          <w:rFonts w:ascii="Times New Roman" w:hAnsi="Times New Roman" w:cs="Times New Roman"/>
          <w:sz w:val="24"/>
          <w:szCs w:val="24"/>
        </w:rPr>
        <w:t xml:space="preserve">Les </w:t>
      </w:r>
      <w:r w:rsidRPr="000D2C9D">
        <w:rPr>
          <w:rFonts w:ascii="Times New Roman" w:hAnsi="Times New Roman" w:cs="Times New Roman"/>
          <w:b/>
          <w:bCs/>
          <w:sz w:val="24"/>
          <w:szCs w:val="24"/>
        </w:rPr>
        <w:t>variables liées au contact de la campagne</w:t>
      </w:r>
      <w:r w:rsidRPr="000D2C9D">
        <w:rPr>
          <w:rFonts w:ascii="Times New Roman" w:hAnsi="Times New Roman" w:cs="Times New Roman"/>
          <w:sz w:val="24"/>
          <w:szCs w:val="24"/>
        </w:rPr>
        <w:t xml:space="preserve"> comprennent contact, day, month et campaign. La variable contact précise le canal utilisé pour joindre le client, tandis que day et month permettent de situer le contact dans le temps et de capter d’éventuels effets calendaires. La variable campaign correspond au nombre de contacts effectués durant la campagne en cours et renseigne sur l’intensité de la sollicitation commerciale. La variable duration, qui mesure la durée de l’appel téléphonique, présente un fort pouvoir explicatif mais n’est observable qu’après le contact ; elle a donc été exclue de la modélisation afin de respecter une approche prédictive ex ante et d’éviter toute fuite d’information.</w:t>
      </w:r>
    </w:p>
    <w:p w14:paraId="514EC5D8" w14:textId="77777777" w:rsidR="000D2C9D" w:rsidRPr="000D2C9D" w:rsidRDefault="000D2C9D" w:rsidP="00813728">
      <w:pPr>
        <w:spacing w:line="360" w:lineRule="auto"/>
        <w:jc w:val="both"/>
        <w:rPr>
          <w:rFonts w:ascii="Times New Roman" w:hAnsi="Times New Roman" w:cs="Times New Roman"/>
          <w:sz w:val="24"/>
          <w:szCs w:val="24"/>
        </w:rPr>
      </w:pPr>
      <w:r w:rsidRPr="000D2C9D">
        <w:rPr>
          <w:rFonts w:ascii="Times New Roman" w:hAnsi="Times New Roman" w:cs="Times New Roman"/>
          <w:sz w:val="24"/>
          <w:szCs w:val="24"/>
        </w:rPr>
        <w:t xml:space="preserve">Enfin, les </w:t>
      </w:r>
      <w:r w:rsidRPr="000D2C9D">
        <w:rPr>
          <w:rFonts w:ascii="Times New Roman" w:hAnsi="Times New Roman" w:cs="Times New Roman"/>
          <w:b/>
          <w:bCs/>
          <w:sz w:val="24"/>
          <w:szCs w:val="24"/>
        </w:rPr>
        <w:t>variables décrivant l’historique des interactions avec la banque</w:t>
      </w:r>
      <w:r w:rsidRPr="000D2C9D">
        <w:rPr>
          <w:rFonts w:ascii="Times New Roman" w:hAnsi="Times New Roman" w:cs="Times New Roman"/>
          <w:sz w:val="24"/>
          <w:szCs w:val="24"/>
        </w:rPr>
        <w:t xml:space="preserve"> sont pdays, previous et poutcome. Elles permettent de retracer l’expérience passée du client lors de campagnes antérieures, en indiquant le délai depuis le dernier contact, le nombre de sollicitations précédentes et le résultat de la campagne antérieure.</w:t>
      </w:r>
    </w:p>
    <w:p w14:paraId="3D07C526" w14:textId="76AF380A" w:rsidR="000D2C9D" w:rsidRPr="00711D1E" w:rsidRDefault="000D2C9D" w:rsidP="00813728">
      <w:pPr>
        <w:spacing w:line="360" w:lineRule="auto"/>
        <w:jc w:val="both"/>
        <w:rPr>
          <w:rFonts w:ascii="Times New Roman" w:hAnsi="Times New Roman" w:cs="Times New Roman"/>
          <w:sz w:val="24"/>
          <w:szCs w:val="24"/>
        </w:rPr>
      </w:pPr>
      <w:r w:rsidRPr="000D2C9D">
        <w:rPr>
          <w:rFonts w:ascii="Times New Roman" w:hAnsi="Times New Roman" w:cs="Times New Roman"/>
          <w:sz w:val="24"/>
          <w:szCs w:val="24"/>
        </w:rPr>
        <w:t>Dans l’ensemble, ces variables offrent une description complète et cohérente des facteurs susceptibles d’influencer la souscription à un dépôt à terme bancaire. Leur rôle et leur pouvoir explicatif seront analysés plus en détail dans la section suivante consacrée à l’analyse exploratoire des données.</w:t>
      </w:r>
    </w:p>
    <w:p w14:paraId="649096BB" w14:textId="74189CC7" w:rsidR="009B6EA4" w:rsidRPr="0080712A" w:rsidRDefault="00A8508E" w:rsidP="00813728">
      <w:pPr>
        <w:spacing w:line="360" w:lineRule="auto"/>
        <w:jc w:val="both"/>
        <w:rPr>
          <w:rFonts w:ascii="Times New Roman" w:hAnsi="Times New Roman" w:cs="Times New Roman"/>
          <w:b/>
          <w:bCs/>
          <w:sz w:val="24"/>
          <w:szCs w:val="24"/>
        </w:rPr>
      </w:pPr>
      <w:r w:rsidRPr="00887C29">
        <w:rPr>
          <w:rFonts w:ascii="Times New Roman" w:hAnsi="Times New Roman" w:cs="Times New Roman"/>
          <w:b/>
          <w:bCs/>
          <w:sz w:val="24"/>
          <w:szCs w:val="24"/>
          <w:u w:val="single"/>
        </w:rPr>
        <w:t>Tableau</w:t>
      </w:r>
      <w:r w:rsidR="00B82D7C">
        <w:rPr>
          <w:rFonts w:ascii="Times New Roman" w:hAnsi="Times New Roman" w:cs="Times New Roman"/>
          <w:b/>
          <w:bCs/>
          <w:sz w:val="24"/>
          <w:szCs w:val="24"/>
          <w:u w:val="single"/>
        </w:rPr>
        <w:t xml:space="preserve"> </w:t>
      </w:r>
      <w:r w:rsidR="0080712A">
        <w:rPr>
          <w:rFonts w:ascii="Times New Roman" w:hAnsi="Times New Roman" w:cs="Times New Roman"/>
          <w:b/>
          <w:bCs/>
          <w:sz w:val="24"/>
          <w:szCs w:val="24"/>
          <w:u w:val="single"/>
        </w:rPr>
        <w:t>1</w:t>
      </w:r>
      <w:r w:rsidR="0080712A" w:rsidRPr="0080712A">
        <w:rPr>
          <w:rFonts w:ascii="Times New Roman" w:hAnsi="Times New Roman" w:cs="Times New Roman"/>
          <w:b/>
          <w:bCs/>
          <w:sz w:val="24"/>
          <w:szCs w:val="24"/>
        </w:rPr>
        <w:t xml:space="preserve"> :</w:t>
      </w:r>
      <w:r w:rsidRPr="0080712A">
        <w:rPr>
          <w:rFonts w:ascii="Times New Roman" w:hAnsi="Times New Roman" w:cs="Times New Roman"/>
          <w:b/>
          <w:bCs/>
          <w:sz w:val="24"/>
          <w:szCs w:val="24"/>
        </w:rPr>
        <w:t xml:space="preserve"> </w:t>
      </w:r>
      <w:r w:rsidR="0080712A">
        <w:rPr>
          <w:rFonts w:ascii="Times New Roman" w:hAnsi="Times New Roman" w:cs="Times New Roman"/>
          <w:b/>
          <w:bCs/>
          <w:sz w:val="24"/>
          <w:szCs w:val="24"/>
        </w:rPr>
        <w:t>R</w:t>
      </w:r>
      <w:r w:rsidRPr="0080712A">
        <w:rPr>
          <w:rFonts w:ascii="Times New Roman" w:hAnsi="Times New Roman" w:cs="Times New Roman"/>
          <w:b/>
          <w:bCs/>
          <w:sz w:val="24"/>
          <w:szCs w:val="24"/>
        </w:rPr>
        <w:t>écapitulatif des variables du modèle</w:t>
      </w:r>
    </w:p>
    <w:tbl>
      <w:tblPr>
        <w:tblStyle w:val="Grilledetableauclaire"/>
        <w:tblW w:w="9918" w:type="dxa"/>
        <w:tblLook w:val="0620" w:firstRow="1" w:lastRow="0" w:firstColumn="0" w:lastColumn="0" w:noHBand="1" w:noVBand="1"/>
      </w:tblPr>
      <w:tblGrid>
        <w:gridCol w:w="1510"/>
        <w:gridCol w:w="6990"/>
        <w:gridCol w:w="1418"/>
      </w:tblGrid>
      <w:tr w:rsidR="00404DE9" w:rsidRPr="00404DE9" w14:paraId="3554D570" w14:textId="77777777" w:rsidTr="00EA350A">
        <w:tc>
          <w:tcPr>
            <w:tcW w:w="0" w:type="auto"/>
            <w:hideMark/>
          </w:tcPr>
          <w:p w14:paraId="3E0FEC11" w14:textId="77777777" w:rsidR="00404DE9" w:rsidRPr="00A728BC" w:rsidRDefault="00404DE9" w:rsidP="00813728">
            <w:pPr>
              <w:spacing w:line="360" w:lineRule="auto"/>
              <w:rPr>
                <w:rFonts w:ascii="Times New Roman" w:eastAsia="Times New Roman" w:hAnsi="Times New Roman" w:cs="Times New Roman"/>
                <w:b/>
                <w:bCs/>
                <w:lang w:eastAsia="fr-FR"/>
              </w:rPr>
            </w:pPr>
            <w:r w:rsidRPr="00A728BC">
              <w:rPr>
                <w:rFonts w:ascii="Times New Roman" w:eastAsia="Times New Roman" w:hAnsi="Times New Roman" w:cs="Times New Roman"/>
                <w:b/>
                <w:bCs/>
                <w:lang w:eastAsia="fr-FR"/>
              </w:rPr>
              <w:t>Variable</w:t>
            </w:r>
          </w:p>
        </w:tc>
        <w:tc>
          <w:tcPr>
            <w:tcW w:w="6990" w:type="dxa"/>
            <w:hideMark/>
          </w:tcPr>
          <w:p w14:paraId="03E0210B" w14:textId="77777777" w:rsidR="00404DE9" w:rsidRPr="00A728BC" w:rsidRDefault="00404DE9" w:rsidP="00813728">
            <w:pPr>
              <w:spacing w:line="360" w:lineRule="auto"/>
              <w:jc w:val="center"/>
              <w:rPr>
                <w:rFonts w:ascii="Times New Roman" w:eastAsia="Times New Roman" w:hAnsi="Times New Roman" w:cs="Times New Roman"/>
                <w:b/>
                <w:bCs/>
                <w:lang w:eastAsia="fr-FR"/>
              </w:rPr>
            </w:pPr>
            <w:r w:rsidRPr="00A728BC">
              <w:rPr>
                <w:rFonts w:ascii="Times New Roman" w:eastAsia="Times New Roman" w:hAnsi="Times New Roman" w:cs="Times New Roman"/>
                <w:b/>
                <w:bCs/>
                <w:lang w:eastAsia="fr-FR"/>
              </w:rPr>
              <w:t>Description</w:t>
            </w:r>
          </w:p>
        </w:tc>
        <w:tc>
          <w:tcPr>
            <w:tcW w:w="1418" w:type="dxa"/>
            <w:hideMark/>
          </w:tcPr>
          <w:p w14:paraId="486066CE" w14:textId="77777777" w:rsidR="00404DE9" w:rsidRPr="00A728BC" w:rsidRDefault="00404DE9" w:rsidP="00813728">
            <w:pPr>
              <w:spacing w:line="360" w:lineRule="auto"/>
              <w:jc w:val="center"/>
              <w:rPr>
                <w:rFonts w:ascii="Times New Roman" w:eastAsia="Times New Roman" w:hAnsi="Times New Roman" w:cs="Times New Roman"/>
                <w:b/>
                <w:bCs/>
                <w:lang w:eastAsia="fr-FR"/>
              </w:rPr>
            </w:pPr>
            <w:r w:rsidRPr="00A728BC">
              <w:rPr>
                <w:rFonts w:ascii="Times New Roman" w:eastAsia="Times New Roman" w:hAnsi="Times New Roman" w:cs="Times New Roman"/>
                <w:b/>
                <w:bCs/>
                <w:lang w:eastAsia="fr-FR"/>
              </w:rPr>
              <w:t>Type</w:t>
            </w:r>
          </w:p>
        </w:tc>
      </w:tr>
      <w:tr w:rsidR="00404DE9" w:rsidRPr="00404DE9" w14:paraId="4934D4AE" w14:textId="77777777" w:rsidTr="00EA350A">
        <w:trPr>
          <w:trHeight w:val="662"/>
        </w:trPr>
        <w:tc>
          <w:tcPr>
            <w:tcW w:w="0" w:type="auto"/>
          </w:tcPr>
          <w:p w14:paraId="6FBD2949" w14:textId="056F9FA9" w:rsidR="00404DE9" w:rsidRPr="00A728BC" w:rsidRDefault="00F82C41" w:rsidP="00813728">
            <w:pPr>
              <w:spacing w:line="360" w:lineRule="auto"/>
              <w:rPr>
                <w:rFonts w:ascii="Times New Roman" w:eastAsia="Times New Roman" w:hAnsi="Times New Roman" w:cs="Times New Roman"/>
                <w:b/>
                <w:bCs/>
                <w:lang w:eastAsia="fr-FR"/>
              </w:rPr>
            </w:pPr>
            <w:r w:rsidRPr="00A728BC">
              <w:rPr>
                <w:rFonts w:ascii="Times New Roman" w:eastAsia="Times New Roman" w:hAnsi="Times New Roman" w:cs="Times New Roman"/>
                <w:b/>
                <w:bCs/>
                <w:lang w:eastAsia="fr-FR"/>
              </w:rPr>
              <w:t>Souscription</w:t>
            </w:r>
          </w:p>
        </w:tc>
        <w:tc>
          <w:tcPr>
            <w:tcW w:w="6990" w:type="dxa"/>
          </w:tcPr>
          <w:p w14:paraId="46E5CD08" w14:textId="091C72B9" w:rsidR="00404DE9" w:rsidRPr="00A728BC" w:rsidRDefault="00404DE9" w:rsidP="00813728">
            <w:pPr>
              <w:spacing w:line="360" w:lineRule="auto"/>
              <w:jc w:val="both"/>
              <w:rPr>
                <w:rFonts w:ascii="Times New Roman" w:eastAsia="Times New Roman" w:hAnsi="Times New Roman" w:cs="Times New Roman"/>
                <w:b/>
                <w:bCs/>
                <w:lang w:eastAsia="fr-FR"/>
              </w:rPr>
            </w:pPr>
            <w:r w:rsidRPr="00A728BC">
              <w:rPr>
                <w:rFonts w:ascii="Times New Roman" w:eastAsia="Times New Roman" w:hAnsi="Times New Roman" w:cs="Times New Roman"/>
                <w:lang w:eastAsia="fr-FR"/>
              </w:rPr>
              <w:t>Indique si le client a souscrit à un dépôt à terme bancaire (</w:t>
            </w:r>
            <w:r w:rsidRPr="00A728BC">
              <w:rPr>
                <w:rFonts w:ascii="Times New Roman" w:eastAsia="Times New Roman" w:hAnsi="Times New Roman" w:cs="Times New Roman"/>
                <w:i/>
                <w:iCs/>
                <w:lang w:eastAsia="fr-FR"/>
              </w:rPr>
              <w:t>yes /no</w:t>
            </w:r>
            <w:r w:rsidRPr="00A728BC">
              <w:rPr>
                <w:rFonts w:ascii="Times New Roman" w:eastAsia="Times New Roman" w:hAnsi="Times New Roman" w:cs="Times New Roman"/>
                <w:lang w:eastAsia="fr-FR"/>
              </w:rPr>
              <w:t>). Variable cible du modèle.</w:t>
            </w:r>
          </w:p>
        </w:tc>
        <w:tc>
          <w:tcPr>
            <w:tcW w:w="1418" w:type="dxa"/>
          </w:tcPr>
          <w:p w14:paraId="78F77AF4" w14:textId="252AA39A" w:rsidR="00404DE9" w:rsidRPr="00A728BC" w:rsidRDefault="00404DE9" w:rsidP="00813728">
            <w:pPr>
              <w:spacing w:line="360" w:lineRule="auto"/>
              <w:rPr>
                <w:rFonts w:ascii="Times New Roman" w:eastAsia="Times New Roman" w:hAnsi="Times New Roman" w:cs="Times New Roman"/>
                <w:b/>
                <w:bCs/>
                <w:lang w:eastAsia="fr-FR"/>
              </w:rPr>
            </w:pPr>
            <w:r w:rsidRPr="00A728BC">
              <w:rPr>
                <w:rFonts w:ascii="Times New Roman" w:eastAsia="Times New Roman" w:hAnsi="Times New Roman" w:cs="Times New Roman"/>
                <w:lang w:eastAsia="fr-FR"/>
              </w:rPr>
              <w:t xml:space="preserve"> </w:t>
            </w:r>
            <w:r w:rsidR="00AB758A" w:rsidRPr="00A728BC">
              <w:rPr>
                <w:rFonts w:ascii="Times New Roman" w:eastAsia="Times New Roman" w:hAnsi="Times New Roman" w:cs="Times New Roman"/>
                <w:lang w:eastAsia="fr-FR"/>
              </w:rPr>
              <w:t>Binaire</w:t>
            </w:r>
          </w:p>
        </w:tc>
      </w:tr>
      <w:tr w:rsidR="00404DE9" w:rsidRPr="00404DE9" w14:paraId="445FD8A1" w14:textId="77777777" w:rsidTr="00EA350A">
        <w:trPr>
          <w:trHeight w:val="983"/>
        </w:trPr>
        <w:tc>
          <w:tcPr>
            <w:tcW w:w="0" w:type="auto"/>
            <w:hideMark/>
          </w:tcPr>
          <w:p w14:paraId="128CF30C" w14:textId="6B453D8B"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Age</w:t>
            </w:r>
          </w:p>
        </w:tc>
        <w:tc>
          <w:tcPr>
            <w:tcW w:w="6990" w:type="dxa"/>
            <w:hideMark/>
          </w:tcPr>
          <w:p w14:paraId="4454C02B"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Âge du client au moment du contact lors de la campagne de marketing direct. Cette variable permet de prendre en compte le cycle de vie et la propension à l’épargne.</w:t>
            </w:r>
          </w:p>
        </w:tc>
        <w:tc>
          <w:tcPr>
            <w:tcW w:w="1418" w:type="dxa"/>
            <w:hideMark/>
          </w:tcPr>
          <w:p w14:paraId="025CFCEE"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Numérique</w:t>
            </w:r>
          </w:p>
        </w:tc>
      </w:tr>
      <w:tr w:rsidR="00404DE9" w:rsidRPr="00404DE9" w14:paraId="031081D6" w14:textId="77777777" w:rsidTr="00EA350A">
        <w:trPr>
          <w:trHeight w:val="841"/>
        </w:trPr>
        <w:tc>
          <w:tcPr>
            <w:tcW w:w="0" w:type="auto"/>
            <w:hideMark/>
          </w:tcPr>
          <w:p w14:paraId="2C066BBD" w14:textId="53BA6B85"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Job</w:t>
            </w:r>
          </w:p>
        </w:tc>
        <w:tc>
          <w:tcPr>
            <w:tcW w:w="6990" w:type="dxa"/>
            <w:hideMark/>
          </w:tcPr>
          <w:p w14:paraId="0D5FF493"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Profession du client (</w:t>
            </w:r>
            <w:r w:rsidRPr="00A728BC">
              <w:rPr>
                <w:rFonts w:ascii="Times New Roman" w:eastAsia="Times New Roman" w:hAnsi="Times New Roman" w:cs="Times New Roman"/>
                <w:i/>
                <w:iCs/>
                <w:lang w:eastAsia="fr-FR"/>
              </w:rPr>
              <w:t>management, technician, retired, student</w:t>
            </w:r>
            <w:r w:rsidRPr="00A728BC">
              <w:rPr>
                <w:rFonts w:ascii="Times New Roman" w:eastAsia="Times New Roman" w:hAnsi="Times New Roman" w:cs="Times New Roman"/>
                <w:lang w:eastAsia="fr-FR"/>
              </w:rPr>
              <w:t>, etc.). Elle renseigne sur la situation professionnelle et la stabilité économique.</w:t>
            </w:r>
          </w:p>
        </w:tc>
        <w:tc>
          <w:tcPr>
            <w:tcW w:w="1418" w:type="dxa"/>
            <w:hideMark/>
          </w:tcPr>
          <w:p w14:paraId="353666BF"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Catégorielle</w:t>
            </w:r>
          </w:p>
        </w:tc>
      </w:tr>
      <w:tr w:rsidR="00404DE9" w:rsidRPr="00404DE9" w14:paraId="61B0F0DA" w14:textId="77777777" w:rsidTr="00EA350A">
        <w:trPr>
          <w:trHeight w:val="409"/>
        </w:trPr>
        <w:tc>
          <w:tcPr>
            <w:tcW w:w="0" w:type="auto"/>
            <w:hideMark/>
          </w:tcPr>
          <w:p w14:paraId="2B51970E" w14:textId="0653635B"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Marital</w:t>
            </w:r>
          </w:p>
        </w:tc>
        <w:tc>
          <w:tcPr>
            <w:tcW w:w="6990" w:type="dxa"/>
            <w:hideMark/>
          </w:tcPr>
          <w:p w14:paraId="741CC349"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Statut matrimonial du client (</w:t>
            </w:r>
            <w:r w:rsidRPr="00A728BC">
              <w:rPr>
                <w:rFonts w:ascii="Times New Roman" w:eastAsia="Times New Roman" w:hAnsi="Times New Roman" w:cs="Times New Roman"/>
                <w:i/>
                <w:iCs/>
                <w:lang w:eastAsia="fr-FR"/>
              </w:rPr>
              <w:t>married, single, divorced</w:t>
            </w:r>
            <w:r w:rsidRPr="00A728BC">
              <w:rPr>
                <w:rFonts w:ascii="Times New Roman" w:eastAsia="Times New Roman" w:hAnsi="Times New Roman" w:cs="Times New Roman"/>
                <w:lang w:eastAsia="fr-FR"/>
              </w:rPr>
              <w:t>).</w:t>
            </w:r>
          </w:p>
        </w:tc>
        <w:tc>
          <w:tcPr>
            <w:tcW w:w="1418" w:type="dxa"/>
            <w:hideMark/>
          </w:tcPr>
          <w:p w14:paraId="0E7CB824"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Catégorielle</w:t>
            </w:r>
          </w:p>
        </w:tc>
      </w:tr>
      <w:tr w:rsidR="00404DE9" w:rsidRPr="00404DE9" w14:paraId="55D5321A" w14:textId="77777777" w:rsidTr="00EA350A">
        <w:trPr>
          <w:trHeight w:val="561"/>
        </w:trPr>
        <w:tc>
          <w:tcPr>
            <w:tcW w:w="0" w:type="auto"/>
            <w:hideMark/>
          </w:tcPr>
          <w:p w14:paraId="5C14C8BD" w14:textId="2ADC9DEF"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Éducation</w:t>
            </w:r>
          </w:p>
        </w:tc>
        <w:tc>
          <w:tcPr>
            <w:tcW w:w="6990" w:type="dxa"/>
            <w:hideMark/>
          </w:tcPr>
          <w:p w14:paraId="2465E9EE"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Niveau d’éducation du client (</w:t>
            </w:r>
            <w:r w:rsidRPr="00A728BC">
              <w:rPr>
                <w:rFonts w:ascii="Times New Roman" w:eastAsia="Times New Roman" w:hAnsi="Times New Roman" w:cs="Times New Roman"/>
                <w:i/>
                <w:iCs/>
                <w:lang w:eastAsia="fr-FR"/>
              </w:rPr>
              <w:t>primary, secondary, tertiary, unknown</w:t>
            </w:r>
            <w:r w:rsidRPr="00A728BC">
              <w:rPr>
                <w:rFonts w:ascii="Times New Roman" w:eastAsia="Times New Roman" w:hAnsi="Times New Roman" w:cs="Times New Roman"/>
                <w:lang w:eastAsia="fr-FR"/>
              </w:rPr>
              <w:t>).</w:t>
            </w:r>
          </w:p>
        </w:tc>
        <w:tc>
          <w:tcPr>
            <w:tcW w:w="1418" w:type="dxa"/>
            <w:hideMark/>
          </w:tcPr>
          <w:p w14:paraId="74CC1F2F"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Catégorielle</w:t>
            </w:r>
          </w:p>
        </w:tc>
      </w:tr>
      <w:tr w:rsidR="00404DE9" w:rsidRPr="00404DE9" w14:paraId="616D84DD" w14:textId="77777777" w:rsidTr="00EA350A">
        <w:trPr>
          <w:trHeight w:val="418"/>
        </w:trPr>
        <w:tc>
          <w:tcPr>
            <w:tcW w:w="0" w:type="auto"/>
            <w:hideMark/>
          </w:tcPr>
          <w:p w14:paraId="6EEFFC2A" w14:textId="5A0EAD88"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Default</w:t>
            </w:r>
          </w:p>
        </w:tc>
        <w:tc>
          <w:tcPr>
            <w:tcW w:w="6990" w:type="dxa"/>
            <w:hideMark/>
          </w:tcPr>
          <w:p w14:paraId="07A9C69B"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Indique si le client a déjà connu un défaut de paiement (</w:t>
            </w:r>
            <w:r w:rsidRPr="00A728BC">
              <w:rPr>
                <w:rFonts w:ascii="Times New Roman" w:eastAsia="Times New Roman" w:hAnsi="Times New Roman" w:cs="Times New Roman"/>
                <w:i/>
                <w:iCs/>
                <w:lang w:eastAsia="fr-FR"/>
              </w:rPr>
              <w:t>yes / no</w:t>
            </w:r>
            <w:r w:rsidRPr="00A728BC">
              <w:rPr>
                <w:rFonts w:ascii="Times New Roman" w:eastAsia="Times New Roman" w:hAnsi="Times New Roman" w:cs="Times New Roman"/>
                <w:lang w:eastAsia="fr-FR"/>
              </w:rPr>
              <w:t>).</w:t>
            </w:r>
          </w:p>
        </w:tc>
        <w:tc>
          <w:tcPr>
            <w:tcW w:w="1418" w:type="dxa"/>
            <w:hideMark/>
          </w:tcPr>
          <w:p w14:paraId="1734D8CA" w14:textId="36FAB3AF"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 xml:space="preserve">Catégorielle </w:t>
            </w:r>
          </w:p>
        </w:tc>
      </w:tr>
      <w:tr w:rsidR="00404DE9" w:rsidRPr="00404DE9" w14:paraId="465695D4" w14:textId="77777777" w:rsidTr="00EA350A">
        <w:trPr>
          <w:trHeight w:val="708"/>
        </w:trPr>
        <w:tc>
          <w:tcPr>
            <w:tcW w:w="0" w:type="auto"/>
            <w:hideMark/>
          </w:tcPr>
          <w:p w14:paraId="418EF710" w14:textId="03A24122"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lastRenderedPageBreak/>
              <w:t>Balance</w:t>
            </w:r>
          </w:p>
        </w:tc>
        <w:tc>
          <w:tcPr>
            <w:tcW w:w="6990" w:type="dxa"/>
            <w:hideMark/>
          </w:tcPr>
          <w:p w14:paraId="24A9066B"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Solde bancaire moyen du client. Il constitue un indicateur de la capacité d’épargne.</w:t>
            </w:r>
          </w:p>
        </w:tc>
        <w:tc>
          <w:tcPr>
            <w:tcW w:w="1418" w:type="dxa"/>
            <w:hideMark/>
          </w:tcPr>
          <w:p w14:paraId="0367F60A"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Numérique</w:t>
            </w:r>
          </w:p>
        </w:tc>
      </w:tr>
      <w:tr w:rsidR="00404DE9" w:rsidRPr="00404DE9" w14:paraId="547821CE" w14:textId="77777777" w:rsidTr="00EA350A">
        <w:trPr>
          <w:trHeight w:val="406"/>
        </w:trPr>
        <w:tc>
          <w:tcPr>
            <w:tcW w:w="0" w:type="auto"/>
            <w:hideMark/>
          </w:tcPr>
          <w:p w14:paraId="02BEC8B3" w14:textId="35250FB8"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Housing</w:t>
            </w:r>
          </w:p>
        </w:tc>
        <w:tc>
          <w:tcPr>
            <w:tcW w:w="6990" w:type="dxa"/>
            <w:hideMark/>
          </w:tcPr>
          <w:p w14:paraId="6C2636F8"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Indique la présence d’un prêt immobilier en cours (</w:t>
            </w:r>
            <w:r w:rsidRPr="00A728BC">
              <w:rPr>
                <w:rFonts w:ascii="Times New Roman" w:eastAsia="Times New Roman" w:hAnsi="Times New Roman" w:cs="Times New Roman"/>
                <w:i/>
                <w:iCs/>
                <w:lang w:eastAsia="fr-FR"/>
              </w:rPr>
              <w:t>yes / no</w:t>
            </w:r>
            <w:r w:rsidRPr="00A728BC">
              <w:rPr>
                <w:rFonts w:ascii="Times New Roman" w:eastAsia="Times New Roman" w:hAnsi="Times New Roman" w:cs="Times New Roman"/>
                <w:lang w:eastAsia="fr-FR"/>
              </w:rPr>
              <w:t>).</w:t>
            </w:r>
          </w:p>
        </w:tc>
        <w:tc>
          <w:tcPr>
            <w:tcW w:w="1418" w:type="dxa"/>
            <w:hideMark/>
          </w:tcPr>
          <w:p w14:paraId="1117ADED" w14:textId="4ACC1AB6"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 xml:space="preserve">Catégorielle </w:t>
            </w:r>
          </w:p>
        </w:tc>
      </w:tr>
      <w:tr w:rsidR="00404DE9" w:rsidRPr="00404DE9" w14:paraId="7D667A93" w14:textId="77777777" w:rsidTr="00EA350A">
        <w:trPr>
          <w:trHeight w:val="412"/>
        </w:trPr>
        <w:tc>
          <w:tcPr>
            <w:tcW w:w="0" w:type="auto"/>
            <w:hideMark/>
          </w:tcPr>
          <w:p w14:paraId="1FB5CB55" w14:textId="405C3F88"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Loan</w:t>
            </w:r>
          </w:p>
        </w:tc>
        <w:tc>
          <w:tcPr>
            <w:tcW w:w="6990" w:type="dxa"/>
            <w:hideMark/>
          </w:tcPr>
          <w:p w14:paraId="1C463A26"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Indique la présence d’un prêt personnel en cours (</w:t>
            </w:r>
            <w:r w:rsidRPr="00A728BC">
              <w:rPr>
                <w:rFonts w:ascii="Times New Roman" w:eastAsia="Times New Roman" w:hAnsi="Times New Roman" w:cs="Times New Roman"/>
                <w:i/>
                <w:iCs/>
                <w:lang w:eastAsia="fr-FR"/>
              </w:rPr>
              <w:t>yes / no</w:t>
            </w:r>
            <w:r w:rsidRPr="00A728BC">
              <w:rPr>
                <w:rFonts w:ascii="Times New Roman" w:eastAsia="Times New Roman" w:hAnsi="Times New Roman" w:cs="Times New Roman"/>
                <w:lang w:eastAsia="fr-FR"/>
              </w:rPr>
              <w:t>).</w:t>
            </w:r>
          </w:p>
        </w:tc>
        <w:tc>
          <w:tcPr>
            <w:tcW w:w="1418" w:type="dxa"/>
            <w:hideMark/>
          </w:tcPr>
          <w:p w14:paraId="4D31751B" w14:textId="1329A5AA"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 xml:space="preserve">Catégorielle </w:t>
            </w:r>
          </w:p>
        </w:tc>
      </w:tr>
      <w:tr w:rsidR="00404DE9" w:rsidRPr="00404DE9" w14:paraId="4F1AAE60" w14:textId="77777777" w:rsidTr="00EA350A">
        <w:trPr>
          <w:trHeight w:val="701"/>
        </w:trPr>
        <w:tc>
          <w:tcPr>
            <w:tcW w:w="0" w:type="auto"/>
            <w:hideMark/>
          </w:tcPr>
          <w:p w14:paraId="5F795D93" w14:textId="09960028"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Contact</w:t>
            </w:r>
          </w:p>
        </w:tc>
        <w:tc>
          <w:tcPr>
            <w:tcW w:w="6990" w:type="dxa"/>
            <w:hideMark/>
          </w:tcPr>
          <w:p w14:paraId="4E07BA20"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Type de contact utilisé pour joindre le client (</w:t>
            </w:r>
            <w:r w:rsidRPr="00A728BC">
              <w:rPr>
                <w:rFonts w:ascii="Times New Roman" w:eastAsia="Times New Roman" w:hAnsi="Times New Roman" w:cs="Times New Roman"/>
                <w:i/>
                <w:iCs/>
                <w:lang w:eastAsia="fr-FR"/>
              </w:rPr>
              <w:t>cellular, telephone, unknown</w:t>
            </w:r>
            <w:r w:rsidRPr="00A728BC">
              <w:rPr>
                <w:rFonts w:ascii="Times New Roman" w:eastAsia="Times New Roman" w:hAnsi="Times New Roman" w:cs="Times New Roman"/>
                <w:lang w:eastAsia="fr-FR"/>
              </w:rPr>
              <w:t>).</w:t>
            </w:r>
          </w:p>
        </w:tc>
        <w:tc>
          <w:tcPr>
            <w:tcW w:w="1418" w:type="dxa"/>
            <w:hideMark/>
          </w:tcPr>
          <w:p w14:paraId="197C42C8"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Catégorielle</w:t>
            </w:r>
          </w:p>
        </w:tc>
      </w:tr>
      <w:tr w:rsidR="00404DE9" w:rsidRPr="00404DE9" w14:paraId="4C4A290B" w14:textId="77777777" w:rsidTr="00EA350A">
        <w:trPr>
          <w:trHeight w:val="450"/>
        </w:trPr>
        <w:tc>
          <w:tcPr>
            <w:tcW w:w="0" w:type="auto"/>
            <w:hideMark/>
          </w:tcPr>
          <w:p w14:paraId="4DA069CC" w14:textId="7C126802"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Day</w:t>
            </w:r>
          </w:p>
        </w:tc>
        <w:tc>
          <w:tcPr>
            <w:tcW w:w="6990" w:type="dxa"/>
            <w:hideMark/>
          </w:tcPr>
          <w:p w14:paraId="1E07978B"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Jour du mois auquel le client a été contacté.</w:t>
            </w:r>
          </w:p>
        </w:tc>
        <w:tc>
          <w:tcPr>
            <w:tcW w:w="1418" w:type="dxa"/>
            <w:hideMark/>
          </w:tcPr>
          <w:p w14:paraId="244D8092"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Numérique</w:t>
            </w:r>
          </w:p>
        </w:tc>
      </w:tr>
      <w:tr w:rsidR="00404DE9" w:rsidRPr="00404DE9" w14:paraId="01B6AD93" w14:textId="77777777" w:rsidTr="00EA350A">
        <w:trPr>
          <w:trHeight w:val="662"/>
        </w:trPr>
        <w:tc>
          <w:tcPr>
            <w:tcW w:w="0" w:type="auto"/>
            <w:hideMark/>
          </w:tcPr>
          <w:p w14:paraId="54157A30" w14:textId="7F9D363E"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Month</w:t>
            </w:r>
          </w:p>
        </w:tc>
        <w:tc>
          <w:tcPr>
            <w:tcW w:w="6990" w:type="dxa"/>
            <w:hideMark/>
          </w:tcPr>
          <w:p w14:paraId="56FD728E"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Mois durant lequel le contact a eu lieu. Permet de capter des effets saisonniers.</w:t>
            </w:r>
          </w:p>
        </w:tc>
        <w:tc>
          <w:tcPr>
            <w:tcW w:w="1418" w:type="dxa"/>
            <w:hideMark/>
          </w:tcPr>
          <w:p w14:paraId="542099BC"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Catégorielle</w:t>
            </w:r>
          </w:p>
        </w:tc>
      </w:tr>
      <w:tr w:rsidR="00404DE9" w:rsidRPr="00404DE9" w14:paraId="1EB57858" w14:textId="77777777" w:rsidTr="00EA350A">
        <w:trPr>
          <w:trHeight w:val="700"/>
        </w:trPr>
        <w:tc>
          <w:tcPr>
            <w:tcW w:w="0" w:type="auto"/>
            <w:hideMark/>
          </w:tcPr>
          <w:p w14:paraId="582D7F92" w14:textId="509901BA"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Duration</w:t>
            </w:r>
          </w:p>
        </w:tc>
        <w:tc>
          <w:tcPr>
            <w:tcW w:w="6990" w:type="dxa"/>
            <w:hideMark/>
          </w:tcPr>
          <w:p w14:paraId="6483F375"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 xml:space="preserve">Durée de l’appel téléphonique (en secondes). Variable explicative forte mais non observable </w:t>
            </w:r>
            <w:r w:rsidRPr="00A728BC">
              <w:rPr>
                <w:rFonts w:ascii="Times New Roman" w:eastAsia="Times New Roman" w:hAnsi="Times New Roman" w:cs="Times New Roman"/>
                <w:i/>
                <w:iCs/>
                <w:lang w:eastAsia="fr-FR"/>
              </w:rPr>
              <w:t>ex ante</w:t>
            </w:r>
            <w:r w:rsidRPr="00A728BC">
              <w:rPr>
                <w:rFonts w:ascii="Times New Roman" w:eastAsia="Times New Roman" w:hAnsi="Times New Roman" w:cs="Times New Roman"/>
                <w:lang w:eastAsia="fr-FR"/>
              </w:rPr>
              <w:t xml:space="preserve">, </w:t>
            </w:r>
            <w:r w:rsidRPr="00A728BC">
              <w:rPr>
                <w:rFonts w:ascii="Times New Roman" w:eastAsia="Times New Roman" w:hAnsi="Times New Roman" w:cs="Times New Roman"/>
                <w:b/>
                <w:bCs/>
                <w:lang w:eastAsia="fr-FR"/>
              </w:rPr>
              <w:t>exclue de la modélisation</w:t>
            </w:r>
            <w:r w:rsidRPr="00A728BC">
              <w:rPr>
                <w:rFonts w:ascii="Times New Roman" w:eastAsia="Times New Roman" w:hAnsi="Times New Roman" w:cs="Times New Roman"/>
                <w:lang w:eastAsia="fr-FR"/>
              </w:rPr>
              <w:t>.</w:t>
            </w:r>
          </w:p>
        </w:tc>
        <w:tc>
          <w:tcPr>
            <w:tcW w:w="1418" w:type="dxa"/>
            <w:hideMark/>
          </w:tcPr>
          <w:p w14:paraId="351FC42B"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Numérique</w:t>
            </w:r>
          </w:p>
        </w:tc>
      </w:tr>
      <w:tr w:rsidR="00404DE9" w:rsidRPr="00404DE9" w14:paraId="7CD9EC0D" w14:textId="77777777" w:rsidTr="00EA350A">
        <w:trPr>
          <w:trHeight w:val="709"/>
        </w:trPr>
        <w:tc>
          <w:tcPr>
            <w:tcW w:w="0" w:type="auto"/>
            <w:hideMark/>
          </w:tcPr>
          <w:p w14:paraId="32D68FD3" w14:textId="7F79401E"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Campaign</w:t>
            </w:r>
          </w:p>
        </w:tc>
        <w:tc>
          <w:tcPr>
            <w:tcW w:w="6990" w:type="dxa"/>
            <w:hideMark/>
          </w:tcPr>
          <w:p w14:paraId="6C5872E8"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Nombre de contacts effectués avec le client durant la campagne en cours.</w:t>
            </w:r>
          </w:p>
        </w:tc>
        <w:tc>
          <w:tcPr>
            <w:tcW w:w="1418" w:type="dxa"/>
            <w:hideMark/>
          </w:tcPr>
          <w:p w14:paraId="183D25A5"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Numérique</w:t>
            </w:r>
          </w:p>
        </w:tc>
      </w:tr>
      <w:tr w:rsidR="00404DE9" w:rsidRPr="00404DE9" w14:paraId="77E90E35" w14:textId="77777777" w:rsidTr="00EA350A">
        <w:trPr>
          <w:trHeight w:val="691"/>
        </w:trPr>
        <w:tc>
          <w:tcPr>
            <w:tcW w:w="0" w:type="auto"/>
            <w:hideMark/>
          </w:tcPr>
          <w:p w14:paraId="4F41A901" w14:textId="62E183D1"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Pdays</w:t>
            </w:r>
          </w:p>
        </w:tc>
        <w:tc>
          <w:tcPr>
            <w:tcW w:w="6990" w:type="dxa"/>
            <w:hideMark/>
          </w:tcPr>
          <w:p w14:paraId="24FD75FD"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Nombre de jours écoulés depuis le dernier contact lors d’une campagne précédente (</w:t>
            </w:r>
            <w:r w:rsidRPr="00A728BC">
              <w:rPr>
                <w:rFonts w:ascii="Times New Roman" w:eastAsia="Times New Roman" w:hAnsi="Times New Roman" w:cs="Times New Roman"/>
                <w:i/>
                <w:iCs/>
                <w:lang w:eastAsia="fr-FR"/>
              </w:rPr>
              <w:t>−1</w:t>
            </w:r>
            <w:r w:rsidRPr="00A728BC">
              <w:rPr>
                <w:rFonts w:ascii="Times New Roman" w:eastAsia="Times New Roman" w:hAnsi="Times New Roman" w:cs="Times New Roman"/>
                <w:lang w:eastAsia="fr-FR"/>
              </w:rPr>
              <w:t xml:space="preserve"> signifie aucun contact antérieur).</w:t>
            </w:r>
          </w:p>
        </w:tc>
        <w:tc>
          <w:tcPr>
            <w:tcW w:w="1418" w:type="dxa"/>
            <w:hideMark/>
          </w:tcPr>
          <w:p w14:paraId="2AA43098"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Numérique</w:t>
            </w:r>
          </w:p>
        </w:tc>
      </w:tr>
      <w:tr w:rsidR="00404DE9" w:rsidRPr="00404DE9" w14:paraId="60F84CEC" w14:textId="77777777" w:rsidTr="00EA350A">
        <w:trPr>
          <w:trHeight w:val="418"/>
        </w:trPr>
        <w:tc>
          <w:tcPr>
            <w:tcW w:w="0" w:type="auto"/>
            <w:hideMark/>
          </w:tcPr>
          <w:p w14:paraId="42D30309" w14:textId="66A0C7E6"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Previous</w:t>
            </w:r>
          </w:p>
        </w:tc>
        <w:tc>
          <w:tcPr>
            <w:tcW w:w="6990" w:type="dxa"/>
            <w:hideMark/>
          </w:tcPr>
          <w:p w14:paraId="34284CCF"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Nombre de contacts réalisés lors de campagnes précédentes.</w:t>
            </w:r>
          </w:p>
        </w:tc>
        <w:tc>
          <w:tcPr>
            <w:tcW w:w="1418" w:type="dxa"/>
            <w:hideMark/>
          </w:tcPr>
          <w:p w14:paraId="09176131"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Numérique</w:t>
            </w:r>
          </w:p>
        </w:tc>
      </w:tr>
      <w:tr w:rsidR="00404DE9" w:rsidRPr="00404DE9" w14:paraId="1F700A8B" w14:textId="77777777" w:rsidTr="00EA350A">
        <w:trPr>
          <w:trHeight w:val="562"/>
        </w:trPr>
        <w:tc>
          <w:tcPr>
            <w:tcW w:w="0" w:type="auto"/>
            <w:hideMark/>
          </w:tcPr>
          <w:p w14:paraId="30ABD573" w14:textId="4473698E" w:rsidR="00404DE9" w:rsidRPr="00A728BC" w:rsidRDefault="00F82C41"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b/>
                <w:bCs/>
                <w:lang w:eastAsia="fr-FR"/>
              </w:rPr>
              <w:t>Poutcome</w:t>
            </w:r>
          </w:p>
        </w:tc>
        <w:tc>
          <w:tcPr>
            <w:tcW w:w="6990" w:type="dxa"/>
            <w:hideMark/>
          </w:tcPr>
          <w:p w14:paraId="4B285CD7" w14:textId="77777777" w:rsidR="00404DE9" w:rsidRPr="00A728BC" w:rsidRDefault="00404DE9" w:rsidP="00813728">
            <w:pPr>
              <w:spacing w:line="360" w:lineRule="auto"/>
              <w:jc w:val="both"/>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Résultat de la campagne précédente (</w:t>
            </w:r>
            <w:r w:rsidRPr="00A728BC">
              <w:rPr>
                <w:rFonts w:ascii="Times New Roman" w:eastAsia="Times New Roman" w:hAnsi="Times New Roman" w:cs="Times New Roman"/>
                <w:i/>
                <w:iCs/>
                <w:lang w:eastAsia="fr-FR"/>
              </w:rPr>
              <w:t>success, failure, other, unknown</w:t>
            </w:r>
            <w:r w:rsidRPr="00A728BC">
              <w:rPr>
                <w:rFonts w:ascii="Times New Roman" w:eastAsia="Times New Roman" w:hAnsi="Times New Roman" w:cs="Times New Roman"/>
                <w:lang w:eastAsia="fr-FR"/>
              </w:rPr>
              <w:t>).</w:t>
            </w:r>
          </w:p>
        </w:tc>
        <w:tc>
          <w:tcPr>
            <w:tcW w:w="1418" w:type="dxa"/>
            <w:hideMark/>
          </w:tcPr>
          <w:p w14:paraId="667E898E" w14:textId="77777777" w:rsidR="00404DE9" w:rsidRPr="00A728BC" w:rsidRDefault="00404DE9" w:rsidP="00813728">
            <w:pPr>
              <w:spacing w:line="360" w:lineRule="auto"/>
              <w:rPr>
                <w:rFonts w:ascii="Times New Roman" w:eastAsia="Times New Roman" w:hAnsi="Times New Roman" w:cs="Times New Roman"/>
                <w:lang w:eastAsia="fr-FR"/>
              </w:rPr>
            </w:pPr>
            <w:r w:rsidRPr="00A728BC">
              <w:rPr>
                <w:rFonts w:ascii="Times New Roman" w:eastAsia="Times New Roman" w:hAnsi="Times New Roman" w:cs="Times New Roman"/>
                <w:lang w:eastAsia="fr-FR"/>
              </w:rPr>
              <w:t>Catégorielle</w:t>
            </w:r>
          </w:p>
        </w:tc>
      </w:tr>
    </w:tbl>
    <w:p w14:paraId="5A0F2063" w14:textId="77777777" w:rsidR="00927767" w:rsidRDefault="00927767" w:rsidP="00813728">
      <w:pPr>
        <w:spacing w:line="360" w:lineRule="auto"/>
        <w:jc w:val="both"/>
        <w:rPr>
          <w:rFonts w:ascii="Times New Roman" w:hAnsi="Times New Roman" w:cs="Times New Roman"/>
          <w:i/>
          <w:iCs/>
          <w:sz w:val="24"/>
          <w:szCs w:val="24"/>
        </w:rPr>
      </w:pPr>
      <w:r w:rsidRPr="00927767">
        <w:rPr>
          <w:rFonts w:ascii="Times New Roman" w:hAnsi="Times New Roman" w:cs="Times New Roman"/>
          <w:i/>
          <w:iCs/>
          <w:sz w:val="24"/>
          <w:szCs w:val="24"/>
        </w:rPr>
        <w:t>Source : auteurs, à partir des données UCI</w:t>
      </w:r>
    </w:p>
    <w:p w14:paraId="38C6C1EE" w14:textId="0F736C51" w:rsidR="00A74179" w:rsidRDefault="00A74179" w:rsidP="00813728">
      <w:pPr>
        <w:spacing w:line="360" w:lineRule="auto"/>
        <w:jc w:val="both"/>
        <w:rPr>
          <w:rFonts w:ascii="Times New Roman" w:hAnsi="Times New Roman" w:cs="Times New Roman"/>
          <w:sz w:val="24"/>
          <w:szCs w:val="24"/>
        </w:rPr>
      </w:pPr>
      <w:r w:rsidRPr="00A74179">
        <w:rPr>
          <w:rFonts w:ascii="Times New Roman" w:hAnsi="Times New Roman" w:cs="Times New Roman"/>
          <w:sz w:val="24"/>
          <w:szCs w:val="24"/>
        </w:rPr>
        <w:t>Le tableau ci-dessus présente l’ensemble des variables utilisées dans l’étude, leur signification économique ainsi que leur nature. Cette présentation permet de clarifier le rôle de chaque variable dans la modélisation et facilite l’interprétation des résultats. Sur cette base, la section suivante est consacrée à l’analyse exploratoire et à la préparation des données, étapes indispensables pour comprendre la structure du jeu de données, identifier les principales relations entre les variables et mettre en œuvre les transformations nécessaires à la construction de modèles prédictifs robustes et fiables.</w:t>
      </w:r>
    </w:p>
    <w:p w14:paraId="33F218FC" w14:textId="77777777" w:rsidR="00664D9F" w:rsidRDefault="00664D9F" w:rsidP="00813728">
      <w:pPr>
        <w:spacing w:line="360" w:lineRule="auto"/>
        <w:jc w:val="both"/>
        <w:rPr>
          <w:rFonts w:ascii="Times New Roman" w:hAnsi="Times New Roman" w:cs="Times New Roman"/>
          <w:sz w:val="24"/>
          <w:szCs w:val="24"/>
        </w:rPr>
      </w:pPr>
    </w:p>
    <w:p w14:paraId="3736D335" w14:textId="77777777" w:rsidR="00664D9F" w:rsidRDefault="00664D9F" w:rsidP="00813728">
      <w:pPr>
        <w:spacing w:line="360" w:lineRule="auto"/>
        <w:jc w:val="both"/>
        <w:rPr>
          <w:rFonts w:ascii="Times New Roman" w:hAnsi="Times New Roman" w:cs="Times New Roman"/>
          <w:sz w:val="24"/>
          <w:szCs w:val="24"/>
        </w:rPr>
      </w:pPr>
    </w:p>
    <w:p w14:paraId="66991BBF" w14:textId="77777777" w:rsidR="00664D9F" w:rsidRDefault="00664D9F" w:rsidP="00813728">
      <w:pPr>
        <w:spacing w:line="360" w:lineRule="auto"/>
        <w:jc w:val="both"/>
        <w:rPr>
          <w:rFonts w:ascii="Times New Roman" w:hAnsi="Times New Roman" w:cs="Times New Roman"/>
          <w:sz w:val="24"/>
          <w:szCs w:val="24"/>
        </w:rPr>
      </w:pPr>
    </w:p>
    <w:p w14:paraId="5FBC88D3" w14:textId="77777777" w:rsidR="00664D9F" w:rsidRDefault="00664D9F" w:rsidP="00813728">
      <w:pPr>
        <w:spacing w:line="360" w:lineRule="auto"/>
        <w:jc w:val="both"/>
        <w:rPr>
          <w:rFonts w:ascii="Times New Roman" w:hAnsi="Times New Roman" w:cs="Times New Roman"/>
          <w:sz w:val="24"/>
          <w:szCs w:val="24"/>
        </w:rPr>
      </w:pPr>
    </w:p>
    <w:p w14:paraId="695B6F06" w14:textId="77777777" w:rsidR="00664D9F" w:rsidRDefault="00664D9F" w:rsidP="00813728">
      <w:pPr>
        <w:spacing w:line="360" w:lineRule="auto"/>
        <w:jc w:val="both"/>
        <w:rPr>
          <w:rFonts w:ascii="Times New Roman" w:hAnsi="Times New Roman" w:cs="Times New Roman"/>
          <w:sz w:val="24"/>
          <w:szCs w:val="24"/>
        </w:rPr>
      </w:pPr>
    </w:p>
    <w:p w14:paraId="07E9B222" w14:textId="77777777" w:rsidR="00664D9F" w:rsidRDefault="00664D9F" w:rsidP="00813728">
      <w:pPr>
        <w:spacing w:line="360" w:lineRule="auto"/>
        <w:jc w:val="both"/>
        <w:rPr>
          <w:rFonts w:ascii="Times New Roman" w:hAnsi="Times New Roman" w:cs="Times New Roman"/>
          <w:sz w:val="24"/>
          <w:szCs w:val="24"/>
        </w:rPr>
      </w:pPr>
    </w:p>
    <w:p w14:paraId="388F946C" w14:textId="40D57FFC" w:rsidR="00DC2B5A" w:rsidRPr="00A74179" w:rsidRDefault="00DC2B5A" w:rsidP="005407CF">
      <w:pPr>
        <w:pStyle w:val="Titre1"/>
      </w:pPr>
      <w:bookmarkStart w:id="16" w:name="_Toc221721589"/>
      <w:bookmarkStart w:id="17" w:name="OLE_LINK17"/>
      <w:bookmarkEnd w:id="15"/>
      <w:r w:rsidRPr="00D22214">
        <w:lastRenderedPageBreak/>
        <w:t>Analyse et préparation des données</w:t>
      </w:r>
      <w:bookmarkEnd w:id="16"/>
    </w:p>
    <w:p w14:paraId="04412BF9" w14:textId="09B9DB99" w:rsidR="00DC2B5A" w:rsidRDefault="00B47EBD" w:rsidP="00813728">
      <w:pPr>
        <w:spacing w:line="360" w:lineRule="auto"/>
        <w:jc w:val="both"/>
        <w:rPr>
          <w:rFonts w:ascii="Times New Roman" w:hAnsi="Times New Roman" w:cs="Times New Roman"/>
          <w:sz w:val="24"/>
          <w:szCs w:val="24"/>
        </w:rPr>
      </w:pPr>
      <w:r w:rsidRPr="00B47EBD">
        <w:rPr>
          <w:rFonts w:ascii="Times New Roman" w:hAnsi="Times New Roman" w:cs="Times New Roman"/>
          <w:sz w:val="24"/>
          <w:szCs w:val="24"/>
        </w:rPr>
        <w:t>Cette partie est consacrée à l’analyse exploratoire des données et à leur préparation en vue de la modélisation. L’objectif est double : d’une part, mieux comprendre la structure du jeu de données et les relations entre les variables explicatives et la variable cible ; d’autre part, mettre en œuvre les transformations nécessaires pour construire des modèles prédictifs fiables, interprétables et adaptés à une utilisation opérationnelle.</w:t>
      </w:r>
    </w:p>
    <w:p w14:paraId="527CBE2F" w14:textId="47FFEC36" w:rsidR="005F09DE" w:rsidRPr="005F09DE" w:rsidRDefault="005F09DE" w:rsidP="00083AEB">
      <w:pPr>
        <w:pStyle w:val="Titre3"/>
        <w:numPr>
          <w:ilvl w:val="0"/>
          <w:numId w:val="21"/>
        </w:numPr>
      </w:pPr>
      <w:bookmarkStart w:id="18" w:name="_Toc221721590"/>
      <w:r w:rsidRPr="005F09DE">
        <w:t>Séparation des données et prévention des fuites d’information</w:t>
      </w:r>
      <w:bookmarkEnd w:id="18"/>
    </w:p>
    <w:p w14:paraId="1698FEB2" w14:textId="77777777" w:rsidR="005F09DE" w:rsidRPr="005F09DE" w:rsidRDefault="005F09DE" w:rsidP="00813728">
      <w:pPr>
        <w:spacing w:line="360" w:lineRule="auto"/>
        <w:jc w:val="both"/>
        <w:rPr>
          <w:rFonts w:ascii="Times New Roman" w:hAnsi="Times New Roman" w:cs="Times New Roman"/>
          <w:sz w:val="24"/>
          <w:szCs w:val="24"/>
        </w:rPr>
      </w:pPr>
      <w:r w:rsidRPr="005F09DE">
        <w:rPr>
          <w:rFonts w:ascii="Times New Roman" w:hAnsi="Times New Roman" w:cs="Times New Roman"/>
          <w:sz w:val="24"/>
          <w:szCs w:val="24"/>
        </w:rPr>
        <w:t xml:space="preserve">Avant toute analyse exploratoire et toute transformation des données, le jeu de données a été scindé en un </w:t>
      </w:r>
      <w:r w:rsidRPr="005F09DE">
        <w:rPr>
          <w:rFonts w:ascii="Times New Roman" w:hAnsi="Times New Roman" w:cs="Times New Roman"/>
          <w:b/>
          <w:bCs/>
          <w:sz w:val="24"/>
          <w:szCs w:val="24"/>
        </w:rPr>
        <w:t>jeu d’apprentissage (training set)</w:t>
      </w:r>
      <w:r w:rsidRPr="005F09DE">
        <w:rPr>
          <w:rFonts w:ascii="Times New Roman" w:hAnsi="Times New Roman" w:cs="Times New Roman"/>
          <w:sz w:val="24"/>
          <w:szCs w:val="24"/>
        </w:rPr>
        <w:t xml:space="preserve"> et un </w:t>
      </w:r>
      <w:r w:rsidRPr="005F09DE">
        <w:rPr>
          <w:rFonts w:ascii="Times New Roman" w:hAnsi="Times New Roman" w:cs="Times New Roman"/>
          <w:b/>
          <w:bCs/>
          <w:sz w:val="24"/>
          <w:szCs w:val="24"/>
        </w:rPr>
        <w:t>jeu de test (test set)</w:t>
      </w:r>
      <w:r w:rsidRPr="005F09DE">
        <w:rPr>
          <w:rFonts w:ascii="Times New Roman" w:hAnsi="Times New Roman" w:cs="Times New Roman"/>
          <w:sz w:val="24"/>
          <w:szCs w:val="24"/>
        </w:rPr>
        <w:t>, selon une proportion de 70 % / 30 %, en conservant la distribution de la variable cible grâce à un échantillonnage stratifié. Cette étape préliminaire vise à garantir une évaluation réaliste des performances des modèles et à prévenir toute fuite d’information entre les différentes phases de l’analyse.</w:t>
      </w:r>
    </w:p>
    <w:p w14:paraId="066FC28B" w14:textId="4115F2D2" w:rsidR="005F09DE" w:rsidRPr="005F09DE" w:rsidRDefault="005F09DE" w:rsidP="00813728">
      <w:pPr>
        <w:spacing w:line="360" w:lineRule="auto"/>
        <w:jc w:val="both"/>
        <w:rPr>
          <w:rFonts w:ascii="Times New Roman" w:hAnsi="Times New Roman" w:cs="Times New Roman"/>
          <w:sz w:val="24"/>
          <w:szCs w:val="24"/>
        </w:rPr>
      </w:pPr>
      <w:r w:rsidRPr="005F09DE">
        <w:rPr>
          <w:rFonts w:ascii="Times New Roman" w:hAnsi="Times New Roman" w:cs="Times New Roman"/>
          <w:sz w:val="24"/>
          <w:szCs w:val="24"/>
        </w:rPr>
        <w:t xml:space="preserve">L’ensemble des décisions méthodologiques </w:t>
      </w:r>
      <w:r w:rsidR="00600478">
        <w:rPr>
          <w:rFonts w:ascii="Times New Roman" w:hAnsi="Times New Roman" w:cs="Times New Roman"/>
          <w:sz w:val="24"/>
          <w:szCs w:val="24"/>
        </w:rPr>
        <w:t>tels que l’</w:t>
      </w:r>
      <w:r w:rsidRPr="005F09DE">
        <w:rPr>
          <w:rFonts w:ascii="Times New Roman" w:hAnsi="Times New Roman" w:cs="Times New Roman"/>
          <w:sz w:val="24"/>
          <w:szCs w:val="24"/>
        </w:rPr>
        <w:t xml:space="preserve">analyse exploratoire, </w:t>
      </w:r>
      <w:r w:rsidR="00600478">
        <w:rPr>
          <w:rFonts w:ascii="Times New Roman" w:hAnsi="Times New Roman" w:cs="Times New Roman"/>
          <w:sz w:val="24"/>
          <w:szCs w:val="24"/>
        </w:rPr>
        <w:t xml:space="preserve">la </w:t>
      </w:r>
      <w:r w:rsidRPr="005F09DE">
        <w:rPr>
          <w:rFonts w:ascii="Times New Roman" w:hAnsi="Times New Roman" w:cs="Times New Roman"/>
          <w:sz w:val="24"/>
          <w:szCs w:val="24"/>
        </w:rPr>
        <w:t xml:space="preserve">sélection des variables, </w:t>
      </w:r>
      <w:r w:rsidR="00600478">
        <w:rPr>
          <w:rFonts w:ascii="Times New Roman" w:hAnsi="Times New Roman" w:cs="Times New Roman"/>
          <w:sz w:val="24"/>
          <w:szCs w:val="24"/>
        </w:rPr>
        <w:t>l’</w:t>
      </w:r>
      <w:r w:rsidRPr="005F09DE">
        <w:rPr>
          <w:rFonts w:ascii="Times New Roman" w:hAnsi="Times New Roman" w:cs="Times New Roman"/>
          <w:sz w:val="24"/>
          <w:szCs w:val="24"/>
        </w:rPr>
        <w:t xml:space="preserve">ingénierie des caractéristiques et </w:t>
      </w:r>
      <w:r w:rsidR="00600478">
        <w:rPr>
          <w:rFonts w:ascii="Times New Roman" w:hAnsi="Times New Roman" w:cs="Times New Roman"/>
          <w:sz w:val="24"/>
          <w:szCs w:val="24"/>
        </w:rPr>
        <w:t>l’</w:t>
      </w:r>
      <w:r w:rsidRPr="005F09DE">
        <w:rPr>
          <w:rFonts w:ascii="Times New Roman" w:hAnsi="Times New Roman" w:cs="Times New Roman"/>
          <w:sz w:val="24"/>
          <w:szCs w:val="24"/>
        </w:rPr>
        <w:t xml:space="preserve">estimation des paramètres des modèles </w:t>
      </w:r>
      <w:r w:rsidR="001A5DFE">
        <w:rPr>
          <w:rFonts w:ascii="Times New Roman" w:hAnsi="Times New Roman" w:cs="Times New Roman"/>
          <w:sz w:val="24"/>
          <w:szCs w:val="24"/>
        </w:rPr>
        <w:t>ont</w:t>
      </w:r>
      <w:r w:rsidRPr="005F09DE">
        <w:rPr>
          <w:rFonts w:ascii="Times New Roman" w:hAnsi="Times New Roman" w:cs="Times New Roman"/>
          <w:sz w:val="24"/>
          <w:szCs w:val="24"/>
        </w:rPr>
        <w:t xml:space="preserve"> été réalisé</w:t>
      </w:r>
      <w:r w:rsidR="001A5DFE">
        <w:rPr>
          <w:rFonts w:ascii="Times New Roman" w:hAnsi="Times New Roman" w:cs="Times New Roman"/>
          <w:sz w:val="24"/>
          <w:szCs w:val="24"/>
        </w:rPr>
        <w:t>es</w:t>
      </w:r>
      <w:r w:rsidRPr="005F09DE">
        <w:rPr>
          <w:rFonts w:ascii="Times New Roman" w:hAnsi="Times New Roman" w:cs="Times New Roman"/>
          <w:sz w:val="24"/>
          <w:szCs w:val="24"/>
        </w:rPr>
        <w:t xml:space="preserve"> </w:t>
      </w:r>
      <w:r w:rsidRPr="005F09DE">
        <w:rPr>
          <w:rFonts w:ascii="Times New Roman" w:hAnsi="Times New Roman" w:cs="Times New Roman"/>
          <w:b/>
          <w:bCs/>
          <w:sz w:val="24"/>
          <w:szCs w:val="24"/>
        </w:rPr>
        <w:t>exclusivement à partir du jeu d’apprentissage</w:t>
      </w:r>
      <w:r w:rsidRPr="005F09DE">
        <w:rPr>
          <w:rFonts w:ascii="Times New Roman" w:hAnsi="Times New Roman" w:cs="Times New Roman"/>
          <w:sz w:val="24"/>
          <w:szCs w:val="24"/>
        </w:rPr>
        <w:t>. Le jeu de test a été strictement conservé à l’écart et utilisé uniquement pour l’évaluation finale des performances. Cette approche permet d’éviter que des informations issues des données de test n’influencent indirectement la construction des modèles, ce qui conduirait à une surestimation artificielle de leurs performances.</w:t>
      </w:r>
    </w:p>
    <w:p w14:paraId="0886F3BD" w14:textId="77777777" w:rsidR="005F09DE" w:rsidRPr="005F09DE" w:rsidRDefault="005F09DE" w:rsidP="00813728">
      <w:pPr>
        <w:spacing w:line="360" w:lineRule="auto"/>
        <w:jc w:val="both"/>
        <w:rPr>
          <w:rFonts w:ascii="Times New Roman" w:hAnsi="Times New Roman" w:cs="Times New Roman"/>
          <w:sz w:val="24"/>
          <w:szCs w:val="24"/>
        </w:rPr>
      </w:pPr>
      <w:r w:rsidRPr="005F09DE">
        <w:rPr>
          <w:rFonts w:ascii="Times New Roman" w:hAnsi="Times New Roman" w:cs="Times New Roman"/>
          <w:sz w:val="24"/>
          <w:szCs w:val="24"/>
        </w:rPr>
        <w:t>Cette précaution est particulièrement importante dans le contexte étudié, marqué par un fort déséquilibre de la variable cible et par la présence de variables fortement explicatives, telles que l’historique des campagnes ou la durée de l’appel. En isolant dès le départ le jeu de test, on s’assure que les relations observées lors de l’analyse exploratoire et exploitées lors de la modélisation reflètent des régularités généralisables et non des spécificités propres à un sous-échantillon particulier.</w:t>
      </w:r>
    </w:p>
    <w:p w14:paraId="12741CF5" w14:textId="2806C00C" w:rsidR="00AA5911" w:rsidRDefault="005F09DE" w:rsidP="00813728">
      <w:pPr>
        <w:spacing w:line="360" w:lineRule="auto"/>
        <w:jc w:val="both"/>
        <w:rPr>
          <w:rFonts w:ascii="Times New Roman" w:hAnsi="Times New Roman" w:cs="Times New Roman"/>
          <w:sz w:val="24"/>
          <w:szCs w:val="24"/>
        </w:rPr>
      </w:pPr>
      <w:r w:rsidRPr="005F09DE">
        <w:rPr>
          <w:rFonts w:ascii="Times New Roman" w:hAnsi="Times New Roman" w:cs="Times New Roman"/>
          <w:sz w:val="24"/>
          <w:szCs w:val="24"/>
        </w:rPr>
        <w:t xml:space="preserve">La séparation initiale des données constitue ainsi un </w:t>
      </w:r>
      <w:r w:rsidRPr="005F09DE">
        <w:rPr>
          <w:rFonts w:ascii="Times New Roman" w:hAnsi="Times New Roman" w:cs="Times New Roman"/>
          <w:b/>
          <w:bCs/>
          <w:sz w:val="24"/>
          <w:szCs w:val="24"/>
        </w:rPr>
        <w:t>fondement méthodologique essentiel</w:t>
      </w:r>
      <w:r w:rsidRPr="005F09DE">
        <w:rPr>
          <w:rFonts w:ascii="Times New Roman" w:hAnsi="Times New Roman" w:cs="Times New Roman"/>
          <w:sz w:val="24"/>
          <w:szCs w:val="24"/>
        </w:rPr>
        <w:t xml:space="preserve"> de ce travail. Elle garantit la robustesse des résultats obtenus, renforce la crédibilité de l’évaluation des modèles et s’inscrit pleinement dans une démarche de data mining rigoureuse et conforme aux bonnes pratiques en apprentissage supervisé.</w:t>
      </w:r>
    </w:p>
    <w:p w14:paraId="7E5B7B4E" w14:textId="77777777" w:rsidR="003E0DAB" w:rsidRDefault="003E0DAB" w:rsidP="00813728">
      <w:pPr>
        <w:spacing w:line="360" w:lineRule="auto"/>
        <w:jc w:val="both"/>
        <w:rPr>
          <w:rFonts w:ascii="Times New Roman" w:hAnsi="Times New Roman" w:cs="Times New Roman"/>
          <w:sz w:val="24"/>
          <w:szCs w:val="24"/>
        </w:rPr>
      </w:pPr>
    </w:p>
    <w:p w14:paraId="6B2E04CB" w14:textId="5F8107E4" w:rsidR="00600478" w:rsidRPr="00AA5911" w:rsidRDefault="00B82D7C" w:rsidP="00813728">
      <w:pPr>
        <w:spacing w:line="360" w:lineRule="auto"/>
        <w:jc w:val="both"/>
        <w:rPr>
          <w:rFonts w:ascii="Times New Roman" w:hAnsi="Times New Roman" w:cs="Times New Roman"/>
          <w:b/>
          <w:bCs/>
          <w:sz w:val="24"/>
          <w:szCs w:val="24"/>
        </w:rPr>
      </w:pPr>
      <w:r w:rsidRPr="00887C29">
        <w:rPr>
          <w:rFonts w:ascii="Times New Roman" w:hAnsi="Times New Roman" w:cs="Times New Roman"/>
          <w:b/>
          <w:bCs/>
          <w:sz w:val="24"/>
          <w:szCs w:val="24"/>
          <w:u w:val="single"/>
        </w:rPr>
        <w:lastRenderedPageBreak/>
        <w:t>Tableau</w:t>
      </w:r>
      <w:r>
        <w:rPr>
          <w:rFonts w:ascii="Times New Roman" w:hAnsi="Times New Roman" w:cs="Times New Roman"/>
          <w:b/>
          <w:bCs/>
          <w:sz w:val="24"/>
          <w:szCs w:val="24"/>
          <w:u w:val="single"/>
        </w:rPr>
        <w:t xml:space="preserve"> 2</w:t>
      </w:r>
      <w:r w:rsidRPr="0080712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AD5122" w:rsidRPr="00AA5911">
        <w:rPr>
          <w:rFonts w:ascii="Times New Roman" w:hAnsi="Times New Roman" w:cs="Times New Roman"/>
          <w:b/>
          <w:bCs/>
          <w:sz w:val="24"/>
          <w:szCs w:val="24"/>
        </w:rPr>
        <w:t>Répartition des données entre les jeux d’apprentissage et de test</w:t>
      </w:r>
    </w:p>
    <w:tbl>
      <w:tblPr>
        <w:tblStyle w:val="Tableausimple2"/>
        <w:tblW w:w="0" w:type="auto"/>
        <w:tblLook w:val="06A0" w:firstRow="1" w:lastRow="0" w:firstColumn="1" w:lastColumn="0" w:noHBand="1" w:noVBand="1"/>
      </w:tblPr>
      <w:tblGrid>
        <w:gridCol w:w="3559"/>
        <w:gridCol w:w="3708"/>
        <w:gridCol w:w="1412"/>
      </w:tblGrid>
      <w:tr w:rsidR="00AD5122" w:rsidRPr="00AD5122" w14:paraId="1C38CAA1" w14:textId="77777777" w:rsidTr="003E0DA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559" w:type="dxa"/>
            <w:tcBorders>
              <w:top w:val="double" w:sz="4" w:space="0" w:color="auto"/>
              <w:bottom w:val="double" w:sz="4" w:space="0" w:color="auto"/>
            </w:tcBorders>
            <w:hideMark/>
          </w:tcPr>
          <w:p w14:paraId="33E52812" w14:textId="77777777" w:rsidR="00AD5122" w:rsidRPr="00AD5122" w:rsidRDefault="00AD5122" w:rsidP="00813728">
            <w:pPr>
              <w:spacing w:line="360" w:lineRule="auto"/>
              <w:jc w:val="center"/>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Jeu de données</w:t>
            </w:r>
          </w:p>
        </w:tc>
        <w:tc>
          <w:tcPr>
            <w:tcW w:w="3708" w:type="dxa"/>
            <w:tcBorders>
              <w:top w:val="double" w:sz="4" w:space="0" w:color="auto"/>
              <w:bottom w:val="double" w:sz="4" w:space="0" w:color="auto"/>
            </w:tcBorders>
            <w:hideMark/>
          </w:tcPr>
          <w:p w14:paraId="793F113A" w14:textId="77777777" w:rsidR="00AD5122" w:rsidRPr="00AD5122" w:rsidRDefault="00AD5122" w:rsidP="0081372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Nombre d’observations</w:t>
            </w:r>
          </w:p>
        </w:tc>
        <w:tc>
          <w:tcPr>
            <w:tcW w:w="1412" w:type="dxa"/>
            <w:tcBorders>
              <w:top w:val="double" w:sz="4" w:space="0" w:color="auto"/>
              <w:bottom w:val="double" w:sz="4" w:space="0" w:color="auto"/>
            </w:tcBorders>
            <w:hideMark/>
          </w:tcPr>
          <w:p w14:paraId="0384E459" w14:textId="77777777" w:rsidR="00AD5122" w:rsidRPr="00AD5122" w:rsidRDefault="00AD5122" w:rsidP="0081372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Proportion</w:t>
            </w:r>
          </w:p>
        </w:tc>
      </w:tr>
      <w:tr w:rsidR="00AD5122" w:rsidRPr="00AD5122" w14:paraId="74884F3A" w14:textId="77777777" w:rsidTr="003E0DAB">
        <w:trPr>
          <w:trHeight w:val="442"/>
        </w:trPr>
        <w:tc>
          <w:tcPr>
            <w:cnfStyle w:val="001000000000" w:firstRow="0" w:lastRow="0" w:firstColumn="1" w:lastColumn="0" w:oddVBand="0" w:evenVBand="0" w:oddHBand="0" w:evenHBand="0" w:firstRowFirstColumn="0" w:firstRowLastColumn="0" w:lastRowFirstColumn="0" w:lastRowLastColumn="0"/>
            <w:tcW w:w="3559" w:type="dxa"/>
            <w:tcBorders>
              <w:top w:val="double" w:sz="4" w:space="0" w:color="auto"/>
            </w:tcBorders>
            <w:hideMark/>
          </w:tcPr>
          <w:p w14:paraId="49C240FA" w14:textId="77777777" w:rsidR="00AD5122" w:rsidRPr="00AD5122" w:rsidRDefault="00AD5122" w:rsidP="00813728">
            <w:pPr>
              <w:spacing w:line="360" w:lineRule="auto"/>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Jeu d’apprentissage (Train)</w:t>
            </w:r>
          </w:p>
        </w:tc>
        <w:tc>
          <w:tcPr>
            <w:tcW w:w="3708" w:type="dxa"/>
            <w:tcBorders>
              <w:top w:val="double" w:sz="4" w:space="0" w:color="auto"/>
            </w:tcBorders>
            <w:hideMark/>
          </w:tcPr>
          <w:p w14:paraId="3C43A364" w14:textId="4916D909" w:rsidR="00AD5122" w:rsidRPr="00AD5122" w:rsidRDefault="00AD5122" w:rsidP="0081372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31 64</w:t>
            </w:r>
            <w:r w:rsidR="00AA5911">
              <w:rPr>
                <w:rFonts w:ascii="Times New Roman" w:eastAsia="Times New Roman" w:hAnsi="Times New Roman" w:cs="Times New Roman"/>
                <w:sz w:val="24"/>
                <w:szCs w:val="24"/>
                <w:lang w:eastAsia="fr-FR"/>
              </w:rPr>
              <w:t>7</w:t>
            </w:r>
          </w:p>
        </w:tc>
        <w:tc>
          <w:tcPr>
            <w:tcW w:w="1412" w:type="dxa"/>
            <w:tcBorders>
              <w:top w:val="double" w:sz="4" w:space="0" w:color="auto"/>
            </w:tcBorders>
            <w:hideMark/>
          </w:tcPr>
          <w:p w14:paraId="09E014BD" w14:textId="77777777" w:rsidR="00AD5122" w:rsidRPr="00AD5122" w:rsidRDefault="00AD5122" w:rsidP="0081372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70 %</w:t>
            </w:r>
          </w:p>
        </w:tc>
      </w:tr>
      <w:tr w:rsidR="00AD5122" w:rsidRPr="00AD5122" w14:paraId="5692F325" w14:textId="77777777" w:rsidTr="003E0DAB">
        <w:trPr>
          <w:trHeight w:val="432"/>
        </w:trPr>
        <w:tc>
          <w:tcPr>
            <w:cnfStyle w:val="001000000000" w:firstRow="0" w:lastRow="0" w:firstColumn="1" w:lastColumn="0" w:oddVBand="0" w:evenVBand="0" w:oddHBand="0" w:evenHBand="0" w:firstRowFirstColumn="0" w:firstRowLastColumn="0" w:lastRowFirstColumn="0" w:lastRowLastColumn="0"/>
            <w:tcW w:w="3559" w:type="dxa"/>
            <w:hideMark/>
          </w:tcPr>
          <w:p w14:paraId="2C546998" w14:textId="77777777" w:rsidR="00AD5122" w:rsidRPr="00AD5122" w:rsidRDefault="00AD5122" w:rsidP="00813728">
            <w:pPr>
              <w:spacing w:line="360" w:lineRule="auto"/>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Jeu de test (Test)</w:t>
            </w:r>
          </w:p>
        </w:tc>
        <w:tc>
          <w:tcPr>
            <w:tcW w:w="3708" w:type="dxa"/>
            <w:hideMark/>
          </w:tcPr>
          <w:p w14:paraId="3D63BA12" w14:textId="45FDE223" w:rsidR="00AD5122" w:rsidRPr="00AD5122" w:rsidRDefault="00AD5122" w:rsidP="0081372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13 56</w:t>
            </w:r>
            <w:r w:rsidR="00AA5911">
              <w:rPr>
                <w:rFonts w:ascii="Times New Roman" w:eastAsia="Times New Roman" w:hAnsi="Times New Roman" w:cs="Times New Roman"/>
                <w:sz w:val="24"/>
                <w:szCs w:val="24"/>
                <w:lang w:eastAsia="fr-FR"/>
              </w:rPr>
              <w:t>4</w:t>
            </w:r>
          </w:p>
        </w:tc>
        <w:tc>
          <w:tcPr>
            <w:tcW w:w="1412" w:type="dxa"/>
            <w:hideMark/>
          </w:tcPr>
          <w:p w14:paraId="35E613D0" w14:textId="77777777" w:rsidR="00AD5122" w:rsidRPr="00AD5122" w:rsidRDefault="00AD5122" w:rsidP="0081372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30 %</w:t>
            </w:r>
          </w:p>
        </w:tc>
      </w:tr>
      <w:tr w:rsidR="00AD5122" w:rsidRPr="00AD5122" w14:paraId="28507726" w14:textId="77777777" w:rsidTr="003E0DAB">
        <w:trPr>
          <w:trHeight w:val="442"/>
        </w:trPr>
        <w:tc>
          <w:tcPr>
            <w:cnfStyle w:val="001000000000" w:firstRow="0" w:lastRow="0" w:firstColumn="1" w:lastColumn="0" w:oddVBand="0" w:evenVBand="0" w:oddHBand="0" w:evenHBand="0" w:firstRowFirstColumn="0" w:firstRowLastColumn="0" w:lastRowFirstColumn="0" w:lastRowLastColumn="0"/>
            <w:tcW w:w="3559" w:type="dxa"/>
            <w:tcBorders>
              <w:bottom w:val="double" w:sz="4" w:space="0" w:color="auto"/>
            </w:tcBorders>
            <w:hideMark/>
          </w:tcPr>
          <w:p w14:paraId="5E86B173" w14:textId="77777777" w:rsidR="00AD5122" w:rsidRPr="00AD5122" w:rsidRDefault="00AD5122" w:rsidP="00813728">
            <w:pPr>
              <w:spacing w:line="360" w:lineRule="auto"/>
              <w:rPr>
                <w:rFonts w:ascii="Times New Roman" w:eastAsia="Times New Roman" w:hAnsi="Times New Roman" w:cs="Times New Roman"/>
                <w:sz w:val="24"/>
                <w:szCs w:val="24"/>
                <w:lang w:eastAsia="fr-FR"/>
              </w:rPr>
            </w:pPr>
            <w:r w:rsidRPr="00AD5122">
              <w:rPr>
                <w:rFonts w:ascii="Times New Roman" w:eastAsia="Times New Roman" w:hAnsi="Times New Roman" w:cs="Times New Roman"/>
                <w:sz w:val="24"/>
                <w:szCs w:val="24"/>
                <w:lang w:eastAsia="fr-FR"/>
              </w:rPr>
              <w:t>Total</w:t>
            </w:r>
          </w:p>
        </w:tc>
        <w:tc>
          <w:tcPr>
            <w:tcW w:w="3708" w:type="dxa"/>
            <w:tcBorders>
              <w:bottom w:val="double" w:sz="4" w:space="0" w:color="auto"/>
            </w:tcBorders>
            <w:hideMark/>
          </w:tcPr>
          <w:p w14:paraId="70526EE7" w14:textId="77777777" w:rsidR="00AD5122" w:rsidRPr="00AD5122" w:rsidRDefault="00AD5122" w:rsidP="0081372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b/>
                <w:bCs/>
                <w:sz w:val="24"/>
                <w:szCs w:val="24"/>
                <w:lang w:eastAsia="fr-FR"/>
              </w:rPr>
              <w:t>45 211</w:t>
            </w:r>
          </w:p>
        </w:tc>
        <w:tc>
          <w:tcPr>
            <w:tcW w:w="1412" w:type="dxa"/>
            <w:tcBorders>
              <w:bottom w:val="double" w:sz="4" w:space="0" w:color="auto"/>
            </w:tcBorders>
            <w:hideMark/>
          </w:tcPr>
          <w:p w14:paraId="257583DD" w14:textId="77777777" w:rsidR="00AD5122" w:rsidRPr="00AD5122" w:rsidRDefault="00AD5122" w:rsidP="0081372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AD5122">
              <w:rPr>
                <w:rFonts w:ascii="Times New Roman" w:eastAsia="Times New Roman" w:hAnsi="Times New Roman" w:cs="Times New Roman"/>
                <w:b/>
                <w:bCs/>
                <w:sz w:val="24"/>
                <w:szCs w:val="24"/>
                <w:lang w:eastAsia="fr-FR"/>
              </w:rPr>
              <w:t>100 %</w:t>
            </w:r>
          </w:p>
        </w:tc>
      </w:tr>
    </w:tbl>
    <w:p w14:paraId="0F9AB92E" w14:textId="5DE24805" w:rsidR="00083E36" w:rsidRPr="00664D9F" w:rsidRDefault="00927767" w:rsidP="00813728">
      <w:pPr>
        <w:spacing w:line="360" w:lineRule="auto"/>
        <w:jc w:val="both"/>
        <w:rPr>
          <w:rFonts w:ascii="Times New Roman" w:hAnsi="Times New Roman" w:cs="Times New Roman"/>
          <w:i/>
          <w:iCs/>
          <w:sz w:val="24"/>
          <w:szCs w:val="24"/>
        </w:rPr>
      </w:pPr>
      <w:r w:rsidRPr="00927767">
        <w:rPr>
          <w:rFonts w:ascii="Times New Roman" w:hAnsi="Times New Roman" w:cs="Times New Roman"/>
          <w:i/>
          <w:iCs/>
          <w:sz w:val="24"/>
          <w:szCs w:val="24"/>
        </w:rPr>
        <w:t>Source : auteurs, à partir des données UCI</w:t>
      </w:r>
    </w:p>
    <w:p w14:paraId="10864C73" w14:textId="4F73268C" w:rsidR="00DC2B5A" w:rsidRPr="00711D1E" w:rsidRDefault="0023383A" w:rsidP="00083AEB">
      <w:pPr>
        <w:pStyle w:val="Titre3"/>
        <w:rPr>
          <w:i/>
          <w:iCs/>
        </w:rPr>
      </w:pPr>
      <w:bookmarkStart w:id="19" w:name="_Toc221721591"/>
      <w:r w:rsidRPr="0023383A">
        <w:t>Analyse exploratoire des données (EDA)</w:t>
      </w:r>
      <w:bookmarkEnd w:id="19"/>
    </w:p>
    <w:p w14:paraId="2E6D2813" w14:textId="77777777"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 xml:space="preserve">L’analyse exploratoire des données vise à mieux comprendre la structure du jeu de données et à identifier les relations entre les variables explicatives et la variable cible </w:t>
      </w:r>
      <w:r w:rsidRPr="00304C35">
        <w:rPr>
          <w:rFonts w:ascii="Times New Roman" w:hAnsi="Times New Roman" w:cs="Times New Roman"/>
          <w:i/>
          <w:iCs/>
          <w:sz w:val="24"/>
          <w:szCs w:val="24"/>
        </w:rPr>
        <w:t>souscription</w:t>
      </w:r>
      <w:r w:rsidRPr="00304C35">
        <w:rPr>
          <w:rFonts w:ascii="Times New Roman" w:hAnsi="Times New Roman" w:cs="Times New Roman"/>
          <w:sz w:val="24"/>
          <w:szCs w:val="24"/>
        </w:rPr>
        <w:t>. Elle constitue une étape essentielle pour orienter les choix méthodologiques ultérieurs, tant en matière de sélection de variables que de stratégie de modélisation.</w:t>
      </w:r>
    </w:p>
    <w:p w14:paraId="2CA72444" w14:textId="77777777" w:rsidR="00304C35" w:rsidRPr="00304C35" w:rsidRDefault="00304C35" w:rsidP="00813728">
      <w:pPr>
        <w:pStyle w:val="Titre4"/>
      </w:pPr>
      <w:r w:rsidRPr="00304C35">
        <w:t>Déséquilibre de la variable cible</w:t>
      </w:r>
    </w:p>
    <w:p w14:paraId="14435232" w14:textId="7A504BB5" w:rsidR="00C85D76"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 xml:space="preserve">L’étude de la distribution de la variable cible met en évidence un </w:t>
      </w:r>
      <w:r w:rsidRPr="00304C35">
        <w:rPr>
          <w:rFonts w:ascii="Times New Roman" w:hAnsi="Times New Roman" w:cs="Times New Roman"/>
          <w:b/>
          <w:bCs/>
          <w:sz w:val="24"/>
          <w:szCs w:val="24"/>
        </w:rPr>
        <w:t>déséquilibre marqué des classes</w:t>
      </w:r>
      <w:r w:rsidRPr="00304C35">
        <w:rPr>
          <w:rFonts w:ascii="Times New Roman" w:hAnsi="Times New Roman" w:cs="Times New Roman"/>
          <w:sz w:val="24"/>
          <w:szCs w:val="24"/>
        </w:rPr>
        <w:t>. Environ 11,7 % des clients contactés ont souscrit à un dépôt à terme, contre près de 88,3 % qui ont refusé l’offre. Ce déséquilibre est caractéristique des campagnes de marketing bancaire, où la souscription représente un événement relativement rare</w:t>
      </w:r>
    </w:p>
    <w:p w14:paraId="6D5D43EB" w14:textId="0B62FDBD" w:rsidR="00B82D7C" w:rsidRPr="00B54A5E" w:rsidRDefault="00B54A5E" w:rsidP="00813728">
      <w:pPr>
        <w:spacing w:line="360" w:lineRule="auto"/>
        <w:jc w:val="both"/>
        <w:rPr>
          <w:rFonts w:ascii="Times New Roman" w:hAnsi="Times New Roman" w:cs="Times New Roman"/>
          <w:b/>
          <w:bCs/>
          <w:sz w:val="24"/>
          <w:szCs w:val="24"/>
        </w:rPr>
      </w:pPr>
      <w:r w:rsidRPr="00B54A5E">
        <w:rPr>
          <w:rFonts w:ascii="Times New Roman" w:hAnsi="Times New Roman" w:cs="Times New Roman"/>
          <w:b/>
          <w:bCs/>
          <w:sz w:val="24"/>
          <w:szCs w:val="24"/>
        </w:rPr>
        <w:t>Figure 1 – Distribution de la variable cible (déséquilibre des classes)</w:t>
      </w:r>
    </w:p>
    <w:p w14:paraId="7E15A26E" w14:textId="7BD315BF" w:rsidR="009D15AA" w:rsidRPr="009D15AA" w:rsidRDefault="00C85D76" w:rsidP="00813728">
      <w:pPr>
        <w:spacing w:line="360" w:lineRule="auto"/>
        <w:jc w:val="both"/>
        <w:rPr>
          <w:rFonts w:ascii="Times New Roman" w:hAnsi="Times New Roman" w:cs="Times New Roman"/>
          <w:sz w:val="24"/>
          <w:szCs w:val="24"/>
        </w:rPr>
      </w:pPr>
      <w:r>
        <w:rPr>
          <w:noProof/>
        </w:rPr>
        <w:drawing>
          <wp:inline distT="0" distB="0" distL="0" distR="0" wp14:anchorId="0B3928A3" wp14:editId="53B33A53">
            <wp:extent cx="5400675" cy="3041650"/>
            <wp:effectExtent l="0" t="0" r="9525" b="6350"/>
            <wp:docPr id="84886284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62848" name="Image 1" descr="Une image contenant texte, capture d’écran, Police, ligne&#10;&#10;Le contenu généré par l’IA peut être incorrect."/>
                    <pic:cNvPicPr/>
                  </pic:nvPicPr>
                  <pic:blipFill>
                    <a:blip r:embed="rId9"/>
                    <a:stretch>
                      <a:fillRect/>
                    </a:stretch>
                  </pic:blipFill>
                  <pic:spPr>
                    <a:xfrm>
                      <a:off x="0" y="0"/>
                      <a:ext cx="5400675" cy="3041650"/>
                    </a:xfrm>
                    <a:prstGeom prst="rect">
                      <a:avLst/>
                    </a:prstGeom>
                  </pic:spPr>
                </pic:pic>
              </a:graphicData>
            </a:graphic>
          </wp:inline>
        </w:drawing>
      </w:r>
      <w:bookmarkStart w:id="20" w:name="OLE_LINK23"/>
      <w:bookmarkStart w:id="21" w:name="OLE_LINK24"/>
      <w:r w:rsidR="009D15AA">
        <w:rPr>
          <w:rFonts w:ascii="Times New Roman" w:hAnsi="Times New Roman" w:cs="Times New Roman"/>
          <w:i/>
          <w:iCs/>
          <w:sz w:val="24"/>
          <w:szCs w:val="24"/>
        </w:rPr>
        <w:t xml:space="preserve">                     </w:t>
      </w:r>
      <w:bookmarkStart w:id="22" w:name="OLE_LINK18"/>
      <w:bookmarkEnd w:id="20"/>
      <w:bookmarkEnd w:id="21"/>
      <w:r w:rsidR="00927767" w:rsidRPr="00927767">
        <w:rPr>
          <w:rFonts w:ascii="Times New Roman" w:hAnsi="Times New Roman" w:cs="Times New Roman"/>
          <w:i/>
          <w:iCs/>
          <w:sz w:val="24"/>
          <w:szCs w:val="24"/>
        </w:rPr>
        <w:t>Source : auteurs, à partir des données UCI</w:t>
      </w:r>
      <w:bookmarkEnd w:id="22"/>
    </w:p>
    <w:p w14:paraId="6E4AB6FF" w14:textId="4E453DED" w:rsidR="005F09DE" w:rsidRPr="00083E36" w:rsidRDefault="009D15AA" w:rsidP="00813728">
      <w:pPr>
        <w:spacing w:line="360" w:lineRule="auto"/>
        <w:jc w:val="both"/>
        <w:rPr>
          <w:rFonts w:ascii="Times New Roman" w:hAnsi="Times New Roman" w:cs="Times New Roman"/>
          <w:sz w:val="24"/>
          <w:szCs w:val="24"/>
        </w:rPr>
      </w:pPr>
      <w:r w:rsidRPr="009D15AA">
        <w:rPr>
          <w:rFonts w:ascii="Times New Roman" w:hAnsi="Times New Roman" w:cs="Times New Roman"/>
          <w:sz w:val="24"/>
          <w:szCs w:val="24"/>
        </w:rPr>
        <w:lastRenderedPageBreak/>
        <w:t>Il implique que des indicateurs globaux comme l’accuracy peuvent être peu informatifs et justifie l’utilisation de métriques plus adaptées, telles que le recall ou l’aire sous la courbe ROC (AUC), ainsi que des techniques spécifiques pour la phase de modélisation.</w:t>
      </w:r>
    </w:p>
    <w:p w14:paraId="5081D47B" w14:textId="31539367" w:rsidR="00304C35" w:rsidRPr="004C5964" w:rsidRDefault="00304C35" w:rsidP="00813728">
      <w:pPr>
        <w:pStyle w:val="Titre4"/>
      </w:pPr>
      <w:r w:rsidRPr="00304C35">
        <w:t>Analyse des variables catégorielles</w:t>
      </w:r>
    </w:p>
    <w:p w14:paraId="1FC1531E" w14:textId="3DB05A46"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L’analyse des variables catégorielles</w:t>
      </w:r>
      <w:r w:rsidR="004A2B60">
        <w:rPr>
          <w:rFonts w:ascii="Times New Roman" w:hAnsi="Times New Roman" w:cs="Times New Roman"/>
          <w:sz w:val="24"/>
          <w:szCs w:val="24"/>
        </w:rPr>
        <w:t xml:space="preserve"> (</w:t>
      </w:r>
      <w:r w:rsidR="004A2B60" w:rsidRPr="000A5041">
        <w:rPr>
          <w:rFonts w:ascii="Times New Roman" w:hAnsi="Times New Roman" w:cs="Times New Roman"/>
          <w:i/>
          <w:iCs/>
          <w:sz w:val="24"/>
          <w:szCs w:val="24"/>
        </w:rPr>
        <w:t>Voire annexe</w:t>
      </w:r>
      <w:r w:rsidR="004A2B60">
        <w:rPr>
          <w:rFonts w:ascii="Times New Roman" w:hAnsi="Times New Roman" w:cs="Times New Roman"/>
          <w:i/>
          <w:iCs/>
          <w:sz w:val="24"/>
          <w:szCs w:val="24"/>
        </w:rPr>
        <w:t xml:space="preserve"> 2 à </w:t>
      </w:r>
      <w:r w:rsidR="004A2B60" w:rsidRPr="000A5041">
        <w:rPr>
          <w:rFonts w:ascii="Times New Roman" w:hAnsi="Times New Roman" w:cs="Times New Roman"/>
          <w:i/>
          <w:iCs/>
          <w:sz w:val="24"/>
          <w:szCs w:val="24"/>
        </w:rPr>
        <w:t>7</w:t>
      </w:r>
      <w:r w:rsidR="00A22149">
        <w:rPr>
          <w:rFonts w:ascii="Times New Roman" w:hAnsi="Times New Roman" w:cs="Times New Roman"/>
          <w:sz w:val="24"/>
          <w:szCs w:val="24"/>
        </w:rPr>
        <w:t>)</w:t>
      </w:r>
      <w:r w:rsidR="00A22149" w:rsidRPr="00390A54">
        <w:rPr>
          <w:rFonts w:ascii="Times New Roman" w:hAnsi="Times New Roman" w:cs="Times New Roman"/>
          <w:sz w:val="24"/>
          <w:szCs w:val="24"/>
        </w:rPr>
        <w:t xml:space="preserve"> </w:t>
      </w:r>
      <w:r w:rsidR="00A22149" w:rsidRPr="00304C35">
        <w:rPr>
          <w:rFonts w:ascii="Times New Roman" w:hAnsi="Times New Roman" w:cs="Times New Roman"/>
          <w:sz w:val="24"/>
          <w:szCs w:val="24"/>
        </w:rPr>
        <w:t>met</w:t>
      </w:r>
      <w:r w:rsidRPr="00304C35">
        <w:rPr>
          <w:rFonts w:ascii="Times New Roman" w:hAnsi="Times New Roman" w:cs="Times New Roman"/>
          <w:sz w:val="24"/>
          <w:szCs w:val="24"/>
        </w:rPr>
        <w:t xml:space="preserve"> en évidence des comportements de souscription fortement différenciés selon le profil des clients. La variable </w:t>
      </w:r>
      <w:r w:rsidRPr="00304C35">
        <w:rPr>
          <w:rFonts w:ascii="Times New Roman" w:hAnsi="Times New Roman" w:cs="Times New Roman"/>
          <w:i/>
          <w:iCs/>
          <w:sz w:val="24"/>
          <w:szCs w:val="24"/>
        </w:rPr>
        <w:t>month</w:t>
      </w:r>
      <w:r w:rsidRPr="00304C35">
        <w:rPr>
          <w:rFonts w:ascii="Times New Roman" w:hAnsi="Times New Roman" w:cs="Times New Roman"/>
          <w:sz w:val="24"/>
          <w:szCs w:val="24"/>
        </w:rPr>
        <w:t xml:space="preserve"> révèle un </w:t>
      </w:r>
      <w:r w:rsidRPr="00304C35">
        <w:rPr>
          <w:rFonts w:ascii="Times New Roman" w:hAnsi="Times New Roman" w:cs="Times New Roman"/>
          <w:b/>
          <w:bCs/>
          <w:sz w:val="24"/>
          <w:szCs w:val="24"/>
        </w:rPr>
        <w:t>effet saisonnier très marqué</w:t>
      </w:r>
      <w:r w:rsidRPr="00304C35">
        <w:rPr>
          <w:rFonts w:ascii="Times New Roman" w:hAnsi="Times New Roman" w:cs="Times New Roman"/>
          <w:sz w:val="24"/>
          <w:szCs w:val="24"/>
        </w:rPr>
        <w:t>. Les mois de mars, septembre, octobre et décembre présentent des proportions de souscription nettement supérieures à la moyenne, pouvant atteindre ou dépasser 40 à 50 % dans certains cas. À l’inverse, les mois d’été (juin, juillet, août) ainsi que janvier et février affichent des taux de souscription plus faibles. Ces résultats suggèrent que la période de contact joue un rôle déterminant dans l’efficacité des campagnes, possiblement en lien avec des comportements d’épargne saisonniers ou des moments plus propices à la prise de décision financière.</w:t>
      </w:r>
    </w:p>
    <w:p w14:paraId="569E76F8" w14:textId="77777777"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 xml:space="preserve">La variable </w:t>
      </w:r>
      <w:r w:rsidRPr="00304C35">
        <w:rPr>
          <w:rFonts w:ascii="Times New Roman" w:hAnsi="Times New Roman" w:cs="Times New Roman"/>
          <w:i/>
          <w:iCs/>
          <w:sz w:val="24"/>
          <w:szCs w:val="24"/>
        </w:rPr>
        <w:t>poutcome</w:t>
      </w:r>
      <w:r w:rsidRPr="00304C35">
        <w:rPr>
          <w:rFonts w:ascii="Times New Roman" w:hAnsi="Times New Roman" w:cs="Times New Roman"/>
          <w:sz w:val="24"/>
          <w:szCs w:val="24"/>
        </w:rPr>
        <w:t xml:space="preserve">, correspondant au résultat de la campagne précédente, apparaît comme </w:t>
      </w:r>
      <w:r w:rsidRPr="00304C35">
        <w:rPr>
          <w:rFonts w:ascii="Times New Roman" w:hAnsi="Times New Roman" w:cs="Times New Roman"/>
          <w:b/>
          <w:bCs/>
          <w:sz w:val="24"/>
          <w:szCs w:val="24"/>
        </w:rPr>
        <w:t>l’une des plus discriminantes</w:t>
      </w:r>
      <w:r w:rsidRPr="00304C35">
        <w:rPr>
          <w:rFonts w:ascii="Times New Roman" w:hAnsi="Times New Roman" w:cs="Times New Roman"/>
          <w:sz w:val="24"/>
          <w:szCs w:val="24"/>
        </w:rPr>
        <w:t>. Les clients pour lesquels une campagne antérieure s’est soldée par un succès présentent un taux de souscription très élevé, largement supérieur à celui des autres modalités. À l’inverse, les clients associés à un échec ou à un résultat inconnu affichent des probabilités de souscription très faibles. Ce constat confirme que l’historique des interactions passées constitue un déterminant majeur du comportement de souscription.</w:t>
      </w:r>
    </w:p>
    <w:p w14:paraId="1846F677" w14:textId="1D0CFD4D"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Le type de contact (</w:t>
      </w:r>
      <w:r w:rsidRPr="00304C35">
        <w:rPr>
          <w:rFonts w:ascii="Times New Roman" w:hAnsi="Times New Roman" w:cs="Times New Roman"/>
          <w:i/>
          <w:iCs/>
          <w:sz w:val="24"/>
          <w:szCs w:val="24"/>
        </w:rPr>
        <w:t>contact</w:t>
      </w:r>
      <w:r w:rsidRPr="00304C35">
        <w:rPr>
          <w:rFonts w:ascii="Times New Roman" w:hAnsi="Times New Roman" w:cs="Times New Roman"/>
          <w:sz w:val="24"/>
          <w:szCs w:val="24"/>
        </w:rPr>
        <w:t xml:space="preserve">) influence également la probabilité de souscription. Les clients contactés via un téléphone mobile présentent une proportion de souscription légèrement supérieure à ceux contactés via un téléphone fixe, tandis que la modalité </w:t>
      </w:r>
      <w:r w:rsidRPr="00304C35">
        <w:rPr>
          <w:rFonts w:ascii="Times New Roman" w:hAnsi="Times New Roman" w:cs="Times New Roman"/>
          <w:i/>
          <w:iCs/>
          <w:sz w:val="24"/>
          <w:szCs w:val="24"/>
        </w:rPr>
        <w:t>unknown</w:t>
      </w:r>
      <w:r w:rsidRPr="00304C35">
        <w:rPr>
          <w:rFonts w:ascii="Times New Roman" w:hAnsi="Times New Roman" w:cs="Times New Roman"/>
          <w:sz w:val="24"/>
          <w:szCs w:val="24"/>
        </w:rPr>
        <w:t xml:space="preserve"> est associée à un taux très faible. Cela suggère que le canal de communication joue un rôle dans l’efficacité des campagnes, probablement en raison d’une plus grande disponibilité ou réactivité des clients.</w:t>
      </w:r>
    </w:p>
    <w:p w14:paraId="7569FC0F" w14:textId="0D560AE8"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Les variables financières catégorielles confirment des intuitions économiques fortes. Les clients ne disposant pas de prêt personnel (</w:t>
      </w:r>
      <w:r w:rsidRPr="00304C35">
        <w:rPr>
          <w:rFonts w:ascii="Times New Roman" w:hAnsi="Times New Roman" w:cs="Times New Roman"/>
          <w:i/>
          <w:iCs/>
          <w:sz w:val="24"/>
          <w:szCs w:val="24"/>
        </w:rPr>
        <w:t>loan = no</w:t>
      </w:r>
      <w:r w:rsidRPr="00304C35">
        <w:rPr>
          <w:rFonts w:ascii="Times New Roman" w:hAnsi="Times New Roman" w:cs="Times New Roman"/>
          <w:sz w:val="24"/>
          <w:szCs w:val="24"/>
        </w:rPr>
        <w:t>) ou de prêt immobilier (</w:t>
      </w:r>
      <w:r w:rsidRPr="00304C35">
        <w:rPr>
          <w:rFonts w:ascii="Times New Roman" w:hAnsi="Times New Roman" w:cs="Times New Roman"/>
          <w:i/>
          <w:iCs/>
          <w:sz w:val="24"/>
          <w:szCs w:val="24"/>
        </w:rPr>
        <w:t>housing = no</w:t>
      </w:r>
      <w:r w:rsidRPr="00304C35">
        <w:rPr>
          <w:rFonts w:ascii="Times New Roman" w:hAnsi="Times New Roman" w:cs="Times New Roman"/>
          <w:sz w:val="24"/>
          <w:szCs w:val="24"/>
        </w:rPr>
        <w:t>) présentent des probabilités de souscription plus élevées que ceux ayant des crédits en cours. La présence d’un endettement semble ainsi constituer une contrainte limitant la capacité ou la volonté d’épargne à court terme. De même, les clients n’ayant jamais connu de défaut de paiement (</w:t>
      </w:r>
      <w:r w:rsidRPr="00304C35">
        <w:rPr>
          <w:rFonts w:ascii="Times New Roman" w:hAnsi="Times New Roman" w:cs="Times New Roman"/>
          <w:i/>
          <w:iCs/>
          <w:sz w:val="24"/>
          <w:szCs w:val="24"/>
        </w:rPr>
        <w:t>default = no</w:t>
      </w:r>
      <w:r w:rsidRPr="00304C35">
        <w:rPr>
          <w:rFonts w:ascii="Times New Roman" w:hAnsi="Times New Roman" w:cs="Times New Roman"/>
          <w:sz w:val="24"/>
          <w:szCs w:val="24"/>
        </w:rPr>
        <w:t>) affichent une probabilité de souscription légèrement supérieure, traduisant une situation financière plus stable.</w:t>
      </w:r>
    </w:p>
    <w:p w14:paraId="32345567" w14:textId="721BEED7" w:rsidR="003E50A3"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lastRenderedPageBreak/>
        <w:t>Enfin, le niveau d’éducation (</w:t>
      </w:r>
      <w:r w:rsidRPr="00304C35">
        <w:rPr>
          <w:rFonts w:ascii="Times New Roman" w:hAnsi="Times New Roman" w:cs="Times New Roman"/>
          <w:i/>
          <w:iCs/>
          <w:sz w:val="24"/>
          <w:szCs w:val="24"/>
        </w:rPr>
        <w:t>education</w:t>
      </w:r>
      <w:r w:rsidRPr="00304C35">
        <w:rPr>
          <w:rFonts w:ascii="Times New Roman" w:hAnsi="Times New Roman" w:cs="Times New Roman"/>
          <w:sz w:val="24"/>
          <w:szCs w:val="24"/>
        </w:rPr>
        <w:t>) et la profession (</w:t>
      </w:r>
      <w:r w:rsidRPr="00304C35">
        <w:rPr>
          <w:rFonts w:ascii="Times New Roman" w:hAnsi="Times New Roman" w:cs="Times New Roman"/>
          <w:i/>
          <w:iCs/>
          <w:sz w:val="24"/>
          <w:szCs w:val="24"/>
        </w:rPr>
        <w:t>job</w:t>
      </w:r>
      <w:r w:rsidRPr="00304C35">
        <w:rPr>
          <w:rFonts w:ascii="Times New Roman" w:hAnsi="Times New Roman" w:cs="Times New Roman"/>
          <w:sz w:val="24"/>
          <w:szCs w:val="24"/>
        </w:rPr>
        <w:t xml:space="preserve">) mettent en évidence une forte hétérogénéité des comportements. Les clients ayant un niveau d’éducation tertiaire présentent des taux de souscription plus élevés que ceux ayant un niveau primaire ou secondaire. Par ailleurs, certaines catégories professionnelles, notamment les </w:t>
      </w:r>
      <w:r w:rsidRPr="00304C35">
        <w:rPr>
          <w:rFonts w:ascii="Times New Roman" w:hAnsi="Times New Roman" w:cs="Times New Roman"/>
          <w:i/>
          <w:iCs/>
          <w:sz w:val="24"/>
          <w:szCs w:val="24"/>
        </w:rPr>
        <w:t>students</w:t>
      </w:r>
      <w:r w:rsidRPr="00304C35">
        <w:rPr>
          <w:rFonts w:ascii="Times New Roman" w:hAnsi="Times New Roman" w:cs="Times New Roman"/>
          <w:sz w:val="24"/>
          <w:szCs w:val="24"/>
        </w:rPr>
        <w:t xml:space="preserve"> et les </w:t>
      </w:r>
      <w:r w:rsidRPr="00304C35">
        <w:rPr>
          <w:rFonts w:ascii="Times New Roman" w:hAnsi="Times New Roman" w:cs="Times New Roman"/>
          <w:i/>
          <w:iCs/>
          <w:sz w:val="24"/>
          <w:szCs w:val="24"/>
        </w:rPr>
        <w:t>retired</w:t>
      </w:r>
      <w:r w:rsidRPr="00304C35">
        <w:rPr>
          <w:rFonts w:ascii="Times New Roman" w:hAnsi="Times New Roman" w:cs="Times New Roman"/>
          <w:sz w:val="24"/>
          <w:szCs w:val="24"/>
        </w:rPr>
        <w:t>, se distinguent par des taux de souscription nettement supérieurs à la moyenne, tandis que les ouvriers, employés de services ou entrepreneurs affichent des taux plus faibles. Le statut matrimonial (</w:t>
      </w:r>
      <w:r w:rsidRPr="00304C35">
        <w:rPr>
          <w:rFonts w:ascii="Times New Roman" w:hAnsi="Times New Roman" w:cs="Times New Roman"/>
          <w:i/>
          <w:iCs/>
          <w:sz w:val="24"/>
          <w:szCs w:val="24"/>
        </w:rPr>
        <w:t>marital</w:t>
      </w:r>
      <w:r w:rsidRPr="00304C35">
        <w:rPr>
          <w:rFonts w:ascii="Times New Roman" w:hAnsi="Times New Roman" w:cs="Times New Roman"/>
          <w:sz w:val="24"/>
          <w:szCs w:val="24"/>
        </w:rPr>
        <w:t>) joue un rôle plus modéré : les clients célibataires présentent une probabilité légèrement plus élevée que les clients mariés ou divorcés, mais les écarts restent limités.</w:t>
      </w:r>
    </w:p>
    <w:p w14:paraId="709E2248" w14:textId="54ECC10B" w:rsidR="00B824AE" w:rsidRPr="00933C16" w:rsidRDefault="003B2131" w:rsidP="00813728">
      <w:pPr>
        <w:spacing w:line="360" w:lineRule="auto"/>
        <w:jc w:val="both"/>
        <w:rPr>
          <w:rFonts w:ascii="Times New Roman" w:hAnsi="Times New Roman" w:cs="Times New Roman"/>
          <w:b/>
          <w:bCs/>
          <w:sz w:val="24"/>
          <w:szCs w:val="24"/>
        </w:rPr>
      </w:pPr>
      <w:r w:rsidRPr="00933C16">
        <w:rPr>
          <w:rFonts w:ascii="Times New Roman" w:hAnsi="Times New Roman" w:cs="Times New Roman"/>
          <w:b/>
          <w:bCs/>
          <w:i/>
          <w:iCs/>
          <w:noProof/>
          <w:sz w:val="24"/>
          <w:szCs w:val="24"/>
        </w:rPr>
        <w:drawing>
          <wp:anchor distT="0" distB="0" distL="114300" distR="114300" simplePos="0" relativeHeight="251659264" behindDoc="0" locked="0" layoutInCell="1" allowOverlap="1" wp14:anchorId="66C2A594" wp14:editId="758D335F">
            <wp:simplePos x="0" y="0"/>
            <wp:positionH relativeFrom="margin">
              <wp:align>right</wp:align>
            </wp:positionH>
            <wp:positionV relativeFrom="paragraph">
              <wp:posOffset>475202</wp:posOffset>
            </wp:positionV>
            <wp:extent cx="2552700" cy="2466975"/>
            <wp:effectExtent l="0" t="0" r="0" b="9525"/>
            <wp:wrapTopAndBottom/>
            <wp:docPr id="9333468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2700" cy="2466975"/>
                    </a:xfrm>
                    <a:prstGeom prst="rect">
                      <a:avLst/>
                    </a:prstGeom>
                    <a:noFill/>
                  </pic:spPr>
                </pic:pic>
              </a:graphicData>
            </a:graphic>
            <wp14:sizeRelH relativeFrom="margin">
              <wp14:pctWidth>0</wp14:pctWidth>
            </wp14:sizeRelH>
            <wp14:sizeRelV relativeFrom="margin">
              <wp14:pctHeight>0</wp14:pctHeight>
            </wp14:sizeRelV>
          </wp:anchor>
        </w:drawing>
      </w:r>
      <w:r w:rsidR="00BF09E0" w:rsidRPr="009D15AA">
        <w:rPr>
          <w:rFonts w:ascii="Times New Roman" w:hAnsi="Times New Roman" w:cs="Times New Roman"/>
          <w:i/>
          <w:iCs/>
          <w:noProof/>
          <w:sz w:val="24"/>
          <w:szCs w:val="24"/>
        </w:rPr>
        <w:drawing>
          <wp:anchor distT="0" distB="0" distL="114300" distR="114300" simplePos="0" relativeHeight="251658240" behindDoc="1" locked="0" layoutInCell="1" allowOverlap="1" wp14:anchorId="327A6EB6" wp14:editId="4734E5E5">
            <wp:simplePos x="0" y="0"/>
            <wp:positionH relativeFrom="margin">
              <wp:posOffset>-75501</wp:posOffset>
            </wp:positionH>
            <wp:positionV relativeFrom="paragraph">
              <wp:posOffset>515095</wp:posOffset>
            </wp:positionV>
            <wp:extent cx="3190875" cy="2368550"/>
            <wp:effectExtent l="0" t="0" r="9525" b="0"/>
            <wp:wrapTopAndBottom/>
            <wp:docPr id="34186323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2368550"/>
                    </a:xfrm>
                    <a:prstGeom prst="rect">
                      <a:avLst/>
                    </a:prstGeom>
                    <a:noFill/>
                  </pic:spPr>
                </pic:pic>
              </a:graphicData>
            </a:graphic>
            <wp14:sizeRelH relativeFrom="margin">
              <wp14:pctWidth>0</wp14:pctWidth>
            </wp14:sizeRelH>
            <wp14:sizeRelV relativeFrom="margin">
              <wp14:pctHeight>0</wp14:pctHeight>
            </wp14:sizeRelV>
          </wp:anchor>
        </w:drawing>
      </w:r>
      <w:r w:rsidR="00933C16" w:rsidRPr="00933C16">
        <w:rPr>
          <w:rFonts w:ascii="Times New Roman" w:hAnsi="Times New Roman" w:cs="Times New Roman"/>
          <w:b/>
          <w:bCs/>
          <w:sz w:val="24"/>
          <w:szCs w:val="24"/>
        </w:rPr>
        <w:t xml:space="preserve">Figure </w:t>
      </w:r>
      <w:r w:rsidR="00933C16">
        <w:rPr>
          <w:rFonts w:ascii="Times New Roman" w:hAnsi="Times New Roman" w:cs="Times New Roman"/>
          <w:b/>
          <w:bCs/>
          <w:sz w:val="24"/>
          <w:szCs w:val="24"/>
        </w:rPr>
        <w:t>2</w:t>
      </w:r>
      <w:r w:rsidR="00933C16" w:rsidRPr="00933C16">
        <w:rPr>
          <w:rFonts w:ascii="Times New Roman" w:hAnsi="Times New Roman" w:cs="Times New Roman"/>
          <w:b/>
          <w:bCs/>
          <w:sz w:val="24"/>
          <w:szCs w:val="24"/>
        </w:rPr>
        <w:t xml:space="preserve"> – Taux de souscription selon</w:t>
      </w:r>
      <w:r w:rsidR="00BF09E0">
        <w:rPr>
          <w:rFonts w:ascii="Times New Roman" w:hAnsi="Times New Roman" w:cs="Times New Roman"/>
          <w:b/>
          <w:bCs/>
          <w:sz w:val="24"/>
          <w:szCs w:val="24"/>
        </w:rPr>
        <w:t xml:space="preserve"> </w:t>
      </w:r>
      <w:r w:rsidR="00BF09E0" w:rsidRPr="00BF09E0">
        <w:rPr>
          <w:rFonts w:ascii="Times New Roman" w:hAnsi="Times New Roman" w:cs="Times New Roman"/>
          <w:b/>
          <w:bCs/>
          <w:sz w:val="24"/>
          <w:szCs w:val="24"/>
        </w:rPr>
        <w:t>la profession</w:t>
      </w:r>
      <w:r>
        <w:rPr>
          <w:rFonts w:ascii="Times New Roman" w:hAnsi="Times New Roman" w:cs="Times New Roman"/>
          <w:b/>
          <w:bCs/>
          <w:sz w:val="24"/>
          <w:szCs w:val="24"/>
        </w:rPr>
        <w:t xml:space="preserve"> et</w:t>
      </w:r>
      <w:r w:rsidR="00933C16" w:rsidRPr="00933C16">
        <w:rPr>
          <w:rFonts w:ascii="Times New Roman" w:hAnsi="Times New Roman" w:cs="Times New Roman"/>
          <w:b/>
          <w:bCs/>
          <w:sz w:val="24"/>
          <w:szCs w:val="24"/>
        </w:rPr>
        <w:t xml:space="preserve"> le résultat de la campagne précédente</w:t>
      </w:r>
    </w:p>
    <w:p w14:paraId="43549E8D" w14:textId="2CCC2E7E" w:rsidR="00927767" w:rsidRDefault="00927767" w:rsidP="00813728">
      <w:pPr>
        <w:spacing w:line="360" w:lineRule="auto"/>
        <w:jc w:val="both"/>
        <w:rPr>
          <w:rFonts w:ascii="Times New Roman" w:hAnsi="Times New Roman" w:cs="Times New Roman"/>
          <w:i/>
          <w:iCs/>
          <w:sz w:val="24"/>
          <w:szCs w:val="24"/>
        </w:rPr>
      </w:pPr>
      <w:r w:rsidRPr="00927767">
        <w:rPr>
          <w:rFonts w:ascii="Times New Roman" w:hAnsi="Times New Roman" w:cs="Times New Roman"/>
          <w:i/>
          <w:iCs/>
          <w:sz w:val="24"/>
          <w:szCs w:val="24"/>
        </w:rPr>
        <w:t>Source : auteurs, à partir des données UCI</w:t>
      </w:r>
    </w:p>
    <w:p w14:paraId="2CA34EDF" w14:textId="1007F706" w:rsidR="00304C35" w:rsidRPr="00304C35" w:rsidRDefault="00304C35" w:rsidP="00813728">
      <w:pPr>
        <w:pStyle w:val="Titre4"/>
      </w:pPr>
      <w:r w:rsidRPr="00304C35">
        <w:t>Analyse des variables numériques</w:t>
      </w:r>
    </w:p>
    <w:p w14:paraId="10158965" w14:textId="7DBC4F51"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 xml:space="preserve">L’analyse des variables numériques permet de compléter ces observations. La variable </w:t>
      </w:r>
      <w:r w:rsidRPr="00304C35">
        <w:rPr>
          <w:rFonts w:ascii="Times New Roman" w:hAnsi="Times New Roman" w:cs="Times New Roman"/>
          <w:i/>
          <w:iCs/>
          <w:sz w:val="24"/>
          <w:szCs w:val="24"/>
        </w:rPr>
        <w:t>duration</w:t>
      </w:r>
      <w:r w:rsidRPr="00304C35">
        <w:rPr>
          <w:rFonts w:ascii="Times New Roman" w:hAnsi="Times New Roman" w:cs="Times New Roman"/>
          <w:sz w:val="24"/>
          <w:szCs w:val="24"/>
        </w:rPr>
        <w:t xml:space="preserve"> (durée de l’appel) se distingue par un pouvoir discriminant très élevé : les clients ayant souscrit présentent des durées d’appel nettement plus longues, avec une médiane et une dispersion significativement supérieure à celles des non-souscripteurs. Cette variable apparaît comme la plus explicative parmi les variables numériques.</w:t>
      </w:r>
    </w:p>
    <w:p w14:paraId="2544AD01" w14:textId="59022256"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Le solde bancaire (</w:t>
      </w:r>
      <w:r w:rsidRPr="00304C35">
        <w:rPr>
          <w:rFonts w:ascii="Times New Roman" w:hAnsi="Times New Roman" w:cs="Times New Roman"/>
          <w:i/>
          <w:iCs/>
          <w:sz w:val="24"/>
          <w:szCs w:val="24"/>
        </w:rPr>
        <w:t>balance</w:t>
      </w:r>
      <w:r w:rsidRPr="00304C35">
        <w:rPr>
          <w:rFonts w:ascii="Times New Roman" w:hAnsi="Times New Roman" w:cs="Times New Roman"/>
          <w:sz w:val="24"/>
          <w:szCs w:val="24"/>
        </w:rPr>
        <w:t>)</w:t>
      </w:r>
      <w:r w:rsidR="004A2B60">
        <w:rPr>
          <w:rFonts w:ascii="Times New Roman" w:hAnsi="Times New Roman" w:cs="Times New Roman"/>
          <w:sz w:val="24"/>
          <w:szCs w:val="24"/>
        </w:rPr>
        <w:t xml:space="preserve"> </w:t>
      </w:r>
      <w:r w:rsidR="004A2B60" w:rsidRPr="004A2B60">
        <w:rPr>
          <w:rFonts w:ascii="Times New Roman" w:hAnsi="Times New Roman" w:cs="Times New Roman"/>
          <w:sz w:val="24"/>
          <w:szCs w:val="24"/>
        </w:rPr>
        <w:t xml:space="preserve">(Voire annexe </w:t>
      </w:r>
      <w:r w:rsidR="004A2B60">
        <w:rPr>
          <w:rFonts w:ascii="Times New Roman" w:hAnsi="Times New Roman" w:cs="Times New Roman"/>
          <w:sz w:val="24"/>
          <w:szCs w:val="24"/>
        </w:rPr>
        <w:t>8)</w:t>
      </w:r>
      <w:r w:rsidR="004A2B60" w:rsidRPr="004A2B60">
        <w:rPr>
          <w:rFonts w:ascii="Times New Roman" w:hAnsi="Times New Roman" w:cs="Times New Roman"/>
          <w:sz w:val="24"/>
          <w:szCs w:val="24"/>
        </w:rPr>
        <w:t xml:space="preserve"> </w:t>
      </w:r>
      <w:r w:rsidR="004A2B60" w:rsidRPr="00304C35">
        <w:rPr>
          <w:rFonts w:ascii="Times New Roman" w:hAnsi="Times New Roman" w:cs="Times New Roman"/>
          <w:sz w:val="24"/>
          <w:szCs w:val="24"/>
        </w:rPr>
        <w:t>montre</w:t>
      </w:r>
      <w:r w:rsidRPr="00304C35">
        <w:rPr>
          <w:rFonts w:ascii="Times New Roman" w:hAnsi="Times New Roman" w:cs="Times New Roman"/>
          <w:sz w:val="24"/>
          <w:szCs w:val="24"/>
        </w:rPr>
        <w:t xml:space="preserve"> que les souscripteurs disposent en moyenne d’un solde légèrement plus élevé que les non-souscripteurs. Les distributions sont toutefois fortement asymétriques à droite et se recouvrent largement, indiquant que cette variable apporte une information pertinente mais non suffisante prise isolément. L’âge (</w:t>
      </w:r>
      <w:r w:rsidRPr="00304C35">
        <w:rPr>
          <w:rFonts w:ascii="Times New Roman" w:hAnsi="Times New Roman" w:cs="Times New Roman"/>
          <w:i/>
          <w:iCs/>
          <w:sz w:val="24"/>
          <w:szCs w:val="24"/>
        </w:rPr>
        <w:t>age</w:t>
      </w:r>
      <w:r w:rsidRPr="00304C35">
        <w:rPr>
          <w:rFonts w:ascii="Times New Roman" w:hAnsi="Times New Roman" w:cs="Times New Roman"/>
          <w:sz w:val="24"/>
          <w:szCs w:val="24"/>
        </w:rPr>
        <w:t xml:space="preserve">) </w:t>
      </w:r>
      <w:r w:rsidRPr="00304C35">
        <w:rPr>
          <w:rFonts w:ascii="Times New Roman" w:hAnsi="Times New Roman" w:cs="Times New Roman"/>
          <w:sz w:val="24"/>
          <w:szCs w:val="24"/>
        </w:rPr>
        <w:lastRenderedPageBreak/>
        <w:t>présente également un effet modéré : les souscripteurs sont en moyenne légèrement plus âgés, ce qui suggère un lien avec le cycle de vie, sans constituer un facteur discriminant majeur.</w:t>
      </w:r>
    </w:p>
    <w:p w14:paraId="56ADB383" w14:textId="77777777"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 xml:space="preserve">Les variables liées à l’historique des contacts confirment l’importance de la relation passée avec la banque. Les clients ayant souscrit présentent plus fréquemment des valeurs positives de </w:t>
      </w:r>
      <w:r w:rsidRPr="00304C35">
        <w:rPr>
          <w:rFonts w:ascii="Times New Roman" w:hAnsi="Times New Roman" w:cs="Times New Roman"/>
          <w:i/>
          <w:iCs/>
          <w:sz w:val="24"/>
          <w:szCs w:val="24"/>
        </w:rPr>
        <w:t>pdays</w:t>
      </w:r>
      <w:r w:rsidRPr="00304C35">
        <w:rPr>
          <w:rFonts w:ascii="Times New Roman" w:hAnsi="Times New Roman" w:cs="Times New Roman"/>
          <w:sz w:val="24"/>
          <w:szCs w:val="24"/>
        </w:rPr>
        <w:t>, indiquant qu’ils avaient déjà été contactés lors de campagnes précédentes. Le nombre de contacts antérieurs (</w:t>
      </w:r>
      <w:r w:rsidRPr="00304C35">
        <w:rPr>
          <w:rFonts w:ascii="Times New Roman" w:hAnsi="Times New Roman" w:cs="Times New Roman"/>
          <w:i/>
          <w:iCs/>
          <w:sz w:val="24"/>
          <w:szCs w:val="24"/>
        </w:rPr>
        <w:t>previous</w:t>
      </w:r>
      <w:r w:rsidRPr="00304C35">
        <w:rPr>
          <w:rFonts w:ascii="Times New Roman" w:hAnsi="Times New Roman" w:cs="Times New Roman"/>
          <w:sz w:val="24"/>
          <w:szCs w:val="24"/>
        </w:rPr>
        <w:t xml:space="preserve">) est en moyenne légèrement plus élevé chez les souscripteurs, bien que la majorité des observations soit concentrée autour de zéro. En revanche, la variable </w:t>
      </w:r>
      <w:r w:rsidRPr="00304C35">
        <w:rPr>
          <w:rFonts w:ascii="Times New Roman" w:hAnsi="Times New Roman" w:cs="Times New Roman"/>
          <w:i/>
          <w:iCs/>
          <w:sz w:val="24"/>
          <w:szCs w:val="24"/>
        </w:rPr>
        <w:t>campaign</w:t>
      </w:r>
      <w:r w:rsidRPr="00304C35">
        <w:rPr>
          <w:rFonts w:ascii="Times New Roman" w:hAnsi="Times New Roman" w:cs="Times New Roman"/>
          <w:sz w:val="24"/>
          <w:szCs w:val="24"/>
        </w:rPr>
        <w:t xml:space="preserve"> met en évidence un effet négatif : un nombre élevé de contacts durant la campagne est principalement observé chez les non-souscripteurs, suggérant un effet de saturation ou de lassitude.</w:t>
      </w:r>
    </w:p>
    <w:p w14:paraId="7838A8C4" w14:textId="1065F9F4" w:rsidR="00E371FF"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 xml:space="preserve">À l’inverse, la variable </w:t>
      </w:r>
      <w:r w:rsidRPr="00304C35">
        <w:rPr>
          <w:rFonts w:ascii="Times New Roman" w:hAnsi="Times New Roman" w:cs="Times New Roman"/>
          <w:i/>
          <w:iCs/>
          <w:sz w:val="24"/>
          <w:szCs w:val="24"/>
        </w:rPr>
        <w:t>day</w:t>
      </w:r>
      <w:r w:rsidRPr="00304C35">
        <w:rPr>
          <w:rFonts w:ascii="Times New Roman" w:hAnsi="Times New Roman" w:cs="Times New Roman"/>
          <w:sz w:val="24"/>
          <w:szCs w:val="24"/>
        </w:rPr>
        <w:t>, correspondant au jour du mois du contact, ne montre pas de différence significative entre les deux groupes. Son pouvoir explicatif apparaît donc limité.</w:t>
      </w:r>
    </w:p>
    <w:p w14:paraId="53C5B676" w14:textId="674B9DBF" w:rsidR="00E371FF" w:rsidRPr="009A38A5" w:rsidRDefault="000C2BC6" w:rsidP="00813728">
      <w:pPr>
        <w:spacing w:line="360" w:lineRule="auto"/>
        <w:jc w:val="both"/>
        <w:rPr>
          <w:rFonts w:ascii="Times New Roman" w:hAnsi="Times New Roman" w:cs="Times New Roman"/>
          <w:b/>
          <w:bCs/>
          <w:sz w:val="24"/>
          <w:szCs w:val="24"/>
        </w:rPr>
      </w:pPr>
      <w:r w:rsidRPr="009A38A5">
        <w:rPr>
          <w:rFonts w:ascii="Times New Roman" w:hAnsi="Times New Roman" w:cs="Times New Roman"/>
          <w:b/>
          <w:bCs/>
          <w:sz w:val="24"/>
          <w:szCs w:val="24"/>
        </w:rPr>
        <w:t xml:space="preserve">Figure 3 </w:t>
      </w:r>
      <w:r w:rsidR="009A38A5">
        <w:rPr>
          <w:rFonts w:ascii="Times New Roman" w:hAnsi="Times New Roman" w:cs="Times New Roman"/>
          <w:b/>
          <w:bCs/>
          <w:sz w:val="24"/>
          <w:szCs w:val="24"/>
        </w:rPr>
        <w:t>-</w:t>
      </w:r>
      <w:r w:rsidRPr="009A38A5">
        <w:rPr>
          <w:rFonts w:ascii="Times New Roman" w:hAnsi="Times New Roman" w:cs="Times New Roman"/>
          <w:b/>
          <w:bCs/>
          <w:sz w:val="24"/>
          <w:szCs w:val="24"/>
        </w:rPr>
        <w:t xml:space="preserve"> Distribution de l’âge selon la souscription</w:t>
      </w:r>
      <w:r w:rsidR="00315257" w:rsidRPr="009A38A5">
        <w:rPr>
          <w:rFonts w:ascii="Times New Roman" w:hAnsi="Times New Roman" w:cs="Times New Roman"/>
          <w:b/>
          <w:bCs/>
          <w:sz w:val="24"/>
          <w:szCs w:val="24"/>
        </w:rPr>
        <w:t xml:space="preserve">       </w:t>
      </w:r>
    </w:p>
    <w:p w14:paraId="06DDCA59" w14:textId="22C97814" w:rsidR="00E371FF" w:rsidRDefault="004D5B7A" w:rsidP="00813728">
      <w:pPr>
        <w:spacing w:line="36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60288" behindDoc="0" locked="0" layoutInCell="1" allowOverlap="1" wp14:anchorId="40736B65" wp14:editId="451E0C99">
            <wp:simplePos x="0" y="0"/>
            <wp:positionH relativeFrom="margin">
              <wp:align>right</wp:align>
            </wp:positionH>
            <wp:positionV relativeFrom="paragraph">
              <wp:posOffset>6497</wp:posOffset>
            </wp:positionV>
            <wp:extent cx="2752613" cy="2628900"/>
            <wp:effectExtent l="0" t="0" r="0" b="0"/>
            <wp:wrapNone/>
            <wp:docPr id="183005350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3493" cy="2639291"/>
                    </a:xfrm>
                    <a:prstGeom prst="rect">
                      <a:avLst/>
                    </a:prstGeom>
                    <a:noFill/>
                  </pic:spPr>
                </pic:pic>
              </a:graphicData>
            </a:graphic>
            <wp14:sizeRelH relativeFrom="margin">
              <wp14:pctWidth>0</wp14:pctWidth>
            </wp14:sizeRelH>
            <wp14:sizeRelV relativeFrom="margin">
              <wp14:pctHeight>0</wp14:pctHeight>
            </wp14:sizeRelV>
          </wp:anchor>
        </w:drawing>
      </w:r>
      <w:r w:rsidR="00D06116">
        <w:rPr>
          <w:noProof/>
        </w:rPr>
        <w:drawing>
          <wp:inline distT="0" distB="0" distL="0" distR="0" wp14:anchorId="0971EBC3" wp14:editId="0C7FBF84">
            <wp:extent cx="2981325" cy="2576146"/>
            <wp:effectExtent l="0" t="0" r="0" b="0"/>
            <wp:docPr id="621997379" name="Image 1" descr="Une image contenant text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7379" name="Image 1" descr="Une image contenant texte, diagramme, Tracé&#10;&#10;Le contenu généré par l’IA peut être incorrect."/>
                    <pic:cNvPicPr/>
                  </pic:nvPicPr>
                  <pic:blipFill>
                    <a:blip r:embed="rId13"/>
                    <a:stretch>
                      <a:fillRect/>
                    </a:stretch>
                  </pic:blipFill>
                  <pic:spPr>
                    <a:xfrm>
                      <a:off x="0" y="0"/>
                      <a:ext cx="2985917" cy="2580114"/>
                    </a:xfrm>
                    <a:prstGeom prst="rect">
                      <a:avLst/>
                    </a:prstGeom>
                  </pic:spPr>
                </pic:pic>
              </a:graphicData>
            </a:graphic>
          </wp:inline>
        </w:drawing>
      </w:r>
    </w:p>
    <w:p w14:paraId="41E22767" w14:textId="77777777" w:rsidR="00927767" w:rsidRDefault="00927767" w:rsidP="00813728">
      <w:pPr>
        <w:spacing w:line="360" w:lineRule="auto"/>
        <w:jc w:val="both"/>
        <w:rPr>
          <w:rFonts w:ascii="Times New Roman" w:hAnsi="Times New Roman" w:cs="Times New Roman"/>
          <w:i/>
          <w:iCs/>
          <w:sz w:val="24"/>
          <w:szCs w:val="24"/>
        </w:rPr>
      </w:pPr>
      <w:r w:rsidRPr="00927767">
        <w:rPr>
          <w:rFonts w:ascii="Times New Roman" w:hAnsi="Times New Roman" w:cs="Times New Roman"/>
          <w:i/>
          <w:iCs/>
          <w:sz w:val="24"/>
          <w:szCs w:val="24"/>
        </w:rPr>
        <w:t>Source : auteurs, à partir des données UCI</w:t>
      </w:r>
    </w:p>
    <w:p w14:paraId="711F638B" w14:textId="377C980E" w:rsidR="00304C35" w:rsidRPr="00304C35" w:rsidRDefault="00304C35" w:rsidP="00813728">
      <w:pPr>
        <w:spacing w:line="360" w:lineRule="auto"/>
        <w:jc w:val="both"/>
        <w:rPr>
          <w:rFonts w:ascii="Times New Roman" w:hAnsi="Times New Roman" w:cs="Times New Roman"/>
          <w:sz w:val="24"/>
          <w:szCs w:val="24"/>
        </w:rPr>
      </w:pPr>
      <w:r w:rsidRPr="00304C35">
        <w:rPr>
          <w:rFonts w:ascii="Times New Roman" w:hAnsi="Times New Roman" w:cs="Times New Roman"/>
          <w:sz w:val="24"/>
          <w:szCs w:val="24"/>
        </w:rPr>
        <w:t>L’analyse exploratoire met en évidence plusieurs facteurs fortement associés à la souscription à un dépôt à terme bancaire, en particulier l’historique des campagnes précédentes, la période de contact, le niveau d’endettement et certaines caractéristiques socio-professionnelles. À l’inverse, certaines variables présentent un pouvoir explicatif limité lorsqu’elles sont considérées isolément. Ces résultats constituent un socle essentiel pour la phase suivante d’ingénierie des caractéristiques et orientent les choix effectués lors de la modélisation.</w:t>
      </w:r>
    </w:p>
    <w:p w14:paraId="35802D7E" w14:textId="77777777" w:rsidR="00EC67A9" w:rsidRPr="00EC67A9" w:rsidRDefault="00EC67A9" w:rsidP="00083AEB">
      <w:pPr>
        <w:pStyle w:val="Titre3"/>
      </w:pPr>
      <w:bookmarkStart w:id="23" w:name="_Toc221721592"/>
      <w:r w:rsidRPr="00EC67A9">
        <w:lastRenderedPageBreak/>
        <w:t>Ingénierie des caractéristiques</w:t>
      </w:r>
      <w:bookmarkEnd w:id="23"/>
    </w:p>
    <w:p w14:paraId="115E02EF"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 xml:space="preserve">À l’issue de l’analyse exploratoire des données, un travail approfondi d’ingénierie des caractéristiques a été mené afin d’améliorer la capacité prédictive des modèles tout en garantissant leur validité opérationnelle. L’objectif n’était pas uniquement d’augmenter les performances statistiques, mais surtout de construire un dispositif de scoring cohérent avec une </w:t>
      </w:r>
      <w:r w:rsidRPr="00EC67A9">
        <w:rPr>
          <w:rFonts w:ascii="Times New Roman" w:hAnsi="Times New Roman" w:cs="Times New Roman"/>
          <w:b/>
          <w:bCs/>
          <w:sz w:val="24"/>
          <w:szCs w:val="24"/>
        </w:rPr>
        <w:t>logique de décision ex ante</w:t>
      </w:r>
      <w:r w:rsidRPr="00EC67A9">
        <w:rPr>
          <w:rFonts w:ascii="Times New Roman" w:hAnsi="Times New Roman" w:cs="Times New Roman"/>
          <w:sz w:val="24"/>
          <w:szCs w:val="24"/>
        </w:rPr>
        <w:t>, utilisable concrètement par les équipes commerciales avant tout contact avec le client.</w:t>
      </w:r>
    </w:p>
    <w:p w14:paraId="5EA33B3A" w14:textId="77777777" w:rsidR="00EC67A9" w:rsidRPr="00EC67A9" w:rsidRDefault="00EC67A9" w:rsidP="00813728">
      <w:pPr>
        <w:pStyle w:val="Titre4"/>
        <w:numPr>
          <w:ilvl w:val="0"/>
          <w:numId w:val="23"/>
        </w:numPr>
      </w:pPr>
      <w:r w:rsidRPr="00EC67A9">
        <w:t>Sélection raisonnée des variables</w:t>
      </w:r>
    </w:p>
    <w:p w14:paraId="372406F3"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 xml:space="preserve">La sélection des variables explicatives repose sur un double critère : leur </w:t>
      </w:r>
      <w:r w:rsidRPr="00EC67A9">
        <w:rPr>
          <w:rFonts w:ascii="Times New Roman" w:hAnsi="Times New Roman" w:cs="Times New Roman"/>
          <w:b/>
          <w:bCs/>
          <w:sz w:val="24"/>
          <w:szCs w:val="24"/>
        </w:rPr>
        <w:t>pertinence empirique</w:t>
      </w:r>
      <w:r w:rsidRPr="00EC67A9">
        <w:rPr>
          <w:rFonts w:ascii="Times New Roman" w:hAnsi="Times New Roman" w:cs="Times New Roman"/>
          <w:sz w:val="24"/>
          <w:szCs w:val="24"/>
        </w:rPr>
        <w:t xml:space="preserve">, mise en évidence lors de l’analyse exploratoire, et leur </w:t>
      </w:r>
      <w:r w:rsidRPr="00EC67A9">
        <w:rPr>
          <w:rFonts w:ascii="Times New Roman" w:hAnsi="Times New Roman" w:cs="Times New Roman"/>
          <w:b/>
          <w:bCs/>
          <w:sz w:val="24"/>
          <w:szCs w:val="24"/>
        </w:rPr>
        <w:t>légitimité méthodologique</w:t>
      </w:r>
      <w:r w:rsidRPr="00EC67A9">
        <w:rPr>
          <w:rFonts w:ascii="Times New Roman" w:hAnsi="Times New Roman" w:cs="Times New Roman"/>
          <w:sz w:val="24"/>
          <w:szCs w:val="24"/>
        </w:rPr>
        <w:t xml:space="preserve"> dans une approche prédictive. Les variables présentant une association claire avec la variable cible, telles que </w:t>
      </w:r>
      <w:r w:rsidRPr="00EC67A9">
        <w:rPr>
          <w:rFonts w:ascii="Times New Roman" w:hAnsi="Times New Roman" w:cs="Times New Roman"/>
          <w:i/>
          <w:iCs/>
          <w:sz w:val="24"/>
          <w:szCs w:val="24"/>
        </w:rPr>
        <w:t>balance</w:t>
      </w:r>
      <w:r w:rsidRPr="00EC67A9">
        <w:rPr>
          <w:rFonts w:ascii="Times New Roman" w:hAnsi="Times New Roman" w:cs="Times New Roman"/>
          <w:sz w:val="24"/>
          <w:szCs w:val="24"/>
        </w:rPr>
        <w:t xml:space="preserve">, </w:t>
      </w:r>
      <w:r w:rsidRPr="00EC67A9">
        <w:rPr>
          <w:rFonts w:ascii="Times New Roman" w:hAnsi="Times New Roman" w:cs="Times New Roman"/>
          <w:i/>
          <w:iCs/>
          <w:sz w:val="24"/>
          <w:szCs w:val="24"/>
        </w:rPr>
        <w:t>housing</w:t>
      </w:r>
      <w:r w:rsidRPr="00EC67A9">
        <w:rPr>
          <w:rFonts w:ascii="Times New Roman" w:hAnsi="Times New Roman" w:cs="Times New Roman"/>
          <w:sz w:val="24"/>
          <w:szCs w:val="24"/>
        </w:rPr>
        <w:t xml:space="preserve">, </w:t>
      </w:r>
      <w:r w:rsidRPr="00EC67A9">
        <w:rPr>
          <w:rFonts w:ascii="Times New Roman" w:hAnsi="Times New Roman" w:cs="Times New Roman"/>
          <w:i/>
          <w:iCs/>
          <w:sz w:val="24"/>
          <w:szCs w:val="24"/>
        </w:rPr>
        <w:t>loan</w:t>
      </w:r>
      <w:r w:rsidRPr="00EC67A9">
        <w:rPr>
          <w:rFonts w:ascii="Times New Roman" w:hAnsi="Times New Roman" w:cs="Times New Roman"/>
          <w:sz w:val="24"/>
          <w:szCs w:val="24"/>
        </w:rPr>
        <w:t xml:space="preserve">, </w:t>
      </w:r>
      <w:r w:rsidRPr="00EC67A9">
        <w:rPr>
          <w:rFonts w:ascii="Times New Roman" w:hAnsi="Times New Roman" w:cs="Times New Roman"/>
          <w:i/>
          <w:iCs/>
          <w:sz w:val="24"/>
          <w:szCs w:val="24"/>
        </w:rPr>
        <w:t>poutcome</w:t>
      </w:r>
      <w:r w:rsidRPr="00EC67A9">
        <w:rPr>
          <w:rFonts w:ascii="Times New Roman" w:hAnsi="Times New Roman" w:cs="Times New Roman"/>
          <w:sz w:val="24"/>
          <w:szCs w:val="24"/>
        </w:rPr>
        <w:t xml:space="preserve"> ou </w:t>
      </w:r>
      <w:r w:rsidRPr="00EC67A9">
        <w:rPr>
          <w:rFonts w:ascii="Times New Roman" w:hAnsi="Times New Roman" w:cs="Times New Roman"/>
          <w:i/>
          <w:iCs/>
          <w:sz w:val="24"/>
          <w:szCs w:val="24"/>
        </w:rPr>
        <w:t>campaign</w:t>
      </w:r>
      <w:r w:rsidRPr="00EC67A9">
        <w:rPr>
          <w:rFonts w:ascii="Times New Roman" w:hAnsi="Times New Roman" w:cs="Times New Roman"/>
          <w:sz w:val="24"/>
          <w:szCs w:val="24"/>
        </w:rPr>
        <w:t>, ont été conservées en raison de leur interprétabilité économique et de leur contribution potentielle à la discrimination entre souscripteurs et non-souscripteurs.</w:t>
      </w:r>
    </w:p>
    <w:p w14:paraId="7C2B5ACF"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 xml:space="preserve">À l’inverse, certaines variables ont été considérées comme secondaires ou peu informatives. C’est notamment le cas de la variable </w:t>
      </w:r>
      <w:r w:rsidRPr="00EC67A9">
        <w:rPr>
          <w:rFonts w:ascii="Times New Roman" w:hAnsi="Times New Roman" w:cs="Times New Roman"/>
          <w:i/>
          <w:iCs/>
          <w:sz w:val="24"/>
          <w:szCs w:val="24"/>
        </w:rPr>
        <w:t>day</w:t>
      </w:r>
      <w:r w:rsidRPr="00EC67A9">
        <w:rPr>
          <w:rFonts w:ascii="Times New Roman" w:hAnsi="Times New Roman" w:cs="Times New Roman"/>
          <w:sz w:val="24"/>
          <w:szCs w:val="24"/>
        </w:rPr>
        <w:t>, correspondant au jour du mois du contact, dont l’analyse n’a révélé aucune différence significative entre les deux classes. Son inclusion risquerait d’introduire du bruit sans apporter de gain prédictif substantiel. Ce choix permet de limiter la complexité du modèle et de favoriser une meilleure capacité de généralisation.</w:t>
      </w:r>
    </w:p>
    <w:p w14:paraId="2647C2CB"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 xml:space="preserve">Une attention particulière a été portée aux variables susceptibles d’introduire une fuite d’information. Dans ce cadre, la variable </w:t>
      </w:r>
      <w:r w:rsidRPr="00EC67A9">
        <w:rPr>
          <w:rFonts w:ascii="Times New Roman" w:hAnsi="Times New Roman" w:cs="Times New Roman"/>
          <w:i/>
          <w:iCs/>
          <w:sz w:val="24"/>
          <w:szCs w:val="24"/>
        </w:rPr>
        <w:t>duration</w:t>
      </w:r>
      <w:r w:rsidRPr="00EC67A9">
        <w:rPr>
          <w:rFonts w:ascii="Times New Roman" w:hAnsi="Times New Roman" w:cs="Times New Roman"/>
          <w:sz w:val="24"/>
          <w:szCs w:val="24"/>
        </w:rPr>
        <w:t xml:space="preserve"> a été exclue de la modélisation finale, car elle n’est observable qu’après le contact et dépend directement du comportement du client pendant l’appel. Bien qu’elle soit fortement discriminante, son utilisation conduirait à une surestimation artificielle des performances et à un modèle inapplicable en situation réelle de décision. Son exclusion s’inscrit donc dans une démarche méthodologiquement rigoureuse et alignée avec l’objectif opérationnel du projet.</w:t>
      </w:r>
    </w:p>
    <w:p w14:paraId="2A08A882" w14:textId="77777777" w:rsidR="00EC67A9" w:rsidRPr="00EC67A9" w:rsidRDefault="00EC67A9" w:rsidP="00813728">
      <w:pPr>
        <w:pStyle w:val="Titre4"/>
      </w:pPr>
      <w:r w:rsidRPr="00EC67A9">
        <w:t>Enrichissement de l’information par la création de variables dérivées</w:t>
      </w:r>
    </w:p>
    <w:p w14:paraId="29355700"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 xml:space="preserve">Au-delà de la sélection des variables existantes, plusieurs variables dérivées ont été construites afin de mieux représenter les mécanismes économiques et comportementaux sous-jacents à la décision de souscription. Tout d’abord, des indicateurs de </w:t>
      </w:r>
      <w:r w:rsidRPr="00EC67A9">
        <w:rPr>
          <w:rFonts w:ascii="Times New Roman" w:hAnsi="Times New Roman" w:cs="Times New Roman"/>
          <w:b/>
          <w:bCs/>
          <w:sz w:val="24"/>
          <w:szCs w:val="24"/>
        </w:rPr>
        <w:t>saisonnalité</w:t>
      </w:r>
      <w:r w:rsidRPr="00EC67A9">
        <w:rPr>
          <w:rFonts w:ascii="Times New Roman" w:hAnsi="Times New Roman" w:cs="Times New Roman"/>
          <w:sz w:val="24"/>
          <w:szCs w:val="24"/>
        </w:rPr>
        <w:t xml:space="preserve"> ont été créés à partir de la variable </w:t>
      </w:r>
      <w:r w:rsidRPr="00EC67A9">
        <w:rPr>
          <w:rFonts w:ascii="Times New Roman" w:hAnsi="Times New Roman" w:cs="Times New Roman"/>
          <w:i/>
          <w:iCs/>
          <w:sz w:val="24"/>
          <w:szCs w:val="24"/>
        </w:rPr>
        <w:t>month</w:t>
      </w:r>
      <w:r w:rsidRPr="00EC67A9">
        <w:rPr>
          <w:rFonts w:ascii="Times New Roman" w:hAnsi="Times New Roman" w:cs="Times New Roman"/>
          <w:sz w:val="24"/>
          <w:szCs w:val="24"/>
        </w:rPr>
        <w:t xml:space="preserve">. L’analyse exploratoire ayant mis en évidence des comportements de souscription très différenciés selon les périodes de l’année, le regroupement des mois en saisons </w:t>
      </w:r>
      <w:r w:rsidRPr="00EC67A9">
        <w:rPr>
          <w:rFonts w:ascii="Times New Roman" w:hAnsi="Times New Roman" w:cs="Times New Roman"/>
          <w:sz w:val="24"/>
          <w:szCs w:val="24"/>
        </w:rPr>
        <w:lastRenderedPageBreak/>
        <w:t>(printemps, été, automne, hiver) permet de capter ces effets de manière plus robuste, tout en réduisant la granularité excessive liée aux douze modalités mensuelles.</w:t>
      </w:r>
    </w:p>
    <w:p w14:paraId="7E575152" w14:textId="58797BCB"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 xml:space="preserve">Des variables liées au </w:t>
      </w:r>
      <w:r w:rsidRPr="00EC67A9">
        <w:rPr>
          <w:rFonts w:ascii="Times New Roman" w:hAnsi="Times New Roman" w:cs="Times New Roman"/>
          <w:b/>
          <w:bCs/>
          <w:sz w:val="24"/>
          <w:szCs w:val="24"/>
        </w:rPr>
        <w:t>cycle de vie des clients</w:t>
      </w:r>
      <w:r w:rsidRPr="00EC67A9">
        <w:rPr>
          <w:rFonts w:ascii="Times New Roman" w:hAnsi="Times New Roman" w:cs="Times New Roman"/>
          <w:sz w:val="24"/>
          <w:szCs w:val="24"/>
        </w:rPr>
        <w:t xml:space="preserve"> ont également été introduites à partir de l’âge, sous forme de tranches d’âge. Cette transformation permet de dépasser une relation strictement linéaire entre l’âge et la probabilité de souscription, et de mieux refléter les comportements d’épargne associés aux différentes étapes de la vie. Par exemple, les retraités ou les clients proches de la retraite présentent souvent des préférences accrues pour des produits d’épargne sécurisés, ce qui justifie une modélisation spécifique de ces profils.</w:t>
      </w:r>
    </w:p>
    <w:p w14:paraId="2AFFD8BA" w14:textId="65461D90" w:rsidR="00DC54AF" w:rsidRPr="000D5A97"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L’</w:t>
      </w:r>
      <w:r w:rsidRPr="00EC67A9">
        <w:rPr>
          <w:rFonts w:ascii="Times New Roman" w:hAnsi="Times New Roman" w:cs="Times New Roman"/>
          <w:b/>
          <w:bCs/>
          <w:sz w:val="24"/>
          <w:szCs w:val="24"/>
        </w:rPr>
        <w:t>historique des interactions avec la banque</w:t>
      </w:r>
      <w:r w:rsidRPr="00EC67A9">
        <w:rPr>
          <w:rFonts w:ascii="Times New Roman" w:hAnsi="Times New Roman" w:cs="Times New Roman"/>
          <w:sz w:val="24"/>
          <w:szCs w:val="24"/>
        </w:rPr>
        <w:t xml:space="preserve"> a fait l’objet d’un traitement particulier. La variable </w:t>
      </w:r>
      <w:r w:rsidRPr="00EC67A9">
        <w:rPr>
          <w:rFonts w:ascii="Times New Roman" w:hAnsi="Times New Roman" w:cs="Times New Roman"/>
          <w:i/>
          <w:iCs/>
          <w:sz w:val="24"/>
          <w:szCs w:val="24"/>
        </w:rPr>
        <w:t>pdays</w:t>
      </w:r>
      <w:r w:rsidRPr="00EC67A9">
        <w:rPr>
          <w:rFonts w:ascii="Times New Roman" w:hAnsi="Times New Roman" w:cs="Times New Roman"/>
          <w:sz w:val="24"/>
          <w:szCs w:val="24"/>
        </w:rPr>
        <w:t xml:space="preserve"> a été transformée afin de distinguer explicitement les clients n’ayant jamais été contactés auparavant de ceux disposant d’un historique de campagne. Cette distinction est essentielle, car l’absence totale de contact passé ne porte pas la même information qu’un contact récent ou ancien. De même, des indicateurs synthétiques ont été construits pour capturer l’effet mémoire des campagnes précédentes et renforcer le rôle explicatif de l’historique client, déjà identifié comme un déterminant majeur lors de l’EDA.</w:t>
      </w:r>
    </w:p>
    <w:p w14:paraId="4ACAF482" w14:textId="3BCFB92D" w:rsidR="00EC67A9" w:rsidRPr="00EC67A9" w:rsidRDefault="00EC67A9" w:rsidP="00813728">
      <w:pPr>
        <w:pStyle w:val="Titre4"/>
      </w:pPr>
      <w:r w:rsidRPr="00EC67A9">
        <w:t>Préparation et transformation des données pour la modélisation</w:t>
      </w:r>
    </w:p>
    <w:p w14:paraId="6712FBC3"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Les transformations finales des données ont été réalisées dans une logique de cohérence et de reproductibilité. Les variables catégorielles ont été encodées sous forme de variables indicatrices afin de permettre leur utilisation par l’ensemble des algorithmes considérés, tandis que les variables numériques ont été normalisées pour limiter l’influence des différences d’échelle, en particulier pour la régression logistique. Les valeurs manquantes introduites lors des transformations ont été imputées de manière systématique, en privilégiant des méthodes simples et robustes afin de ne pas introduire de biais artificiels.</w:t>
      </w:r>
    </w:p>
    <w:p w14:paraId="5E514E31"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L’ensemble de ces étapes a été intégré dans une chaîne de préparation unique, garantissant une application identique des transformations sur les jeux d’entraînement et de test. Cette approche permet de prévenir toute fuite d’information, d’assurer la comparabilité des modèles évalués et de renforcer la fiabilité des résultats obtenus.</w:t>
      </w:r>
    </w:p>
    <w:p w14:paraId="37DFA83C" w14:textId="77777777" w:rsidR="00EC67A9" w:rsidRPr="00EC67A9" w:rsidRDefault="00EC67A9" w:rsidP="00813728">
      <w:pPr>
        <w:spacing w:line="360" w:lineRule="auto"/>
        <w:jc w:val="both"/>
        <w:rPr>
          <w:rFonts w:ascii="Times New Roman" w:hAnsi="Times New Roman" w:cs="Times New Roman"/>
          <w:sz w:val="24"/>
          <w:szCs w:val="24"/>
        </w:rPr>
      </w:pPr>
      <w:r w:rsidRPr="00EC67A9">
        <w:rPr>
          <w:rFonts w:ascii="Times New Roman" w:hAnsi="Times New Roman" w:cs="Times New Roman"/>
          <w:sz w:val="24"/>
          <w:szCs w:val="24"/>
        </w:rPr>
        <w:t xml:space="preserve">En définitive, l’ingénierie des caractéristiques joue un rôle central dans ce projet. Elle permet de transformer un ensemble de variables brutes en un espace de représentation plus informatif, mieux aligné avec les comportements économiques réels des clients. En combinant sélection raisonnée, création de variables dérivées et transformations adaptées, cette étape constitue un </w:t>
      </w:r>
      <w:r w:rsidRPr="00EC67A9">
        <w:rPr>
          <w:rFonts w:ascii="Times New Roman" w:hAnsi="Times New Roman" w:cs="Times New Roman"/>
          <w:sz w:val="24"/>
          <w:szCs w:val="24"/>
        </w:rPr>
        <w:lastRenderedPageBreak/>
        <w:t>levier essentiel pour améliorer la performance prédictive des modèles tout en conservant une interprétabilité suffisante pour un usage opérationnel.</w:t>
      </w:r>
    </w:p>
    <w:p w14:paraId="453B8924" w14:textId="77777777" w:rsidR="008F06C2" w:rsidRPr="008F06C2" w:rsidRDefault="008F06C2" w:rsidP="00083AEB">
      <w:pPr>
        <w:pStyle w:val="Titre3"/>
      </w:pPr>
      <w:bookmarkStart w:id="24" w:name="_Toc221721593"/>
      <w:bookmarkStart w:id="25" w:name="OLE_LINK16"/>
      <w:r w:rsidRPr="008F06C2">
        <w:t xml:space="preserve">Cas particulier de la variable </w:t>
      </w:r>
      <w:r w:rsidRPr="008F06C2">
        <w:rPr>
          <w:i/>
          <w:iCs/>
        </w:rPr>
        <w:t>duration</w:t>
      </w:r>
      <w:r w:rsidRPr="008F06C2">
        <w:t xml:space="preserve"> : justification méthodologique de son exclusion dans une approche prédictive </w:t>
      </w:r>
      <w:r w:rsidRPr="008F06C2">
        <w:rPr>
          <w:i/>
          <w:iCs/>
        </w:rPr>
        <w:t>ex ante</w:t>
      </w:r>
      <w:bookmarkEnd w:id="24"/>
    </w:p>
    <w:p w14:paraId="18090CC3" w14:textId="77777777" w:rsidR="008F06C2" w:rsidRPr="008F06C2" w:rsidRDefault="008F06C2" w:rsidP="00813728">
      <w:pPr>
        <w:spacing w:line="360" w:lineRule="auto"/>
        <w:jc w:val="both"/>
        <w:rPr>
          <w:rFonts w:ascii="Times New Roman" w:hAnsi="Times New Roman" w:cs="Times New Roman"/>
          <w:sz w:val="24"/>
          <w:szCs w:val="24"/>
        </w:rPr>
      </w:pPr>
      <w:r w:rsidRPr="008F06C2">
        <w:rPr>
          <w:rFonts w:ascii="Times New Roman" w:hAnsi="Times New Roman" w:cs="Times New Roman"/>
          <w:sz w:val="24"/>
          <w:szCs w:val="24"/>
        </w:rPr>
        <w:t xml:space="preserve">La variable </w:t>
      </w:r>
      <w:r w:rsidRPr="008F06C2">
        <w:rPr>
          <w:rFonts w:ascii="Times New Roman" w:hAnsi="Times New Roman" w:cs="Times New Roman"/>
          <w:i/>
          <w:iCs/>
          <w:sz w:val="24"/>
          <w:szCs w:val="24"/>
        </w:rPr>
        <w:t>duration</w:t>
      </w:r>
      <w:r w:rsidRPr="008F06C2">
        <w:rPr>
          <w:rFonts w:ascii="Times New Roman" w:hAnsi="Times New Roman" w:cs="Times New Roman"/>
          <w:sz w:val="24"/>
          <w:szCs w:val="24"/>
        </w:rPr>
        <w:t>, correspondant à la durée de l’appel téléphonique, se distingue lors de l’analyse exploratoire par un pouvoir discriminant particulièrement élevé. Les clients ayant souscrit à un dépôt à terme présentent en moyenne des durées d’appel nettement supérieures à celles des non-souscripteurs, ce qui en fait, d’un point de vue purement statistique, l’une des variables les plus explicatives du jeu de données.</w:t>
      </w:r>
    </w:p>
    <w:p w14:paraId="2E3B50C9" w14:textId="77777777" w:rsidR="008F06C2" w:rsidRPr="008F06C2" w:rsidRDefault="008F06C2" w:rsidP="00813728">
      <w:pPr>
        <w:spacing w:line="360" w:lineRule="auto"/>
        <w:jc w:val="both"/>
        <w:rPr>
          <w:rFonts w:ascii="Times New Roman" w:hAnsi="Times New Roman" w:cs="Times New Roman"/>
          <w:sz w:val="24"/>
          <w:szCs w:val="24"/>
        </w:rPr>
      </w:pPr>
      <w:r w:rsidRPr="008F06C2">
        <w:rPr>
          <w:rFonts w:ascii="Times New Roman" w:hAnsi="Times New Roman" w:cs="Times New Roman"/>
          <w:sz w:val="24"/>
          <w:szCs w:val="24"/>
        </w:rPr>
        <w:t xml:space="preserve">Cependant, malgré cette forte capacité discriminante, l’utilisation de la variable </w:t>
      </w:r>
      <w:r w:rsidRPr="008F06C2">
        <w:rPr>
          <w:rFonts w:ascii="Times New Roman" w:hAnsi="Times New Roman" w:cs="Times New Roman"/>
          <w:i/>
          <w:iCs/>
          <w:sz w:val="24"/>
          <w:szCs w:val="24"/>
        </w:rPr>
        <w:t>duration</w:t>
      </w:r>
      <w:r w:rsidRPr="008F06C2">
        <w:rPr>
          <w:rFonts w:ascii="Times New Roman" w:hAnsi="Times New Roman" w:cs="Times New Roman"/>
          <w:sz w:val="24"/>
          <w:szCs w:val="24"/>
        </w:rPr>
        <w:t xml:space="preserve"> pose un problème méthodologique majeur dans une optique de prédiction </w:t>
      </w:r>
      <w:r w:rsidRPr="008F06C2">
        <w:rPr>
          <w:rFonts w:ascii="Times New Roman" w:hAnsi="Times New Roman" w:cs="Times New Roman"/>
          <w:i/>
          <w:iCs/>
          <w:sz w:val="24"/>
          <w:szCs w:val="24"/>
        </w:rPr>
        <w:t>ex ante</w:t>
      </w:r>
      <w:r w:rsidRPr="008F06C2">
        <w:rPr>
          <w:rFonts w:ascii="Times New Roman" w:hAnsi="Times New Roman" w:cs="Times New Roman"/>
          <w:sz w:val="24"/>
          <w:szCs w:val="24"/>
        </w:rPr>
        <w:t>. En effet, la durée de l’appel n’est observable qu’à l’issue du contact avec le client et dépend directement du déroulement de l’échange et de l’intérêt manifesté par ce dernier. Elle constitue ainsi une conséquence du comportement du client plutôt qu’un déterminant observable avant la prise de décision.</w:t>
      </w:r>
    </w:p>
    <w:p w14:paraId="3496EE7C" w14:textId="57F229DA" w:rsidR="008F06C2" w:rsidRDefault="008F06C2" w:rsidP="00813728">
      <w:pPr>
        <w:spacing w:line="360" w:lineRule="auto"/>
        <w:jc w:val="both"/>
        <w:rPr>
          <w:rFonts w:ascii="Times New Roman" w:hAnsi="Times New Roman" w:cs="Times New Roman"/>
          <w:sz w:val="24"/>
          <w:szCs w:val="24"/>
        </w:rPr>
      </w:pPr>
      <w:r w:rsidRPr="008F06C2">
        <w:rPr>
          <w:rFonts w:ascii="Times New Roman" w:hAnsi="Times New Roman" w:cs="Times New Roman"/>
          <w:sz w:val="24"/>
          <w:szCs w:val="24"/>
        </w:rPr>
        <w:t xml:space="preserve">L’intégration de </w:t>
      </w:r>
      <w:r w:rsidRPr="008F06C2">
        <w:rPr>
          <w:rFonts w:ascii="Times New Roman" w:hAnsi="Times New Roman" w:cs="Times New Roman"/>
          <w:i/>
          <w:iCs/>
          <w:sz w:val="24"/>
          <w:szCs w:val="24"/>
        </w:rPr>
        <w:t>duration</w:t>
      </w:r>
      <w:r w:rsidRPr="008F06C2">
        <w:rPr>
          <w:rFonts w:ascii="Times New Roman" w:hAnsi="Times New Roman" w:cs="Times New Roman"/>
          <w:sz w:val="24"/>
          <w:szCs w:val="24"/>
        </w:rPr>
        <w:t xml:space="preserve"> dans un modèle prédictif conduirait à une </w:t>
      </w:r>
      <w:r w:rsidRPr="008F06C2">
        <w:rPr>
          <w:rFonts w:ascii="Times New Roman" w:hAnsi="Times New Roman" w:cs="Times New Roman"/>
          <w:b/>
          <w:bCs/>
          <w:sz w:val="24"/>
          <w:szCs w:val="24"/>
        </w:rPr>
        <w:t>fuite d’information (data leakage)</w:t>
      </w:r>
      <w:r w:rsidRPr="008F06C2">
        <w:rPr>
          <w:rFonts w:ascii="Times New Roman" w:hAnsi="Times New Roman" w:cs="Times New Roman"/>
          <w:sz w:val="24"/>
          <w:szCs w:val="24"/>
        </w:rPr>
        <w:t xml:space="preserve">, dans la mesure où le modèle utiliserait une information indisponible au moment où la décision de contacter le client doit être prise. Cette fuite d’information se traduirait par une </w:t>
      </w:r>
      <w:r w:rsidRPr="008F06C2">
        <w:rPr>
          <w:rFonts w:ascii="Times New Roman" w:hAnsi="Times New Roman" w:cs="Times New Roman"/>
          <w:b/>
          <w:bCs/>
          <w:sz w:val="24"/>
          <w:szCs w:val="24"/>
        </w:rPr>
        <w:t>surestimation artificielle des performances</w:t>
      </w:r>
      <w:r w:rsidRPr="008F06C2">
        <w:rPr>
          <w:rFonts w:ascii="Times New Roman" w:hAnsi="Times New Roman" w:cs="Times New Roman"/>
          <w:sz w:val="24"/>
          <w:szCs w:val="24"/>
        </w:rPr>
        <w:t>, rendant le modèle inapplicable dans un contexte opérationnel réel, malgré des résultats statistiques apparemment excellents.</w:t>
      </w:r>
    </w:p>
    <w:p w14:paraId="0E4F9B86" w14:textId="0DE3B3C7" w:rsidR="00A91687" w:rsidRPr="0026565C" w:rsidRDefault="0026565C" w:rsidP="00813728">
      <w:pPr>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355CB280" wp14:editId="6BBC29EB">
            <wp:simplePos x="0" y="0"/>
            <wp:positionH relativeFrom="margin">
              <wp:align>left</wp:align>
            </wp:positionH>
            <wp:positionV relativeFrom="paragraph">
              <wp:posOffset>228014</wp:posOffset>
            </wp:positionV>
            <wp:extent cx="5196205" cy="2522855"/>
            <wp:effectExtent l="0" t="0" r="4445" b="0"/>
            <wp:wrapTopAndBottom/>
            <wp:docPr id="7520131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7025" cy="2538068"/>
                    </a:xfrm>
                    <a:prstGeom prst="rect">
                      <a:avLst/>
                    </a:prstGeom>
                    <a:noFill/>
                  </pic:spPr>
                </pic:pic>
              </a:graphicData>
            </a:graphic>
            <wp14:sizeRelH relativeFrom="margin">
              <wp14:pctWidth>0</wp14:pctWidth>
            </wp14:sizeRelH>
            <wp14:sizeRelV relativeFrom="margin">
              <wp14:pctHeight>0</wp14:pctHeight>
            </wp14:sizeRelV>
          </wp:anchor>
        </w:drawing>
      </w:r>
      <w:r w:rsidR="00272B66" w:rsidRPr="002907D2">
        <w:rPr>
          <w:rFonts w:ascii="Times New Roman" w:hAnsi="Times New Roman" w:cs="Times New Roman"/>
          <w:b/>
          <w:bCs/>
          <w:sz w:val="24"/>
          <w:szCs w:val="24"/>
        </w:rPr>
        <w:t xml:space="preserve">Figure 4 </w:t>
      </w:r>
      <w:r w:rsidR="00B11FD2" w:rsidRPr="002907D2">
        <w:rPr>
          <w:rFonts w:ascii="Times New Roman" w:hAnsi="Times New Roman" w:cs="Times New Roman"/>
          <w:b/>
          <w:bCs/>
          <w:sz w:val="24"/>
          <w:szCs w:val="24"/>
        </w:rPr>
        <w:t>-</w:t>
      </w:r>
      <w:r w:rsidR="00272B66" w:rsidRPr="002907D2">
        <w:rPr>
          <w:rFonts w:ascii="Times New Roman" w:hAnsi="Times New Roman" w:cs="Times New Roman"/>
          <w:b/>
          <w:bCs/>
          <w:sz w:val="24"/>
          <w:szCs w:val="24"/>
        </w:rPr>
        <w:t xml:space="preserve"> Distribution de la durée d’appel</w:t>
      </w:r>
      <w:r w:rsidR="00B11FD2" w:rsidRPr="002907D2">
        <w:rPr>
          <w:rFonts w:ascii="Times New Roman" w:hAnsi="Times New Roman" w:cs="Times New Roman"/>
          <w:b/>
          <w:bCs/>
          <w:sz w:val="24"/>
          <w:szCs w:val="24"/>
        </w:rPr>
        <w:t xml:space="preserve"> </w:t>
      </w:r>
      <w:r w:rsidR="002907D2" w:rsidRPr="002907D2">
        <w:rPr>
          <w:rFonts w:ascii="Times New Roman" w:hAnsi="Times New Roman" w:cs="Times New Roman"/>
          <w:b/>
          <w:bCs/>
          <w:sz w:val="24"/>
          <w:szCs w:val="24"/>
        </w:rPr>
        <w:t>selon la souscription</w:t>
      </w:r>
    </w:p>
    <w:p w14:paraId="7C955E60" w14:textId="77777777" w:rsidR="00E10748" w:rsidRDefault="00E10748" w:rsidP="00813728">
      <w:pPr>
        <w:spacing w:line="360" w:lineRule="auto"/>
        <w:jc w:val="both"/>
        <w:rPr>
          <w:rFonts w:ascii="Times New Roman" w:hAnsi="Times New Roman" w:cs="Times New Roman"/>
          <w:i/>
          <w:iCs/>
          <w:sz w:val="24"/>
          <w:szCs w:val="24"/>
        </w:rPr>
      </w:pPr>
      <w:bookmarkStart w:id="26" w:name="OLE_LINK26"/>
      <w:r w:rsidRPr="00E10748">
        <w:rPr>
          <w:rFonts w:ascii="Times New Roman" w:hAnsi="Times New Roman" w:cs="Times New Roman"/>
          <w:i/>
          <w:iCs/>
          <w:sz w:val="24"/>
          <w:szCs w:val="24"/>
        </w:rPr>
        <w:t>Source : auteurs, à partir des données UCI</w:t>
      </w:r>
    </w:p>
    <w:bookmarkEnd w:id="26"/>
    <w:p w14:paraId="1D47DF1E" w14:textId="099036DC" w:rsidR="008F06C2" w:rsidRPr="008F06C2" w:rsidRDefault="008F06C2" w:rsidP="00813728">
      <w:pPr>
        <w:spacing w:line="360" w:lineRule="auto"/>
        <w:jc w:val="both"/>
        <w:rPr>
          <w:rFonts w:ascii="Times New Roman" w:hAnsi="Times New Roman" w:cs="Times New Roman"/>
          <w:sz w:val="24"/>
          <w:szCs w:val="24"/>
        </w:rPr>
      </w:pPr>
      <w:r w:rsidRPr="008F06C2">
        <w:rPr>
          <w:rFonts w:ascii="Times New Roman" w:hAnsi="Times New Roman" w:cs="Times New Roman"/>
          <w:sz w:val="24"/>
          <w:szCs w:val="24"/>
        </w:rPr>
        <w:lastRenderedPageBreak/>
        <w:t xml:space="preserve">Dans le cadre de ce projet, l’objectif étant de construire un outil d’aide à la décision destiné à orienter les campagnes de marketing avant tout contact avec les clients, la variable </w:t>
      </w:r>
      <w:r w:rsidRPr="008F06C2">
        <w:rPr>
          <w:rFonts w:ascii="Times New Roman" w:hAnsi="Times New Roman" w:cs="Times New Roman"/>
          <w:i/>
          <w:iCs/>
          <w:sz w:val="24"/>
          <w:szCs w:val="24"/>
        </w:rPr>
        <w:t>duration</w:t>
      </w:r>
      <w:r w:rsidRPr="008F06C2">
        <w:rPr>
          <w:rFonts w:ascii="Times New Roman" w:hAnsi="Times New Roman" w:cs="Times New Roman"/>
          <w:sz w:val="24"/>
          <w:szCs w:val="24"/>
        </w:rPr>
        <w:t xml:space="preserve"> a donc été </w:t>
      </w:r>
      <w:r w:rsidRPr="008F06C2">
        <w:rPr>
          <w:rFonts w:ascii="Times New Roman" w:hAnsi="Times New Roman" w:cs="Times New Roman"/>
          <w:b/>
          <w:bCs/>
          <w:sz w:val="24"/>
          <w:szCs w:val="24"/>
        </w:rPr>
        <w:t>exclue de la phase de modélisation</w:t>
      </w:r>
      <w:r w:rsidRPr="008F06C2">
        <w:rPr>
          <w:rFonts w:ascii="Times New Roman" w:hAnsi="Times New Roman" w:cs="Times New Roman"/>
          <w:sz w:val="24"/>
          <w:szCs w:val="24"/>
        </w:rPr>
        <w:t xml:space="preserve">. Ce choix méthodologique garantit que les prédictions reposent exclusivement sur des informations disponibles </w:t>
      </w:r>
      <w:r w:rsidRPr="008F06C2">
        <w:rPr>
          <w:rFonts w:ascii="Times New Roman" w:hAnsi="Times New Roman" w:cs="Times New Roman"/>
          <w:i/>
          <w:iCs/>
          <w:sz w:val="24"/>
          <w:szCs w:val="24"/>
        </w:rPr>
        <w:t>a priori</w:t>
      </w:r>
      <w:r w:rsidRPr="008F06C2">
        <w:rPr>
          <w:rFonts w:ascii="Times New Roman" w:hAnsi="Times New Roman" w:cs="Times New Roman"/>
          <w:sz w:val="24"/>
          <w:szCs w:val="24"/>
        </w:rPr>
        <w:t xml:space="preserve"> et assure une évaluation réaliste et généralisable des modèles.</w:t>
      </w:r>
    </w:p>
    <w:p w14:paraId="56D8D266" w14:textId="352A8CE5" w:rsidR="00083E36" w:rsidRDefault="008F06C2" w:rsidP="00813728">
      <w:pPr>
        <w:spacing w:line="360" w:lineRule="auto"/>
        <w:jc w:val="both"/>
        <w:rPr>
          <w:rFonts w:ascii="Times New Roman" w:hAnsi="Times New Roman" w:cs="Times New Roman"/>
          <w:sz w:val="24"/>
          <w:szCs w:val="24"/>
        </w:rPr>
      </w:pPr>
      <w:r w:rsidRPr="008F06C2">
        <w:rPr>
          <w:rFonts w:ascii="Times New Roman" w:hAnsi="Times New Roman" w:cs="Times New Roman"/>
          <w:sz w:val="24"/>
          <w:szCs w:val="24"/>
        </w:rPr>
        <w:t xml:space="preserve">Il convient toutefois de souligner que la variable </w:t>
      </w:r>
      <w:r w:rsidRPr="008F06C2">
        <w:rPr>
          <w:rFonts w:ascii="Times New Roman" w:hAnsi="Times New Roman" w:cs="Times New Roman"/>
          <w:i/>
          <w:iCs/>
          <w:sz w:val="24"/>
          <w:szCs w:val="24"/>
        </w:rPr>
        <w:t>duration</w:t>
      </w:r>
      <w:r w:rsidRPr="008F06C2">
        <w:rPr>
          <w:rFonts w:ascii="Times New Roman" w:hAnsi="Times New Roman" w:cs="Times New Roman"/>
          <w:sz w:val="24"/>
          <w:szCs w:val="24"/>
        </w:rPr>
        <w:t xml:space="preserve"> peut conserver un intérêt analytique dans des contextes spécifiques, notamment pour analyser la qualité des échanges ou l’efficacité des scripts commerciaux après coup. Néanmoins, son exclusion dans une démarche prédictive </w:t>
      </w:r>
      <w:r w:rsidRPr="008F06C2">
        <w:rPr>
          <w:rFonts w:ascii="Times New Roman" w:hAnsi="Times New Roman" w:cs="Times New Roman"/>
          <w:i/>
          <w:iCs/>
          <w:sz w:val="24"/>
          <w:szCs w:val="24"/>
        </w:rPr>
        <w:t>ex ante</w:t>
      </w:r>
      <w:r w:rsidRPr="008F06C2">
        <w:rPr>
          <w:rFonts w:ascii="Times New Roman" w:hAnsi="Times New Roman" w:cs="Times New Roman"/>
          <w:sz w:val="24"/>
          <w:szCs w:val="24"/>
        </w:rPr>
        <w:t xml:space="preserve"> constitue une condition indispensable pour préserver la validité méthodologique et l’utilité opérationnelle </w:t>
      </w:r>
      <w:r w:rsidR="00B433E8" w:rsidRPr="008F06C2">
        <w:rPr>
          <w:rFonts w:ascii="Times New Roman" w:hAnsi="Times New Roman" w:cs="Times New Roman"/>
          <w:sz w:val="24"/>
          <w:szCs w:val="24"/>
        </w:rPr>
        <w:t>des résultats</w:t>
      </w:r>
      <w:r w:rsidR="00B433E8">
        <w:rPr>
          <w:rFonts w:ascii="Times New Roman" w:hAnsi="Times New Roman" w:cs="Times New Roman"/>
          <w:sz w:val="24"/>
          <w:szCs w:val="24"/>
        </w:rPr>
        <w:t>.</w:t>
      </w:r>
    </w:p>
    <w:p w14:paraId="56FBEA4F" w14:textId="16C2AE05" w:rsidR="00D136BE" w:rsidRPr="00656794" w:rsidRDefault="00FA38E9" w:rsidP="005407CF">
      <w:pPr>
        <w:pStyle w:val="Titre1"/>
      </w:pPr>
      <w:bookmarkStart w:id="27" w:name="_Toc221721594"/>
      <w:bookmarkStart w:id="28" w:name="OLE_LINK15"/>
      <w:r w:rsidRPr="00FA38E9">
        <w:t>Analyse non supervisée : segmentation des</w:t>
      </w:r>
      <w:r w:rsidR="005407CF">
        <w:t xml:space="preserve"> </w:t>
      </w:r>
      <w:r w:rsidRPr="00FA38E9">
        <w:t>profils clients</w:t>
      </w:r>
      <w:bookmarkEnd w:id="27"/>
      <w:r>
        <w:t xml:space="preserve"> </w:t>
      </w:r>
    </w:p>
    <w:p w14:paraId="673259AA" w14:textId="2304AE0F" w:rsidR="00D136BE" w:rsidRDefault="00083AEB" w:rsidP="00083AEB">
      <w:pPr>
        <w:pStyle w:val="Titre3"/>
        <w:numPr>
          <w:ilvl w:val="0"/>
          <w:numId w:val="28"/>
        </w:numPr>
      </w:pPr>
      <w:bookmarkStart w:id="29" w:name="_Toc221721595"/>
      <w:bookmarkEnd w:id="28"/>
      <w:r w:rsidRPr="00083AEB">
        <w:t>Objectif de la segmentation</w:t>
      </w:r>
      <w:bookmarkEnd w:id="29"/>
    </w:p>
    <w:p w14:paraId="153EF63A" w14:textId="77777777" w:rsidR="00B115B9" w:rsidRPr="00B115B9" w:rsidRDefault="00B115B9" w:rsidP="00AD2864">
      <w:pPr>
        <w:spacing w:line="360" w:lineRule="auto"/>
        <w:jc w:val="both"/>
        <w:rPr>
          <w:rFonts w:ascii="Times New Roman" w:hAnsi="Times New Roman" w:cs="Times New Roman"/>
          <w:sz w:val="24"/>
          <w:szCs w:val="24"/>
        </w:rPr>
      </w:pPr>
      <w:r w:rsidRPr="00B115B9">
        <w:rPr>
          <w:rFonts w:ascii="Times New Roman" w:hAnsi="Times New Roman" w:cs="Times New Roman"/>
          <w:sz w:val="24"/>
          <w:szCs w:val="24"/>
        </w:rPr>
        <w:t>Dans le prolongement de l’analyse prédictive, une approche non supervisée a été mise en œuvre afin d’examiner la structure interne de la base client. Contrairement aux modèles supervisés présentés précédemment, cette démarche ne mobilise pas la variable de souscription dans la construction des groupes. Elle vise à identifier des ensembles homogènes d’individus à partir de leurs caractéristiques socio-démographiques, financières et comportementales.</w:t>
      </w:r>
    </w:p>
    <w:p w14:paraId="5553096F" w14:textId="77777777" w:rsidR="00B115B9" w:rsidRPr="00B115B9" w:rsidRDefault="00B115B9" w:rsidP="00AD2864">
      <w:pPr>
        <w:spacing w:line="360" w:lineRule="auto"/>
        <w:jc w:val="both"/>
        <w:rPr>
          <w:rFonts w:ascii="Times New Roman" w:hAnsi="Times New Roman" w:cs="Times New Roman"/>
          <w:sz w:val="24"/>
          <w:szCs w:val="24"/>
        </w:rPr>
      </w:pPr>
      <w:r w:rsidRPr="00B115B9">
        <w:rPr>
          <w:rFonts w:ascii="Times New Roman" w:hAnsi="Times New Roman" w:cs="Times New Roman"/>
          <w:sz w:val="24"/>
          <w:szCs w:val="24"/>
        </w:rPr>
        <w:t>L’objectif est double. D’une part, il s’agit de déterminer si des profils distincts émergent naturellement des données, indépendamment de toute optimisation prédictive. D’autre part, cette segmentation permet d’analyser si ces groupes présentent des comportements de souscription différenciés, ce qui renforcerait l’idée que la décision d’épargne repose sur une structuration sous-jacente de la clientèle.</w:t>
      </w:r>
    </w:p>
    <w:p w14:paraId="1F284344" w14:textId="56FCE5F5" w:rsidR="008B4D55" w:rsidRPr="00C54905" w:rsidRDefault="00B115B9" w:rsidP="00AD2864">
      <w:pPr>
        <w:spacing w:line="360" w:lineRule="auto"/>
        <w:jc w:val="both"/>
        <w:rPr>
          <w:rFonts w:ascii="Times New Roman" w:hAnsi="Times New Roman" w:cs="Times New Roman"/>
          <w:sz w:val="24"/>
          <w:szCs w:val="24"/>
        </w:rPr>
      </w:pPr>
      <w:r w:rsidRPr="00B115B9">
        <w:rPr>
          <w:rFonts w:ascii="Times New Roman" w:hAnsi="Times New Roman" w:cs="Times New Roman"/>
          <w:sz w:val="24"/>
          <w:szCs w:val="24"/>
        </w:rPr>
        <w:t>Cette analyse s’inscrit ainsi dans une logique complémentaire à l’approche supervisée : là où les modèles prédictifs cherchent à estimer une probabilité individuelle, la segmentation vise à comprendre l’organisation globale des profils clients.</w:t>
      </w:r>
    </w:p>
    <w:p w14:paraId="0541C609" w14:textId="77777777" w:rsidR="008B4D55" w:rsidRDefault="008B4D55" w:rsidP="00AD2864">
      <w:pPr>
        <w:spacing w:line="360" w:lineRule="auto"/>
      </w:pPr>
    </w:p>
    <w:p w14:paraId="6C23C27B" w14:textId="46228082" w:rsidR="008B4D55" w:rsidRDefault="008B4D55" w:rsidP="00AD2864">
      <w:pPr>
        <w:pStyle w:val="Titre3"/>
        <w:spacing w:line="360" w:lineRule="auto"/>
      </w:pPr>
      <w:bookmarkStart w:id="30" w:name="_Toc221721596"/>
      <w:r w:rsidRPr="008B4D55">
        <w:lastRenderedPageBreak/>
        <w:t>Méthodologie</w:t>
      </w:r>
      <w:bookmarkEnd w:id="30"/>
    </w:p>
    <w:p w14:paraId="2C80AC57" w14:textId="77777777" w:rsidR="0014068F" w:rsidRDefault="0014068F" w:rsidP="00AD2864">
      <w:pPr>
        <w:pStyle w:val="NormalWeb"/>
        <w:spacing w:line="360" w:lineRule="auto"/>
        <w:jc w:val="both"/>
      </w:pPr>
      <w:r>
        <w:t>La segmentation a été réalisée à partir des variables explicatives uniquement, la variable de souscription étant exclue du processus de construction des clusters. Les données ont été préalablement transformées selon les mêmes principes que ceux retenus pour la modélisation supervisée (création de variables dérivées, encodage des variables catégorielles et normalisation), afin d’assurer la cohérence méthodologique de l’ensemble du projet.</w:t>
      </w:r>
    </w:p>
    <w:p w14:paraId="5F605374" w14:textId="292E5F52" w:rsidR="0014068F" w:rsidRDefault="0014068F" w:rsidP="00AD2864">
      <w:pPr>
        <w:pStyle w:val="NormalWeb"/>
        <w:spacing w:line="360" w:lineRule="auto"/>
        <w:jc w:val="both"/>
      </w:pPr>
      <w:r>
        <w:t>L’algorithme des K-means a été retenu pour sa simplicité d’interprétation et sa capacité à identifier des groupes compacts et distincts. Le nombre optimal de clusters a été déterminé à l’aide de la méthode du coude, fondée sur l’évolution de l’inertie intra-classe. Cette analyse a conduit à retenir une partition en quatre segments, offrant un compromis satisfaisant entre homogénéité interne et lisibilité des résultats.</w:t>
      </w:r>
    </w:p>
    <w:p w14:paraId="1CC2D12D" w14:textId="7B14DC9C" w:rsidR="00673837" w:rsidRDefault="00944C3A" w:rsidP="0014068F">
      <w:pPr>
        <w:pStyle w:val="NormalWeb"/>
      </w:pPr>
      <w:r w:rsidRPr="00944C3A">
        <w:rPr>
          <w:b/>
          <w:bCs/>
        </w:rPr>
        <w:t xml:space="preserve">Figure </w:t>
      </w:r>
      <w:r>
        <w:rPr>
          <w:b/>
          <w:bCs/>
        </w:rPr>
        <w:t>5</w:t>
      </w:r>
      <w:r w:rsidRPr="00944C3A">
        <w:rPr>
          <w:b/>
          <w:bCs/>
        </w:rPr>
        <w:t xml:space="preserve"> </w:t>
      </w:r>
      <w:r w:rsidR="004B4774">
        <w:rPr>
          <w:b/>
          <w:bCs/>
        </w:rPr>
        <w:t>-</w:t>
      </w:r>
      <w:r w:rsidRPr="00944C3A">
        <w:rPr>
          <w:b/>
          <w:bCs/>
        </w:rPr>
        <w:t xml:space="preserve"> Méthode du coude pour la détermination du nombre de clusters</w:t>
      </w:r>
    </w:p>
    <w:p w14:paraId="305067C5" w14:textId="2E99AF72" w:rsidR="00673837" w:rsidRDefault="00E6006A" w:rsidP="0014068F">
      <w:pPr>
        <w:pStyle w:val="NormalWeb"/>
      </w:pPr>
      <w:r>
        <w:rPr>
          <w:noProof/>
        </w:rPr>
        <w:drawing>
          <wp:inline distT="0" distB="0" distL="0" distR="0" wp14:anchorId="4701936B" wp14:editId="293DE7A4">
            <wp:extent cx="5719259" cy="3305262"/>
            <wp:effectExtent l="0" t="0" r="0" b="0"/>
            <wp:docPr id="12123246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3289" cy="3353824"/>
                    </a:xfrm>
                    <a:prstGeom prst="rect">
                      <a:avLst/>
                    </a:prstGeom>
                    <a:noFill/>
                  </pic:spPr>
                </pic:pic>
              </a:graphicData>
            </a:graphic>
          </wp:inline>
        </w:drawing>
      </w:r>
    </w:p>
    <w:p w14:paraId="62C28E23" w14:textId="0C698DA2" w:rsidR="00AD2864" w:rsidRPr="00AD2864" w:rsidRDefault="00AD2864" w:rsidP="00F57A53">
      <w:pPr>
        <w:spacing w:line="360" w:lineRule="auto"/>
        <w:jc w:val="both"/>
        <w:rPr>
          <w:rFonts w:ascii="Times New Roman" w:hAnsi="Times New Roman" w:cs="Times New Roman"/>
          <w:i/>
          <w:iCs/>
          <w:sz w:val="24"/>
          <w:szCs w:val="24"/>
        </w:rPr>
      </w:pPr>
      <w:r w:rsidRPr="00AD2864">
        <w:rPr>
          <w:rFonts w:ascii="Times New Roman" w:hAnsi="Times New Roman" w:cs="Times New Roman"/>
          <w:i/>
          <w:iCs/>
          <w:sz w:val="24"/>
          <w:szCs w:val="24"/>
        </w:rPr>
        <w:t>Source : auteurs, à partir des données UCI</w:t>
      </w:r>
    </w:p>
    <w:p w14:paraId="4D10F2B1" w14:textId="32EA54C3" w:rsidR="008B4D55" w:rsidRPr="00ED7F2A" w:rsidRDefault="00436FC5" w:rsidP="00F57A53">
      <w:pPr>
        <w:spacing w:line="360" w:lineRule="auto"/>
        <w:jc w:val="both"/>
        <w:rPr>
          <w:rFonts w:ascii="Times New Roman" w:hAnsi="Times New Roman" w:cs="Times New Roman"/>
          <w:sz w:val="24"/>
          <w:szCs w:val="24"/>
        </w:rPr>
      </w:pPr>
      <w:r w:rsidRPr="00ED7F2A">
        <w:rPr>
          <w:rFonts w:ascii="Times New Roman" w:hAnsi="Times New Roman" w:cs="Times New Roman"/>
          <w:sz w:val="24"/>
          <w:szCs w:val="24"/>
        </w:rPr>
        <w:t xml:space="preserve">La </w:t>
      </w:r>
      <w:r w:rsidR="002469F2">
        <w:rPr>
          <w:rFonts w:ascii="Times New Roman" w:hAnsi="Times New Roman" w:cs="Times New Roman"/>
          <w:sz w:val="24"/>
          <w:szCs w:val="24"/>
        </w:rPr>
        <w:t>f</w:t>
      </w:r>
      <w:r w:rsidRPr="00ED7F2A">
        <w:rPr>
          <w:rFonts w:ascii="Times New Roman" w:hAnsi="Times New Roman" w:cs="Times New Roman"/>
          <w:sz w:val="24"/>
          <w:szCs w:val="24"/>
        </w:rPr>
        <w:t xml:space="preserve">igure présente l’évolution de l’inertie intra-classe (WSS) en fonction du nombre de clusters. La courbe montre une diminution progressive de l’inertie à mesure que le nombre de groupes augmente, traduisant une amélioration mécanique de l’ajustement. Une inflexion relative est observable autour de </w:t>
      </w:r>
      <w:r w:rsidRPr="00ED7F2A">
        <w:rPr>
          <w:rStyle w:val="Accentuation"/>
          <w:rFonts w:ascii="Times New Roman" w:hAnsi="Times New Roman" w:cs="Times New Roman"/>
          <w:sz w:val="24"/>
          <w:szCs w:val="24"/>
        </w:rPr>
        <w:t>k = 4</w:t>
      </w:r>
      <w:r w:rsidRPr="00ED7F2A">
        <w:rPr>
          <w:rFonts w:ascii="Times New Roman" w:hAnsi="Times New Roman" w:cs="Times New Roman"/>
          <w:sz w:val="24"/>
          <w:szCs w:val="24"/>
        </w:rPr>
        <w:t xml:space="preserve">, au-delà de laquelle la baisse devient plus régulière et moins </w:t>
      </w:r>
      <w:r w:rsidRPr="00ED7F2A">
        <w:rPr>
          <w:rFonts w:ascii="Times New Roman" w:hAnsi="Times New Roman" w:cs="Times New Roman"/>
          <w:sz w:val="24"/>
          <w:szCs w:val="24"/>
        </w:rPr>
        <w:lastRenderedPageBreak/>
        <w:t>marquée. Ce résultat suggère qu’une partition en quatre clusters constitue un compromis satisfaisant entre réduction de l’hétérogénéité interne et complexité du modèle.</w:t>
      </w:r>
    </w:p>
    <w:p w14:paraId="62F71FFE" w14:textId="77777777" w:rsidR="008B4D55" w:rsidRDefault="008B4D55" w:rsidP="008B4D55"/>
    <w:p w14:paraId="5FCD8579" w14:textId="4DA7150F" w:rsidR="00A13D99" w:rsidRDefault="006E73B7" w:rsidP="00A13D99">
      <w:pPr>
        <w:pStyle w:val="Titre3"/>
      </w:pPr>
      <w:bookmarkStart w:id="31" w:name="_Toc221721597"/>
      <w:r w:rsidRPr="006E73B7">
        <w:t>Résultats</w:t>
      </w:r>
      <w:bookmarkEnd w:id="31"/>
    </w:p>
    <w:p w14:paraId="42DCB7D6" w14:textId="18153C6F" w:rsidR="006C100B" w:rsidRPr="00DD1BEB" w:rsidRDefault="006C100B" w:rsidP="00DD1BEB">
      <w:pPr>
        <w:spacing w:line="360" w:lineRule="auto"/>
        <w:jc w:val="both"/>
        <w:rPr>
          <w:rFonts w:ascii="Times New Roman" w:hAnsi="Times New Roman" w:cs="Times New Roman"/>
          <w:sz w:val="24"/>
          <w:szCs w:val="24"/>
        </w:rPr>
      </w:pPr>
      <w:r w:rsidRPr="00DD1BEB">
        <w:rPr>
          <w:rFonts w:ascii="Times New Roman" w:hAnsi="Times New Roman" w:cs="Times New Roman"/>
          <w:sz w:val="24"/>
          <w:szCs w:val="24"/>
        </w:rPr>
        <w:t>La segmentation obtenue met en évidence quatre groupes de tailles relativement équilibrées. L’analyse a posteriori des taux de souscription par cluster révèle des différences marquées entre les segments. Le cluster le plus favorable présente un taux de souscription de 23,1 %, tandis que le cluster le moins réceptif n’atteint que 6,7 %</w:t>
      </w:r>
      <w:r w:rsidR="0034411B">
        <w:rPr>
          <w:rFonts w:ascii="Times New Roman" w:hAnsi="Times New Roman" w:cs="Times New Roman"/>
          <w:sz w:val="24"/>
          <w:szCs w:val="24"/>
        </w:rPr>
        <w:t xml:space="preserve"> </w:t>
      </w:r>
      <w:r w:rsidR="0034411B" w:rsidRPr="0034411B">
        <w:rPr>
          <w:rFonts w:ascii="Times New Roman" w:hAnsi="Times New Roman" w:cs="Times New Roman"/>
          <w:sz w:val="24"/>
          <w:szCs w:val="24"/>
        </w:rPr>
        <w:t>(</w:t>
      </w:r>
      <w:r w:rsidR="0034411B" w:rsidRPr="0034411B">
        <w:rPr>
          <w:rFonts w:ascii="Times New Roman" w:hAnsi="Times New Roman" w:cs="Times New Roman"/>
          <w:i/>
          <w:iCs/>
          <w:sz w:val="24"/>
          <w:szCs w:val="24"/>
        </w:rPr>
        <w:t>Voire annexe 9</w:t>
      </w:r>
      <w:r w:rsidR="0034411B" w:rsidRPr="0034411B">
        <w:rPr>
          <w:rFonts w:ascii="Times New Roman" w:hAnsi="Times New Roman" w:cs="Times New Roman"/>
          <w:sz w:val="24"/>
          <w:szCs w:val="24"/>
        </w:rPr>
        <w:t>)</w:t>
      </w:r>
      <w:r w:rsidRPr="00DD1BEB">
        <w:rPr>
          <w:rFonts w:ascii="Times New Roman" w:hAnsi="Times New Roman" w:cs="Times New Roman"/>
          <w:sz w:val="24"/>
          <w:szCs w:val="24"/>
        </w:rPr>
        <w:t>. Ces écarts significatifs suggèrent l’existence de profils structurellement plus enclins à souscrire à un dépôt à terme.</w:t>
      </w:r>
    </w:p>
    <w:p w14:paraId="3E3FB424" w14:textId="341B2498" w:rsidR="00A13D99" w:rsidRPr="00DD1BEB" w:rsidRDefault="006C100B" w:rsidP="00DD1BEB">
      <w:pPr>
        <w:spacing w:line="360" w:lineRule="auto"/>
        <w:jc w:val="both"/>
        <w:rPr>
          <w:rFonts w:ascii="Times New Roman" w:hAnsi="Times New Roman" w:cs="Times New Roman"/>
          <w:sz w:val="24"/>
          <w:szCs w:val="24"/>
        </w:rPr>
      </w:pPr>
      <w:bookmarkStart w:id="32" w:name="OLE_LINK19"/>
      <w:bookmarkStart w:id="33" w:name="OLE_LINK20"/>
      <w:r w:rsidRPr="00DD1BEB">
        <w:rPr>
          <w:rFonts w:ascii="Times New Roman" w:hAnsi="Times New Roman" w:cs="Times New Roman"/>
          <w:sz w:val="24"/>
          <w:szCs w:val="24"/>
        </w:rPr>
        <w:t>Ces résultats confirment que la base client n’est pas homogène et que la probabilité de souscription varie selon des configurations de caractéristiques spécifiques. La segmentation vient ainsi renforcer les enseignements issus des modèles supervisés en apportant une lecture complémentaire, centrée sur l’organisation globale des profils plutôt que sur la seule performance prédictive.</w:t>
      </w:r>
      <w:r w:rsidR="00493A67">
        <w:rPr>
          <w:rFonts w:ascii="Times New Roman" w:hAnsi="Times New Roman" w:cs="Times New Roman"/>
          <w:sz w:val="24"/>
          <w:szCs w:val="24"/>
        </w:rPr>
        <w:t xml:space="preserve"> </w:t>
      </w:r>
      <w:r w:rsidR="00493A67" w:rsidRPr="00493A67">
        <w:rPr>
          <w:rFonts w:ascii="Times New Roman" w:hAnsi="Times New Roman" w:cs="Times New Roman"/>
          <w:sz w:val="24"/>
          <w:szCs w:val="24"/>
        </w:rPr>
        <w:t>Pour compléter cette analyse et apprécier graphiquement la séparation des segments, une représentation des clusters sur les deux premières composantes principales a été réalisée.</w:t>
      </w:r>
    </w:p>
    <w:bookmarkEnd w:id="32"/>
    <w:p w14:paraId="63771CF9" w14:textId="39921A7E" w:rsidR="00A13D99" w:rsidRPr="00AD2864" w:rsidRDefault="00AD2864" w:rsidP="00A13D99">
      <w:pPr>
        <w:rPr>
          <w:rFonts w:ascii="Times New Roman" w:hAnsi="Times New Roman" w:cs="Times New Roman"/>
          <w:b/>
          <w:bCs/>
          <w:sz w:val="24"/>
          <w:szCs w:val="24"/>
        </w:rPr>
      </w:pPr>
      <w:r w:rsidRPr="00AD2864">
        <w:rPr>
          <w:rFonts w:ascii="Times New Roman" w:hAnsi="Times New Roman" w:cs="Times New Roman"/>
          <w:b/>
          <w:bCs/>
          <w:sz w:val="24"/>
          <w:szCs w:val="24"/>
        </w:rPr>
        <w:t>Figure 6 - Projection des clusters sur le plan factoriel (ACP)</w:t>
      </w:r>
    </w:p>
    <w:p w14:paraId="6DF1E4C6" w14:textId="7B47271E" w:rsidR="00A13D99" w:rsidRDefault="00874A27" w:rsidP="00A13D99">
      <w:r>
        <w:rPr>
          <w:noProof/>
        </w:rPr>
        <w:drawing>
          <wp:inline distT="0" distB="0" distL="0" distR="0" wp14:anchorId="4A54A3F7" wp14:editId="474ABD3B">
            <wp:extent cx="5643081" cy="3305262"/>
            <wp:effectExtent l="0" t="0" r="0" b="0"/>
            <wp:docPr id="7570188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36" cy="3352972"/>
                    </a:xfrm>
                    <a:prstGeom prst="rect">
                      <a:avLst/>
                    </a:prstGeom>
                    <a:noFill/>
                  </pic:spPr>
                </pic:pic>
              </a:graphicData>
            </a:graphic>
          </wp:inline>
        </w:drawing>
      </w:r>
    </w:p>
    <w:p w14:paraId="46CE31A1" w14:textId="34F04EC6" w:rsidR="007F1920" w:rsidRPr="00AD2864" w:rsidRDefault="00AD2864" w:rsidP="00A13D99">
      <w:pPr>
        <w:rPr>
          <w:rFonts w:ascii="Times New Roman" w:hAnsi="Times New Roman" w:cs="Times New Roman"/>
          <w:i/>
          <w:iCs/>
        </w:rPr>
      </w:pPr>
      <w:r w:rsidRPr="00AD2864">
        <w:rPr>
          <w:rFonts w:ascii="Times New Roman" w:hAnsi="Times New Roman" w:cs="Times New Roman"/>
          <w:i/>
          <w:iCs/>
        </w:rPr>
        <w:t>Source : auteurs, à partir des données UCI</w:t>
      </w:r>
    </w:p>
    <w:p w14:paraId="375430DA" w14:textId="77777777" w:rsidR="002758DA" w:rsidRDefault="007F1920" w:rsidP="002758DA">
      <w:pPr>
        <w:pStyle w:val="NormalWeb"/>
        <w:spacing w:line="360" w:lineRule="auto"/>
        <w:jc w:val="both"/>
      </w:pPr>
      <w:r>
        <w:lastRenderedPageBreak/>
        <w:t>La Figure X présente la projection des individus sur les deux premières composantes principales issues de l’analyse en composantes principales. Ces deux axes expliquent respectivement 8,9 % et 7,3 % de la variance totale, soit environ 16 % cumulés. Cette proportion relativement modérée implique que la représentation bidimensionnelle ne restitue qu’une partie de la structure globale des données</w:t>
      </w:r>
      <w:bookmarkEnd w:id="33"/>
      <w:r>
        <w:t>.</w:t>
      </w:r>
    </w:p>
    <w:p w14:paraId="5552219D" w14:textId="3ECF71F9" w:rsidR="007F1920" w:rsidRDefault="007F1920" w:rsidP="002758DA">
      <w:pPr>
        <w:pStyle w:val="NormalWeb"/>
        <w:spacing w:line="360" w:lineRule="auto"/>
        <w:jc w:val="both"/>
      </w:pPr>
      <w:r>
        <w:t>La visualisation met néanmoins en évidence des zones de concentration distinctes correspondant aux quatre clusters identifiés par l’algorithme K-means. Si un recouvrement partiel est observable entre certains groupes, notamment au centre de la projection, des différences de dispersion et de position apparaissent clairement, en particulier pour le cluster le plus étendu sur l’axe principal.</w:t>
      </w:r>
    </w:p>
    <w:p w14:paraId="4AE05735" w14:textId="77777777" w:rsidR="007F1920" w:rsidRDefault="007F1920" w:rsidP="002758DA">
      <w:pPr>
        <w:pStyle w:val="NormalWeb"/>
        <w:spacing w:line="360" w:lineRule="auto"/>
        <w:jc w:val="both"/>
      </w:pPr>
      <w:r>
        <w:t>Cette représentation confirme que la segmentation capte des structures différenciées au sein de la base client, même si la séparation visuelle reste partielle du fait de la réduction de dimension. La partition ayant été construite dans l’espace complet des variables transformées, la projection en deux dimensions constitue une approximation simplifiée de la séparation réelle.</w:t>
      </w:r>
    </w:p>
    <w:p w14:paraId="53BBC9F3" w14:textId="77777777" w:rsidR="007F1920" w:rsidRDefault="007F1920" w:rsidP="00A13D99"/>
    <w:p w14:paraId="5F7C727A" w14:textId="77777777" w:rsidR="00A13D99" w:rsidRDefault="00A13D99" w:rsidP="00A13D99"/>
    <w:p w14:paraId="67AD88AF" w14:textId="77777777" w:rsidR="00A13D99" w:rsidRDefault="00A13D99" w:rsidP="00A13D99"/>
    <w:p w14:paraId="7FBC5AE2" w14:textId="77777777" w:rsidR="00AD2864" w:rsidRDefault="00AD2864" w:rsidP="00A13D99"/>
    <w:p w14:paraId="6C6E146D" w14:textId="77777777" w:rsidR="00AD2864" w:rsidRDefault="00AD2864" w:rsidP="00A13D99"/>
    <w:p w14:paraId="219AAB1F" w14:textId="77777777" w:rsidR="00AD2864" w:rsidRDefault="00AD2864" w:rsidP="00A13D99"/>
    <w:p w14:paraId="2B82FBD7" w14:textId="77777777" w:rsidR="00AD2864" w:rsidRDefault="00AD2864" w:rsidP="00A13D99"/>
    <w:p w14:paraId="4DBDAFC4" w14:textId="77777777" w:rsidR="00AD2864" w:rsidRDefault="00AD2864" w:rsidP="00A13D99"/>
    <w:p w14:paraId="63DFA973" w14:textId="77777777" w:rsidR="00AD2864" w:rsidRDefault="00AD2864" w:rsidP="00A13D99"/>
    <w:p w14:paraId="10739B4D" w14:textId="77777777" w:rsidR="00AD2864" w:rsidRDefault="00AD2864" w:rsidP="00A13D99"/>
    <w:p w14:paraId="762ADE11" w14:textId="77777777" w:rsidR="00AD2864" w:rsidRDefault="00AD2864" w:rsidP="00A13D99"/>
    <w:p w14:paraId="4B6B63C4" w14:textId="77777777" w:rsidR="00AD2864" w:rsidRDefault="00AD2864" w:rsidP="00A13D99"/>
    <w:p w14:paraId="18BED921" w14:textId="77777777" w:rsidR="00AD2864" w:rsidRDefault="00AD2864" w:rsidP="00A13D99"/>
    <w:p w14:paraId="44CDA064" w14:textId="77777777" w:rsidR="00A13D99" w:rsidRDefault="00A13D99" w:rsidP="00A13D99"/>
    <w:p w14:paraId="0F5B7BE7" w14:textId="77777777" w:rsidR="00A13D99" w:rsidRDefault="00A13D99" w:rsidP="00A13D99"/>
    <w:p w14:paraId="7B7F5322" w14:textId="77777777" w:rsidR="00A13D99" w:rsidRPr="00A13D99" w:rsidRDefault="00A13D99" w:rsidP="00A13D99"/>
    <w:p w14:paraId="3FE2A66B" w14:textId="329BC48E" w:rsidR="00656794" w:rsidRPr="00656794" w:rsidRDefault="00656794" w:rsidP="005407CF">
      <w:pPr>
        <w:pStyle w:val="Titre1"/>
      </w:pPr>
      <w:bookmarkStart w:id="34" w:name="_Toc221721598"/>
      <w:bookmarkStart w:id="35" w:name="OLE_LINK14"/>
      <w:bookmarkStart w:id="36" w:name="OLE_LINK25"/>
      <w:r w:rsidRPr="00656794">
        <w:lastRenderedPageBreak/>
        <w:t>Stratégie de modélisation</w:t>
      </w:r>
      <w:r w:rsidR="00286B3B">
        <w:t xml:space="preserve"> </w:t>
      </w:r>
      <w:r w:rsidR="00BC59F3">
        <w:t>-</w:t>
      </w:r>
      <w:r w:rsidR="00286B3B">
        <w:t xml:space="preserve"> </w:t>
      </w:r>
      <w:r w:rsidR="00BC59F3">
        <w:t>m</w:t>
      </w:r>
      <w:r w:rsidR="00D1486F">
        <w:t>odèle supervisés</w:t>
      </w:r>
      <w:bookmarkEnd w:id="34"/>
    </w:p>
    <w:bookmarkEnd w:id="35"/>
    <w:p w14:paraId="15B487CB"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Cette partie présente la stratégie de modélisation retenue pour prédire la souscription à un dépôt à terme bancaire. Elle détaille la gestion du déséquilibre des classes, le choix des algorithmes utilisés ainsi que le protocole d’évaluation mis en place afin de comparer les modèles de manière rigoureuse et pertinente dans une optique opérationnelle.</w:t>
      </w:r>
    </w:p>
    <w:p w14:paraId="6BB71EE5" w14:textId="77777777" w:rsidR="00656794" w:rsidRPr="00656794" w:rsidRDefault="00656794" w:rsidP="00083AEB">
      <w:pPr>
        <w:pStyle w:val="Titre3"/>
        <w:numPr>
          <w:ilvl w:val="0"/>
          <w:numId w:val="24"/>
        </w:numPr>
      </w:pPr>
      <w:bookmarkStart w:id="37" w:name="_Toc221721599"/>
      <w:r w:rsidRPr="00656794">
        <w:t>Gestion du déséquilibre des classes</w:t>
      </w:r>
      <w:bookmarkEnd w:id="37"/>
    </w:p>
    <w:p w14:paraId="23E655FB"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Le jeu de données étudié se caractérise par un déséquilibre marqué de la variable cible, la souscription représentant une minorité des observations. Ce type de configuration est fréquent dans les applications de marketing et de détection d’événements rares, où la classe d’intérêt est structurellement minoritaire (He &amp; Garcia, 2009). Dans un tel contexte, les algorithmes d’apprentissage supervisé tendent naturellement à privilégier la classe majoritaire, ce qui peut conduire à des modèles affichant de bonnes performances globales tout en détectant mal les souscripteurs, pourtant au cœur de l’objectif métier.</w:t>
      </w:r>
    </w:p>
    <w:p w14:paraId="1CF525EA"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Afin de répondre à cette problématique, le déséquilibre des classes a été pris en compte directement lors de la phase de modélisation par une pondération des observations. Les observations appartenant à la classe minoritaire (souscription = yes) ont été affectées d’un poids plus élevé, proportionnellement à leur rareté dans l’échantillon d’apprentissage. Cette approche est particulièrement recommandée dans les situations de données déséquilibrées, car elle permet d’améliorer la détection de la classe rare sans modifier artificiellement la structure des données (King &amp; Zeng, 2001).</w:t>
      </w:r>
    </w:p>
    <w:p w14:paraId="65BBAEF6"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Ce choix a été privilégié par rapport aux méthodes de rééchantillonnage (sur- ou sous-échantillonnage), qui peuvent introduire du bruit, réduire la diversité des observations ou conduire à une perte d’information. La pondération des observations permet ainsi de conserver l’intégralité du jeu de données tout en orientant l’apprentissage vers l’objectif principal, à savoir l’identification des clients susceptibles de souscrire.</w:t>
      </w:r>
    </w:p>
    <w:p w14:paraId="1F259BAB" w14:textId="77777777" w:rsidR="00656794" w:rsidRPr="00656794" w:rsidRDefault="00656794" w:rsidP="00083AEB">
      <w:pPr>
        <w:pStyle w:val="Titre3"/>
      </w:pPr>
      <w:bookmarkStart w:id="38" w:name="_Toc221721600"/>
      <w:r w:rsidRPr="00656794">
        <w:t>Présentation des algorithmes utilisés</w:t>
      </w:r>
      <w:bookmarkEnd w:id="38"/>
    </w:p>
    <w:p w14:paraId="09C9E60B"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Trois familles de modèles ont été mobilisées afin de comparer des approches de complexité croissante et d’évaluer le compromis entre interprétabilité et performance prédictive.</w:t>
      </w:r>
    </w:p>
    <w:p w14:paraId="6B740C62"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 xml:space="preserve">La régression logistique a été utilisée comme modèle de référence. Introduite par Cox (1958), elle est largement utilisée pour les problèmes de classification binaire et permet d’estimer directement la probabilité de survenue d’un événement en fonction de variables explicatives. </w:t>
      </w:r>
      <w:r w:rsidRPr="00656794">
        <w:rPr>
          <w:rFonts w:ascii="Times New Roman" w:hAnsi="Times New Roman" w:cs="Times New Roman"/>
          <w:sz w:val="24"/>
          <w:szCs w:val="24"/>
        </w:rPr>
        <w:lastRenderedPageBreak/>
        <w:t>Son principal avantage réside dans son fort niveau d’interprétabilité, les coefficients estimés pouvant être traduits en effets marginaux ou en odds ratios. Dans ce projet, elle constitue une baseline robuste et fournit un point de comparaison essentiel pour l’évaluation des modèles plus complexes.</w:t>
      </w:r>
    </w:p>
    <w:p w14:paraId="0D3DD5EF"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La Random Forest, proposée par Breiman (2001), a ensuite été mobilisée comme modèle orienté performance. Cette méthode repose sur l’agrégation d’un ensemble d’arbres de décision construits à partir de sous-échantillons aléatoires des données et de sous-ensembles aléatoires de variables. Elle permet de capter des relations non linéaires et des interactions complexes entre les variables, tout en limitant le risque de sur-apprentissage. Sa robustesse aux valeurs extrêmes et à la multicolinéarité en fait un algorithme particulièrement adapté aux données hétérogènes issues du marketing bancaire.</w:t>
      </w:r>
    </w:p>
    <w:p w14:paraId="24E9FA7C"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Enfin, le modèle XGBoost s’inscrit dans la famille des méthodes de boosting basées sur l’optimisation par gradient (Friedman, 2001). Son implémentation efficace et régularisée, proposée par Chen et Guestrin (2016), en a fait une référence en matière de performance prédictive pour les problèmes de classification supervisée, en particulier en présence de données déséquilibrées. Dans ce projet, XGBoost permet de maximiser la capacité de discrimination du modèle tout en conservant un contrôle fin sur la complexité et le sur-apprentissage.</w:t>
      </w:r>
    </w:p>
    <w:p w14:paraId="5C3B5868" w14:textId="77777777" w:rsidR="00656794" w:rsidRPr="00656794" w:rsidRDefault="00656794" w:rsidP="00083AEB">
      <w:pPr>
        <w:pStyle w:val="Titre3"/>
      </w:pPr>
      <w:bookmarkStart w:id="39" w:name="_Toc221721601"/>
      <w:r w:rsidRPr="00656794">
        <w:t>Protocole d’évaluation des modèles</w:t>
      </w:r>
      <w:bookmarkEnd w:id="39"/>
    </w:p>
    <w:p w14:paraId="1220D24E" w14:textId="2170B015"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 xml:space="preserve">L’évaluation des modèles a été réalisée selon un protocole rigoureux afin d’assurer la comparabilité et la fiabilité des résultats. Dans un premier temps, une validation croisée stratifiée a été mise en œuvre sur le jeu d’apprentissage afin d’estimer les performances moyennes des modèles et de sélectionner les éventuels </w:t>
      </w:r>
      <w:r w:rsidR="0034411B" w:rsidRPr="00656794">
        <w:rPr>
          <w:rFonts w:ascii="Times New Roman" w:hAnsi="Times New Roman" w:cs="Times New Roman"/>
          <w:sz w:val="24"/>
          <w:szCs w:val="24"/>
        </w:rPr>
        <w:t>hyperparamètres</w:t>
      </w:r>
      <w:r w:rsidR="0034411B">
        <w:rPr>
          <w:rFonts w:ascii="Times New Roman" w:hAnsi="Times New Roman" w:cs="Times New Roman"/>
          <w:sz w:val="24"/>
          <w:szCs w:val="24"/>
        </w:rPr>
        <w:t xml:space="preserve"> (</w:t>
      </w:r>
      <w:r w:rsidR="0034411B" w:rsidRPr="0034411B">
        <w:rPr>
          <w:rFonts w:ascii="Times New Roman" w:hAnsi="Times New Roman" w:cs="Times New Roman"/>
          <w:i/>
          <w:iCs/>
          <w:sz w:val="24"/>
          <w:szCs w:val="24"/>
        </w:rPr>
        <w:t>Voire annexe 10</w:t>
      </w:r>
      <w:r w:rsidR="0034411B" w:rsidRPr="0034411B">
        <w:rPr>
          <w:rFonts w:ascii="Times New Roman" w:hAnsi="Times New Roman" w:cs="Times New Roman"/>
          <w:sz w:val="24"/>
          <w:szCs w:val="24"/>
        </w:rPr>
        <w:t>)</w:t>
      </w:r>
      <w:r w:rsidRPr="00656794">
        <w:rPr>
          <w:rFonts w:ascii="Times New Roman" w:hAnsi="Times New Roman" w:cs="Times New Roman"/>
          <w:sz w:val="24"/>
          <w:szCs w:val="24"/>
        </w:rPr>
        <w:t>. Cette approche permet de réduire la dépendance aux choix d’échantillonnage et d’obtenir des estimations plus stables et plus robustes (Hastie, Tibshirani &amp; Friedman, 2009).</w:t>
      </w:r>
    </w:p>
    <w:p w14:paraId="364F58D2"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Le jeu de test, mis de côté dès le début de l’analyse, a ensuite été utilisé exclusivement pour l’évaluation finale des modèles retenus. Cette séparation stricte garantit une estimation réaliste des performances, dans des conditions proches de l’utilisation opérationnelle, et permet d’éviter toute fuite d’information.</w:t>
      </w:r>
    </w:p>
    <w:p w14:paraId="6F64DC9B" w14:textId="77777777" w:rsidR="00656794" w:rsidRPr="00656794"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 xml:space="preserve">Compte tenu du déséquilibre de la variable cible et de l’objectif métier du projet, les métriques d’évaluation ont été choisies avec soin. L’accuracy, fortement influencée par la classe majoritaire, a été écartée car elle peut donner une vision trompeuse des performances dans un contexte déséquilibré (Provost &amp; Fawcett, 2013). Le recall de la classe positive a été privilégié, </w:t>
      </w:r>
      <w:r w:rsidRPr="00656794">
        <w:rPr>
          <w:rFonts w:ascii="Times New Roman" w:hAnsi="Times New Roman" w:cs="Times New Roman"/>
          <w:sz w:val="24"/>
          <w:szCs w:val="24"/>
        </w:rPr>
        <w:lastRenderedPageBreak/>
        <w:t xml:space="preserve">car il mesure directement la capacité du modèle à identifier les clients susceptibles de souscrire. L’aire sous la courbe ROC (AUC) a également été retenue afin d’évaluer la capacité globale de discrimination </w:t>
      </w:r>
      <w:bookmarkEnd w:id="25"/>
      <w:r w:rsidRPr="00656794">
        <w:rPr>
          <w:rFonts w:ascii="Times New Roman" w:hAnsi="Times New Roman" w:cs="Times New Roman"/>
          <w:sz w:val="24"/>
          <w:szCs w:val="24"/>
        </w:rPr>
        <w:t>des modèles, indépendamment du seuil de décision choisi.</w:t>
      </w:r>
    </w:p>
    <w:p w14:paraId="352C0958" w14:textId="2F5B283E" w:rsidR="00B001DC" w:rsidRDefault="00656794" w:rsidP="00813728">
      <w:pPr>
        <w:spacing w:line="360" w:lineRule="auto"/>
        <w:jc w:val="both"/>
        <w:rPr>
          <w:rFonts w:ascii="Times New Roman" w:hAnsi="Times New Roman" w:cs="Times New Roman"/>
          <w:sz w:val="24"/>
          <w:szCs w:val="24"/>
        </w:rPr>
      </w:pPr>
      <w:r w:rsidRPr="00656794">
        <w:rPr>
          <w:rFonts w:ascii="Times New Roman" w:hAnsi="Times New Roman" w:cs="Times New Roman"/>
          <w:sz w:val="24"/>
          <w:szCs w:val="24"/>
        </w:rPr>
        <w:t>Ce protocole d’évaluation permet ainsi de comparer les modèles de manière cohérente, en mettant l’accent sur leur utilité réelle pour le ciblage des campagnes de marketing bancaire.</w:t>
      </w:r>
      <w:bookmarkStart w:id="40" w:name="OLE_LINK22"/>
      <w:bookmarkStart w:id="41" w:name="OLE_LINK34"/>
    </w:p>
    <w:p w14:paraId="73CB6300" w14:textId="28D4A4F5" w:rsidR="00BA0D75" w:rsidRPr="00BA0D75" w:rsidRDefault="00BA0D75" w:rsidP="005407CF">
      <w:pPr>
        <w:pStyle w:val="Titre1"/>
      </w:pPr>
      <w:bookmarkStart w:id="42" w:name="_Toc221721602"/>
      <w:r w:rsidRPr="00BA0D75">
        <w:t>Résultats et recommandations</w:t>
      </w:r>
      <w:bookmarkEnd w:id="42"/>
    </w:p>
    <w:p w14:paraId="56EE348F" w14:textId="3A34F557" w:rsidR="00B366CB" w:rsidRPr="00B366CB" w:rsidRDefault="00B366CB" w:rsidP="00813728">
      <w:pPr>
        <w:spacing w:line="360" w:lineRule="auto"/>
        <w:jc w:val="both"/>
        <w:rPr>
          <w:rFonts w:ascii="Times New Roman" w:hAnsi="Times New Roman" w:cs="Times New Roman"/>
          <w:sz w:val="24"/>
          <w:szCs w:val="24"/>
        </w:rPr>
      </w:pPr>
      <w:bookmarkStart w:id="43" w:name="OLE_LINK27"/>
      <w:r w:rsidRPr="00B366CB">
        <w:rPr>
          <w:rFonts w:ascii="Times New Roman" w:hAnsi="Times New Roman" w:cs="Times New Roman"/>
          <w:sz w:val="24"/>
          <w:szCs w:val="24"/>
        </w:rPr>
        <w:t>Cette partie présente les résultats obtenus par les différents modèles prédictifs évalués sur le jeu de test, puis en propose une interprétation métier à travers l’analyse des variables explicatives et une simulation opérationnelle de ciblage des campagnes. L’objectif est de dépasser la seule performance statistique pour fournir des recommandations concrètes à destination des équipes commerciales.</w:t>
      </w:r>
    </w:p>
    <w:p w14:paraId="0B633888" w14:textId="67ECDDA3" w:rsidR="00B366CB" w:rsidRPr="00B366CB" w:rsidRDefault="00B366CB" w:rsidP="00083AEB">
      <w:pPr>
        <w:pStyle w:val="Titre3"/>
        <w:numPr>
          <w:ilvl w:val="0"/>
          <w:numId w:val="25"/>
        </w:numPr>
      </w:pPr>
      <w:bookmarkStart w:id="44" w:name="_Toc221721603"/>
      <w:r w:rsidRPr="00B366CB">
        <w:t>Comparaison des performances des modèles sur le jeu de test</w:t>
      </w:r>
      <w:bookmarkEnd w:id="44"/>
    </w:p>
    <w:p w14:paraId="787C6011" w14:textId="77777777" w:rsidR="00B366CB" w:rsidRPr="00B366C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Trois modèles ont été comparés : une régression logistique pondérée, une Random Forest et un modèle XGBoost. Les performances ont été évaluées sur le jeu de test, resté totalement indépendant des phases d’apprentissage et de validation, afin de garantir une estimation réaliste en conditions opérationnelles.</w:t>
      </w:r>
    </w:p>
    <w:p w14:paraId="567E61E3" w14:textId="23022C6D" w:rsidR="00B366CB" w:rsidRPr="00B366C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L</w:t>
      </w:r>
      <w:r w:rsidR="00F044E3">
        <w:rPr>
          <w:rFonts w:ascii="Times New Roman" w:hAnsi="Times New Roman" w:cs="Times New Roman"/>
          <w:sz w:val="24"/>
          <w:szCs w:val="24"/>
        </w:rPr>
        <w:t xml:space="preserve">a </w:t>
      </w:r>
      <w:r w:rsidRPr="00B366CB">
        <w:rPr>
          <w:rFonts w:ascii="Times New Roman" w:hAnsi="Times New Roman" w:cs="Times New Roman"/>
          <w:sz w:val="24"/>
          <w:szCs w:val="24"/>
        </w:rPr>
        <w:t>synthèse</w:t>
      </w:r>
      <w:r w:rsidR="00F044E3">
        <w:rPr>
          <w:rFonts w:ascii="Times New Roman" w:hAnsi="Times New Roman" w:cs="Times New Roman"/>
          <w:sz w:val="24"/>
          <w:szCs w:val="24"/>
        </w:rPr>
        <w:t xml:space="preserve"> des resultats</w:t>
      </w:r>
      <w:r w:rsidRPr="00B366CB">
        <w:rPr>
          <w:rFonts w:ascii="Times New Roman" w:hAnsi="Times New Roman" w:cs="Times New Roman"/>
          <w:sz w:val="24"/>
          <w:szCs w:val="24"/>
        </w:rPr>
        <w:t xml:space="preserve"> met en évidence des performances différenciées selon les modèles :</w:t>
      </w:r>
    </w:p>
    <w:p w14:paraId="497E2917" w14:textId="77777777" w:rsidR="00B366CB" w:rsidRPr="00B366CB" w:rsidRDefault="00B366CB" w:rsidP="00813728">
      <w:pPr>
        <w:numPr>
          <w:ilvl w:val="0"/>
          <w:numId w:val="14"/>
        </w:num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 xml:space="preserve">la </w:t>
      </w:r>
      <w:r w:rsidRPr="00B366CB">
        <w:rPr>
          <w:rFonts w:ascii="Times New Roman" w:hAnsi="Times New Roman" w:cs="Times New Roman"/>
          <w:b/>
          <w:bCs/>
          <w:sz w:val="24"/>
          <w:szCs w:val="24"/>
        </w:rPr>
        <w:t>régression logistique</w:t>
      </w:r>
      <w:r w:rsidRPr="00B366CB">
        <w:rPr>
          <w:rFonts w:ascii="Times New Roman" w:hAnsi="Times New Roman" w:cs="Times New Roman"/>
          <w:sz w:val="24"/>
          <w:szCs w:val="24"/>
        </w:rPr>
        <w:t xml:space="preserve"> atteint une AUC de </w:t>
      </w:r>
      <w:r w:rsidRPr="00B366CB">
        <w:rPr>
          <w:rFonts w:ascii="Times New Roman" w:hAnsi="Times New Roman" w:cs="Times New Roman"/>
          <w:b/>
          <w:bCs/>
          <w:sz w:val="24"/>
          <w:szCs w:val="24"/>
        </w:rPr>
        <w:t>0,749</w:t>
      </w:r>
      <w:r w:rsidRPr="00B366CB">
        <w:rPr>
          <w:rFonts w:ascii="Times New Roman" w:hAnsi="Times New Roman" w:cs="Times New Roman"/>
          <w:sz w:val="24"/>
          <w:szCs w:val="24"/>
        </w:rPr>
        <w:t xml:space="preserve"> et un recall de </w:t>
      </w:r>
      <w:r w:rsidRPr="00B366CB">
        <w:rPr>
          <w:rFonts w:ascii="Times New Roman" w:hAnsi="Times New Roman" w:cs="Times New Roman"/>
          <w:b/>
          <w:bCs/>
          <w:sz w:val="24"/>
          <w:szCs w:val="24"/>
        </w:rPr>
        <w:t>0,165</w:t>
      </w:r>
      <w:r w:rsidRPr="00B366CB">
        <w:rPr>
          <w:rFonts w:ascii="Times New Roman" w:hAnsi="Times New Roman" w:cs="Times New Roman"/>
          <w:sz w:val="24"/>
          <w:szCs w:val="24"/>
        </w:rPr>
        <w:t xml:space="preserve"> ;</w:t>
      </w:r>
    </w:p>
    <w:p w14:paraId="07FB3937" w14:textId="3D4F966F" w:rsidR="00B366CB" w:rsidRPr="00B366CB" w:rsidRDefault="00B366CB" w:rsidP="00813728">
      <w:pPr>
        <w:numPr>
          <w:ilvl w:val="0"/>
          <w:numId w:val="14"/>
        </w:num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 xml:space="preserve">la </w:t>
      </w:r>
      <w:r w:rsidRPr="00B366CB">
        <w:rPr>
          <w:rFonts w:ascii="Times New Roman" w:hAnsi="Times New Roman" w:cs="Times New Roman"/>
          <w:b/>
          <w:bCs/>
          <w:sz w:val="24"/>
          <w:szCs w:val="24"/>
        </w:rPr>
        <w:t>Random Forest</w:t>
      </w:r>
      <w:r w:rsidRPr="00B366CB">
        <w:rPr>
          <w:rFonts w:ascii="Times New Roman" w:hAnsi="Times New Roman" w:cs="Times New Roman"/>
          <w:sz w:val="24"/>
          <w:szCs w:val="24"/>
        </w:rPr>
        <w:t xml:space="preserve"> obtient la meilleure AUC (</w:t>
      </w:r>
      <w:r w:rsidRPr="00B366CB">
        <w:rPr>
          <w:rFonts w:ascii="Times New Roman" w:hAnsi="Times New Roman" w:cs="Times New Roman"/>
          <w:b/>
          <w:bCs/>
          <w:sz w:val="24"/>
          <w:szCs w:val="24"/>
        </w:rPr>
        <w:t>0,774</w:t>
      </w:r>
      <w:r w:rsidRPr="00B366CB">
        <w:rPr>
          <w:rFonts w:ascii="Times New Roman" w:hAnsi="Times New Roman" w:cs="Times New Roman"/>
          <w:sz w:val="24"/>
          <w:szCs w:val="24"/>
        </w:rPr>
        <w:t>), mais un recall plus faible (</w:t>
      </w:r>
      <w:r w:rsidRPr="00B366CB">
        <w:rPr>
          <w:rFonts w:ascii="Times New Roman" w:hAnsi="Times New Roman" w:cs="Times New Roman"/>
          <w:b/>
          <w:bCs/>
          <w:sz w:val="24"/>
          <w:szCs w:val="24"/>
        </w:rPr>
        <w:t>0,146</w:t>
      </w:r>
      <w:r w:rsidRPr="00B366CB">
        <w:rPr>
          <w:rFonts w:ascii="Times New Roman" w:hAnsi="Times New Roman" w:cs="Times New Roman"/>
          <w:sz w:val="24"/>
          <w:szCs w:val="24"/>
        </w:rPr>
        <w:t xml:space="preserve">) </w:t>
      </w:r>
    </w:p>
    <w:p w14:paraId="4D2D5B44" w14:textId="4A870506" w:rsidR="00627CE4" w:rsidRDefault="00B366CB" w:rsidP="00813728">
      <w:pPr>
        <w:numPr>
          <w:ilvl w:val="0"/>
          <w:numId w:val="14"/>
        </w:num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 xml:space="preserve">le </w:t>
      </w:r>
      <w:r w:rsidRPr="00B366CB">
        <w:rPr>
          <w:rFonts w:ascii="Times New Roman" w:hAnsi="Times New Roman" w:cs="Times New Roman"/>
          <w:b/>
          <w:bCs/>
          <w:sz w:val="24"/>
          <w:szCs w:val="24"/>
        </w:rPr>
        <w:t>modèle XGBoost</w:t>
      </w:r>
      <w:r w:rsidRPr="00B366CB">
        <w:rPr>
          <w:rFonts w:ascii="Times New Roman" w:hAnsi="Times New Roman" w:cs="Times New Roman"/>
          <w:sz w:val="24"/>
          <w:szCs w:val="24"/>
        </w:rPr>
        <w:t xml:space="preserve"> présente une AUC légèrement inférieure (</w:t>
      </w:r>
      <w:r w:rsidRPr="00B366CB">
        <w:rPr>
          <w:rFonts w:ascii="Times New Roman" w:hAnsi="Times New Roman" w:cs="Times New Roman"/>
          <w:b/>
          <w:bCs/>
          <w:sz w:val="24"/>
          <w:szCs w:val="24"/>
        </w:rPr>
        <w:t>0,739</w:t>
      </w:r>
      <w:r w:rsidRPr="00B366CB">
        <w:rPr>
          <w:rFonts w:ascii="Times New Roman" w:hAnsi="Times New Roman" w:cs="Times New Roman"/>
          <w:sz w:val="24"/>
          <w:szCs w:val="24"/>
        </w:rPr>
        <w:t xml:space="preserve">), mais le </w:t>
      </w:r>
      <w:r w:rsidRPr="00B366CB">
        <w:rPr>
          <w:rFonts w:ascii="Times New Roman" w:hAnsi="Times New Roman" w:cs="Times New Roman"/>
          <w:b/>
          <w:bCs/>
          <w:sz w:val="24"/>
          <w:szCs w:val="24"/>
        </w:rPr>
        <w:t>meilleur recall</w:t>
      </w:r>
      <w:r w:rsidRPr="00B366CB">
        <w:rPr>
          <w:rFonts w:ascii="Times New Roman" w:hAnsi="Times New Roman" w:cs="Times New Roman"/>
          <w:sz w:val="24"/>
          <w:szCs w:val="24"/>
        </w:rPr>
        <w:t xml:space="preserve"> (</w:t>
      </w:r>
      <w:r w:rsidRPr="00B366CB">
        <w:rPr>
          <w:rFonts w:ascii="Times New Roman" w:hAnsi="Times New Roman" w:cs="Times New Roman"/>
          <w:b/>
          <w:bCs/>
          <w:sz w:val="24"/>
          <w:szCs w:val="24"/>
        </w:rPr>
        <w:t>0,207</w:t>
      </w:r>
      <w:r w:rsidRPr="00B366CB">
        <w:rPr>
          <w:rFonts w:ascii="Times New Roman" w:hAnsi="Times New Roman" w:cs="Times New Roman"/>
          <w:sz w:val="24"/>
          <w:szCs w:val="24"/>
        </w:rPr>
        <w:t>).</w:t>
      </w:r>
    </w:p>
    <w:p w14:paraId="664629BD" w14:textId="42E676CD" w:rsidR="00627CE4" w:rsidRDefault="00627CE4" w:rsidP="00813728">
      <w:pPr>
        <w:spacing w:line="360" w:lineRule="auto"/>
        <w:jc w:val="both"/>
        <w:rPr>
          <w:rFonts w:ascii="Times New Roman" w:hAnsi="Times New Roman" w:cs="Times New Roman"/>
          <w:sz w:val="24"/>
          <w:szCs w:val="24"/>
        </w:rPr>
      </w:pPr>
      <w:r w:rsidRPr="00627CE4">
        <w:rPr>
          <w:rFonts w:ascii="Times New Roman" w:hAnsi="Times New Roman" w:cs="Times New Roman"/>
          <w:sz w:val="24"/>
          <w:szCs w:val="24"/>
        </w:rPr>
        <w:t>La figure suivante présente les courbes ROC des trois modèles évalués sur le jeu de test. Elle permet de comparer visuellement leur capacité de discrimination globale, indépendamment du seuil de décision retenu.</w:t>
      </w:r>
    </w:p>
    <w:p w14:paraId="76113766" w14:textId="77777777" w:rsidR="00086D1D" w:rsidRPr="00086D1D" w:rsidRDefault="00086D1D" w:rsidP="00086D1D">
      <w:pPr>
        <w:rPr>
          <w:rFonts w:ascii="Times New Roman" w:hAnsi="Times New Roman" w:cs="Times New Roman"/>
          <w:sz w:val="24"/>
          <w:szCs w:val="24"/>
        </w:rPr>
      </w:pPr>
    </w:p>
    <w:p w14:paraId="1763FFF8" w14:textId="77777777" w:rsidR="00086D1D" w:rsidRDefault="00086D1D" w:rsidP="00086D1D">
      <w:pPr>
        <w:rPr>
          <w:rFonts w:ascii="Times New Roman" w:hAnsi="Times New Roman" w:cs="Times New Roman"/>
          <w:sz w:val="24"/>
          <w:szCs w:val="24"/>
        </w:rPr>
      </w:pPr>
    </w:p>
    <w:p w14:paraId="258199CE" w14:textId="77777777" w:rsidR="00316246" w:rsidRDefault="00316246" w:rsidP="00086D1D">
      <w:pPr>
        <w:rPr>
          <w:rFonts w:ascii="Times New Roman" w:hAnsi="Times New Roman" w:cs="Times New Roman"/>
          <w:b/>
          <w:bCs/>
          <w:sz w:val="24"/>
          <w:szCs w:val="24"/>
        </w:rPr>
      </w:pPr>
    </w:p>
    <w:p w14:paraId="1F819DB3" w14:textId="77777777" w:rsidR="00795420" w:rsidRDefault="00795420" w:rsidP="00086D1D">
      <w:pPr>
        <w:rPr>
          <w:rFonts w:ascii="Times New Roman" w:hAnsi="Times New Roman" w:cs="Times New Roman"/>
          <w:b/>
          <w:bCs/>
          <w:sz w:val="24"/>
          <w:szCs w:val="24"/>
        </w:rPr>
      </w:pPr>
    </w:p>
    <w:p w14:paraId="588BA7E7" w14:textId="132F6594" w:rsidR="00086D1D" w:rsidRPr="009335A6" w:rsidRDefault="00086D1D" w:rsidP="00086D1D">
      <w:pPr>
        <w:rPr>
          <w:rFonts w:ascii="Times New Roman" w:hAnsi="Times New Roman" w:cs="Times New Roman"/>
          <w:b/>
          <w:bCs/>
          <w:sz w:val="24"/>
          <w:szCs w:val="24"/>
        </w:rPr>
      </w:pPr>
      <w:r w:rsidRPr="009335A6">
        <w:rPr>
          <w:rFonts w:ascii="Times New Roman" w:hAnsi="Times New Roman" w:cs="Times New Roman"/>
          <w:b/>
          <w:bCs/>
          <w:sz w:val="24"/>
          <w:szCs w:val="24"/>
        </w:rPr>
        <w:lastRenderedPageBreak/>
        <w:t xml:space="preserve">Figure </w:t>
      </w:r>
      <w:r w:rsidR="00AD2864">
        <w:rPr>
          <w:rFonts w:ascii="Times New Roman" w:hAnsi="Times New Roman" w:cs="Times New Roman"/>
          <w:b/>
          <w:bCs/>
          <w:sz w:val="24"/>
          <w:szCs w:val="24"/>
        </w:rPr>
        <w:t>7</w:t>
      </w:r>
      <w:r w:rsidRPr="009335A6">
        <w:rPr>
          <w:rFonts w:ascii="Times New Roman" w:hAnsi="Times New Roman" w:cs="Times New Roman"/>
          <w:b/>
          <w:bCs/>
          <w:sz w:val="24"/>
          <w:szCs w:val="24"/>
        </w:rPr>
        <w:t xml:space="preserve"> </w:t>
      </w:r>
      <w:r w:rsidR="009335A6" w:rsidRPr="009335A6">
        <w:rPr>
          <w:rFonts w:ascii="Times New Roman" w:hAnsi="Times New Roman" w:cs="Times New Roman"/>
          <w:b/>
          <w:bCs/>
          <w:sz w:val="24"/>
          <w:szCs w:val="24"/>
        </w:rPr>
        <w:t>-</w:t>
      </w:r>
      <w:r w:rsidRPr="009335A6">
        <w:rPr>
          <w:rFonts w:ascii="Times New Roman" w:hAnsi="Times New Roman" w:cs="Times New Roman"/>
          <w:b/>
          <w:bCs/>
          <w:sz w:val="24"/>
          <w:szCs w:val="24"/>
        </w:rPr>
        <w:t xml:space="preserve"> Évaluation comparative des performances prédictives via la courbe ROC</w:t>
      </w:r>
    </w:p>
    <w:p w14:paraId="4966BE91" w14:textId="7A730EAD" w:rsidR="00E8305D" w:rsidRPr="009B41FC" w:rsidRDefault="00E8305D" w:rsidP="00813728">
      <w:pPr>
        <w:spacing w:line="360" w:lineRule="auto"/>
        <w:jc w:val="both"/>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49AA1488" wp14:editId="2A8CF552">
            <wp:extent cx="5724525" cy="3467100"/>
            <wp:effectExtent l="0" t="0" r="9525" b="0"/>
            <wp:docPr id="1754087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467100"/>
                    </a:xfrm>
                    <a:prstGeom prst="rect">
                      <a:avLst/>
                    </a:prstGeom>
                    <a:noFill/>
                  </pic:spPr>
                </pic:pic>
              </a:graphicData>
            </a:graphic>
          </wp:inline>
        </w:drawing>
      </w:r>
      <w:r w:rsidR="009B41FC" w:rsidRPr="009B41FC">
        <w:rPr>
          <w:rFonts w:ascii="Times New Roman" w:hAnsi="Times New Roman" w:cs="Times New Roman"/>
          <w:i/>
          <w:iCs/>
          <w:sz w:val="24"/>
          <w:szCs w:val="24"/>
        </w:rPr>
        <w:t xml:space="preserve"> </w:t>
      </w:r>
      <w:r w:rsidR="009B41FC" w:rsidRPr="00E10748">
        <w:rPr>
          <w:rFonts w:ascii="Times New Roman" w:hAnsi="Times New Roman" w:cs="Times New Roman"/>
          <w:i/>
          <w:iCs/>
          <w:sz w:val="24"/>
          <w:szCs w:val="24"/>
        </w:rPr>
        <w:t>Source : auteurs, à partir des données UCI</w:t>
      </w:r>
    </w:p>
    <w:p w14:paraId="09A5241A" w14:textId="77777777" w:rsidR="00D34A2B" w:rsidRPr="00D34A2B" w:rsidRDefault="00D34A2B" w:rsidP="00813728">
      <w:pPr>
        <w:spacing w:line="360" w:lineRule="auto"/>
        <w:jc w:val="both"/>
        <w:rPr>
          <w:rFonts w:ascii="Times New Roman" w:hAnsi="Times New Roman" w:cs="Times New Roman"/>
          <w:sz w:val="24"/>
          <w:szCs w:val="24"/>
        </w:rPr>
      </w:pPr>
      <w:r w:rsidRPr="00D34A2B">
        <w:rPr>
          <w:rFonts w:ascii="Times New Roman" w:hAnsi="Times New Roman" w:cs="Times New Roman"/>
          <w:sz w:val="24"/>
          <w:szCs w:val="24"/>
        </w:rPr>
        <w:t>Ces résultats illustrent un compromis classique entre capacité de discrimination globale (AUC) et capacité à détecter la classe minoritaire (recall). À seuil de décision standard, XGBoost apparaît comme le modèle le plus performant pour détecter proportionnellement les souscripteurs, tandis que la Random Forest se distingue par une meilleure capacité globale de classement des individus.</w:t>
      </w:r>
    </w:p>
    <w:p w14:paraId="019FC747" w14:textId="4254FC46" w:rsidR="00B366CB" w:rsidRDefault="00D34A2B" w:rsidP="00813728">
      <w:pPr>
        <w:spacing w:line="360" w:lineRule="auto"/>
        <w:jc w:val="both"/>
        <w:rPr>
          <w:rFonts w:ascii="Times New Roman" w:hAnsi="Times New Roman" w:cs="Times New Roman"/>
          <w:sz w:val="24"/>
          <w:szCs w:val="24"/>
        </w:rPr>
      </w:pPr>
      <w:r w:rsidRPr="00D34A2B">
        <w:rPr>
          <w:rFonts w:ascii="Times New Roman" w:hAnsi="Times New Roman" w:cs="Times New Roman"/>
          <w:sz w:val="24"/>
          <w:szCs w:val="24"/>
        </w:rPr>
        <w:t>Toutefois, dans un contexte de marketing bancaire, le seuil de décision n’est pas figé et doit être ajusté en fonction des objectifs opérationnels et des contraintes de prospection. Une analyse à seuil métier est donc indispensable.</w:t>
      </w:r>
    </w:p>
    <w:p w14:paraId="0E37C705" w14:textId="77777777" w:rsidR="00D5552B" w:rsidRPr="00D5552B" w:rsidRDefault="00D5552B" w:rsidP="00083AEB">
      <w:pPr>
        <w:pStyle w:val="Titre3"/>
      </w:pPr>
      <w:bookmarkStart w:id="45" w:name="_Toc221721604"/>
      <w:r w:rsidRPr="00D5552B">
        <w:t>Analyse comparative à seuil de décision métier (20 %)</w:t>
      </w:r>
      <w:bookmarkEnd w:id="45"/>
    </w:p>
    <w:p w14:paraId="704CB179" w14:textId="4811CA4B" w:rsidR="00D5552B" w:rsidRPr="00B366CB" w:rsidRDefault="00D5552B" w:rsidP="00813728">
      <w:pPr>
        <w:spacing w:line="360" w:lineRule="auto"/>
        <w:jc w:val="both"/>
        <w:rPr>
          <w:rFonts w:ascii="Times New Roman" w:hAnsi="Times New Roman" w:cs="Times New Roman"/>
          <w:sz w:val="24"/>
          <w:szCs w:val="24"/>
        </w:rPr>
      </w:pPr>
      <w:r w:rsidRPr="00D5552B">
        <w:rPr>
          <w:rFonts w:ascii="Times New Roman" w:hAnsi="Times New Roman" w:cs="Times New Roman"/>
          <w:sz w:val="24"/>
          <w:szCs w:val="24"/>
        </w:rPr>
        <w:t>Afin de simuler une stratégie de ciblage plus offensive et mieux alignée avec les enjeux commerciaux, les performances des modèles ont été analysées à un seuil de décision abaissé à 20 %. Le tableau ci-dessous présente les matrices de confusion associées.</w:t>
      </w:r>
    </w:p>
    <w:p w14:paraId="4CCCEC41" w14:textId="77777777" w:rsidR="004C4D00" w:rsidRDefault="004C4D00" w:rsidP="00813728">
      <w:pPr>
        <w:spacing w:line="360" w:lineRule="auto"/>
        <w:jc w:val="both"/>
        <w:rPr>
          <w:rFonts w:ascii="Times New Roman" w:hAnsi="Times New Roman" w:cs="Times New Roman"/>
          <w:b/>
          <w:bCs/>
          <w:sz w:val="24"/>
          <w:szCs w:val="24"/>
        </w:rPr>
      </w:pPr>
    </w:p>
    <w:p w14:paraId="7A2300AF" w14:textId="77777777" w:rsidR="004C4D00" w:rsidRDefault="004C4D00" w:rsidP="00813728">
      <w:pPr>
        <w:spacing w:line="360" w:lineRule="auto"/>
        <w:jc w:val="both"/>
        <w:rPr>
          <w:rFonts w:ascii="Times New Roman" w:hAnsi="Times New Roman" w:cs="Times New Roman"/>
          <w:b/>
          <w:bCs/>
          <w:sz w:val="24"/>
          <w:szCs w:val="24"/>
        </w:rPr>
      </w:pPr>
    </w:p>
    <w:p w14:paraId="6600C961" w14:textId="5665790D" w:rsidR="00DE07B9" w:rsidRPr="00AB4487" w:rsidRDefault="00DE07B9" w:rsidP="00813728">
      <w:pPr>
        <w:spacing w:line="360" w:lineRule="auto"/>
        <w:jc w:val="both"/>
        <w:rPr>
          <w:rFonts w:ascii="Times New Roman" w:hAnsi="Times New Roman" w:cs="Times New Roman"/>
          <w:b/>
          <w:bCs/>
          <w:sz w:val="24"/>
          <w:szCs w:val="24"/>
        </w:rPr>
      </w:pPr>
      <w:bookmarkStart w:id="46" w:name="OLE_LINK5"/>
      <w:r w:rsidRPr="00DE07B9">
        <w:rPr>
          <w:rFonts w:ascii="Times New Roman" w:hAnsi="Times New Roman" w:cs="Times New Roman"/>
          <w:b/>
          <w:bCs/>
          <w:sz w:val="24"/>
          <w:szCs w:val="24"/>
        </w:rPr>
        <w:lastRenderedPageBreak/>
        <w:t>Tableau</w:t>
      </w:r>
      <w:r w:rsidR="0039553D">
        <w:rPr>
          <w:rFonts w:ascii="Times New Roman" w:hAnsi="Times New Roman" w:cs="Times New Roman"/>
          <w:b/>
          <w:bCs/>
          <w:sz w:val="24"/>
          <w:szCs w:val="24"/>
        </w:rPr>
        <w:t xml:space="preserve"> 3</w:t>
      </w:r>
      <w:r w:rsidRPr="00DE07B9">
        <w:rPr>
          <w:rFonts w:ascii="Times New Roman" w:hAnsi="Times New Roman" w:cs="Times New Roman"/>
          <w:b/>
          <w:bCs/>
          <w:sz w:val="24"/>
          <w:szCs w:val="24"/>
        </w:rPr>
        <w:t xml:space="preserve"> </w:t>
      </w:r>
      <w:r w:rsidR="0039553D">
        <w:rPr>
          <w:rFonts w:ascii="Times New Roman" w:hAnsi="Times New Roman" w:cs="Times New Roman"/>
          <w:b/>
          <w:bCs/>
          <w:sz w:val="24"/>
          <w:szCs w:val="24"/>
        </w:rPr>
        <w:t xml:space="preserve">- </w:t>
      </w:r>
      <w:r w:rsidRPr="00DE07B9">
        <w:rPr>
          <w:rFonts w:ascii="Times New Roman" w:hAnsi="Times New Roman" w:cs="Times New Roman"/>
          <w:b/>
          <w:bCs/>
          <w:sz w:val="24"/>
          <w:szCs w:val="24"/>
        </w:rPr>
        <w:t>Seuil de décision 20 %</w:t>
      </w:r>
      <w:r w:rsidR="00B374A7">
        <w:rPr>
          <w:rStyle w:val="Appelnotedebasdep"/>
          <w:rFonts w:ascii="Times New Roman" w:hAnsi="Times New Roman" w:cs="Times New Roman"/>
          <w:b/>
          <w:bCs/>
          <w:sz w:val="24"/>
          <w:szCs w:val="24"/>
        </w:rPr>
        <w:footnoteReference w:id="1"/>
      </w:r>
      <w:bookmarkStart w:id="47" w:name="OLE_LINK31"/>
    </w:p>
    <w:tbl>
      <w:tblPr>
        <w:tblStyle w:val="Tableausimple2"/>
        <w:tblW w:w="0" w:type="auto"/>
        <w:tblLook w:val="06A0" w:firstRow="1" w:lastRow="0" w:firstColumn="1" w:lastColumn="0" w:noHBand="1" w:noVBand="1"/>
      </w:tblPr>
      <w:tblGrid>
        <w:gridCol w:w="1616"/>
        <w:gridCol w:w="1329"/>
        <w:gridCol w:w="1125"/>
        <w:gridCol w:w="1439"/>
        <w:gridCol w:w="1256"/>
        <w:gridCol w:w="1000"/>
        <w:gridCol w:w="1307"/>
      </w:tblGrid>
      <w:tr w:rsidR="00F343A7" w:rsidRPr="00F343A7" w14:paraId="21474F01" w14:textId="77777777" w:rsidTr="00F3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hideMark/>
          </w:tcPr>
          <w:p w14:paraId="7BAC39F0" w14:textId="77777777" w:rsidR="00F343A7" w:rsidRPr="00F343A7" w:rsidRDefault="00F343A7" w:rsidP="00813728">
            <w:pPr>
              <w:spacing w:after="160" w:line="360" w:lineRule="auto"/>
              <w:jc w:val="both"/>
              <w:rPr>
                <w:rFonts w:ascii="Times New Roman" w:hAnsi="Times New Roman" w:cs="Times New Roman"/>
                <w:sz w:val="24"/>
                <w:szCs w:val="24"/>
              </w:rPr>
            </w:pPr>
            <w:bookmarkStart w:id="48" w:name="_Hlk223905339"/>
            <w:bookmarkStart w:id="49" w:name="OLE_LINK3"/>
            <w:bookmarkEnd w:id="47"/>
            <w:r w:rsidRPr="00F343A7">
              <w:rPr>
                <w:rFonts w:ascii="Times New Roman" w:hAnsi="Times New Roman" w:cs="Times New Roman"/>
                <w:sz w:val="24"/>
                <w:szCs w:val="24"/>
              </w:rPr>
              <w:t>Modèle</w:t>
            </w:r>
          </w:p>
        </w:tc>
        <w:tc>
          <w:tcPr>
            <w:tcW w:w="0" w:type="auto"/>
            <w:tcBorders>
              <w:top w:val="double" w:sz="4" w:space="0" w:color="auto"/>
              <w:bottom w:val="double" w:sz="4" w:space="0" w:color="auto"/>
            </w:tcBorders>
            <w:hideMark/>
          </w:tcPr>
          <w:p w14:paraId="1937A3B3" w14:textId="77777777" w:rsidR="00F343A7" w:rsidRPr="00F343A7" w:rsidRDefault="00F343A7" w:rsidP="0081372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Vrais négatifs (TN)</w:t>
            </w:r>
          </w:p>
        </w:tc>
        <w:tc>
          <w:tcPr>
            <w:tcW w:w="1125" w:type="dxa"/>
            <w:tcBorders>
              <w:top w:val="double" w:sz="4" w:space="0" w:color="auto"/>
              <w:bottom w:val="double" w:sz="4" w:space="0" w:color="auto"/>
            </w:tcBorders>
            <w:hideMark/>
          </w:tcPr>
          <w:p w14:paraId="068FD915" w14:textId="77777777" w:rsidR="00F343A7" w:rsidRPr="00F343A7" w:rsidRDefault="00F343A7" w:rsidP="0081372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Faux positifs (FP)</w:t>
            </w:r>
          </w:p>
        </w:tc>
        <w:tc>
          <w:tcPr>
            <w:tcW w:w="1439" w:type="dxa"/>
            <w:tcBorders>
              <w:top w:val="double" w:sz="4" w:space="0" w:color="auto"/>
              <w:bottom w:val="double" w:sz="4" w:space="0" w:color="auto"/>
            </w:tcBorders>
            <w:hideMark/>
          </w:tcPr>
          <w:p w14:paraId="57879FF1" w14:textId="77777777" w:rsidR="00F343A7" w:rsidRPr="00F343A7" w:rsidRDefault="00F343A7" w:rsidP="0081372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Faux négatifs (FN)</w:t>
            </w:r>
          </w:p>
        </w:tc>
        <w:tc>
          <w:tcPr>
            <w:tcW w:w="0" w:type="auto"/>
            <w:tcBorders>
              <w:top w:val="double" w:sz="4" w:space="0" w:color="auto"/>
              <w:bottom w:val="double" w:sz="4" w:space="0" w:color="auto"/>
            </w:tcBorders>
            <w:hideMark/>
          </w:tcPr>
          <w:p w14:paraId="090FCBED" w14:textId="77777777" w:rsidR="00F343A7" w:rsidRPr="00F343A7" w:rsidRDefault="00F343A7" w:rsidP="0081372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Vrais positifs (TP)</w:t>
            </w:r>
          </w:p>
        </w:tc>
        <w:tc>
          <w:tcPr>
            <w:tcW w:w="0" w:type="auto"/>
            <w:tcBorders>
              <w:top w:val="double" w:sz="4" w:space="0" w:color="auto"/>
              <w:bottom w:val="double" w:sz="4" w:space="0" w:color="auto"/>
            </w:tcBorders>
            <w:hideMark/>
          </w:tcPr>
          <w:p w14:paraId="3E0F01BD" w14:textId="77777777" w:rsidR="00F343A7" w:rsidRPr="00F343A7" w:rsidRDefault="00F343A7" w:rsidP="0081372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Recall (yes)</w:t>
            </w:r>
          </w:p>
        </w:tc>
        <w:tc>
          <w:tcPr>
            <w:tcW w:w="0" w:type="auto"/>
            <w:tcBorders>
              <w:top w:val="double" w:sz="4" w:space="0" w:color="auto"/>
              <w:bottom w:val="double" w:sz="4" w:space="0" w:color="auto"/>
            </w:tcBorders>
            <w:hideMark/>
          </w:tcPr>
          <w:p w14:paraId="60C283CE" w14:textId="77777777" w:rsidR="00F343A7" w:rsidRPr="00F343A7" w:rsidRDefault="00F343A7" w:rsidP="0081372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Precision (yes)</w:t>
            </w:r>
          </w:p>
        </w:tc>
      </w:tr>
      <w:tr w:rsidR="00F343A7" w:rsidRPr="00F343A7" w14:paraId="51FEC40B" w14:textId="77777777" w:rsidTr="00F343A7">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hideMark/>
          </w:tcPr>
          <w:p w14:paraId="47AE92AF" w14:textId="77777777" w:rsidR="00F343A7" w:rsidRPr="00F343A7" w:rsidRDefault="00F343A7" w:rsidP="00813728">
            <w:pPr>
              <w:spacing w:after="160" w:line="360" w:lineRule="auto"/>
              <w:jc w:val="both"/>
              <w:rPr>
                <w:rFonts w:ascii="Times New Roman" w:hAnsi="Times New Roman" w:cs="Times New Roman"/>
                <w:sz w:val="24"/>
                <w:szCs w:val="24"/>
              </w:rPr>
            </w:pPr>
            <w:r w:rsidRPr="00F343A7">
              <w:rPr>
                <w:rFonts w:ascii="Times New Roman" w:hAnsi="Times New Roman" w:cs="Times New Roman"/>
                <w:sz w:val="24"/>
                <w:szCs w:val="24"/>
              </w:rPr>
              <w:t>Régression logistique</w:t>
            </w:r>
          </w:p>
        </w:tc>
        <w:tc>
          <w:tcPr>
            <w:tcW w:w="0" w:type="auto"/>
            <w:tcBorders>
              <w:top w:val="double" w:sz="4" w:space="0" w:color="auto"/>
            </w:tcBorders>
            <w:hideMark/>
          </w:tcPr>
          <w:p w14:paraId="0F3E1BB1"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10 991</w:t>
            </w:r>
          </w:p>
        </w:tc>
        <w:tc>
          <w:tcPr>
            <w:tcW w:w="1125" w:type="dxa"/>
            <w:tcBorders>
              <w:top w:val="double" w:sz="4" w:space="0" w:color="auto"/>
            </w:tcBorders>
            <w:hideMark/>
          </w:tcPr>
          <w:p w14:paraId="5CB92027"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986</w:t>
            </w:r>
          </w:p>
        </w:tc>
        <w:tc>
          <w:tcPr>
            <w:tcW w:w="1439" w:type="dxa"/>
            <w:tcBorders>
              <w:top w:val="double" w:sz="4" w:space="0" w:color="auto"/>
            </w:tcBorders>
            <w:hideMark/>
          </w:tcPr>
          <w:p w14:paraId="4513639D"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978</w:t>
            </w:r>
          </w:p>
        </w:tc>
        <w:tc>
          <w:tcPr>
            <w:tcW w:w="0" w:type="auto"/>
            <w:tcBorders>
              <w:top w:val="double" w:sz="4" w:space="0" w:color="auto"/>
            </w:tcBorders>
            <w:hideMark/>
          </w:tcPr>
          <w:p w14:paraId="13E16A03"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609</w:t>
            </w:r>
          </w:p>
        </w:tc>
        <w:tc>
          <w:tcPr>
            <w:tcW w:w="0" w:type="auto"/>
            <w:tcBorders>
              <w:top w:val="double" w:sz="4" w:space="0" w:color="auto"/>
            </w:tcBorders>
            <w:hideMark/>
          </w:tcPr>
          <w:p w14:paraId="49AC9EC0"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b/>
                <w:bCs/>
                <w:sz w:val="24"/>
                <w:szCs w:val="24"/>
              </w:rPr>
              <w:t>0,384</w:t>
            </w:r>
          </w:p>
        </w:tc>
        <w:tc>
          <w:tcPr>
            <w:tcW w:w="0" w:type="auto"/>
            <w:tcBorders>
              <w:top w:val="double" w:sz="4" w:space="0" w:color="auto"/>
            </w:tcBorders>
            <w:hideMark/>
          </w:tcPr>
          <w:p w14:paraId="7E530549"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0,382</w:t>
            </w:r>
          </w:p>
        </w:tc>
      </w:tr>
      <w:tr w:rsidR="00F343A7" w:rsidRPr="00F343A7" w14:paraId="3C66DF5A" w14:textId="77777777" w:rsidTr="00F343A7">
        <w:tc>
          <w:tcPr>
            <w:cnfStyle w:val="001000000000" w:firstRow="0" w:lastRow="0" w:firstColumn="1" w:lastColumn="0" w:oddVBand="0" w:evenVBand="0" w:oddHBand="0" w:evenHBand="0" w:firstRowFirstColumn="0" w:firstRowLastColumn="0" w:lastRowFirstColumn="0" w:lastRowLastColumn="0"/>
            <w:tcW w:w="0" w:type="auto"/>
            <w:hideMark/>
          </w:tcPr>
          <w:p w14:paraId="35B3C405" w14:textId="77777777" w:rsidR="00F343A7" w:rsidRPr="00F343A7" w:rsidRDefault="00F343A7" w:rsidP="00813728">
            <w:pPr>
              <w:spacing w:after="160" w:line="360" w:lineRule="auto"/>
              <w:jc w:val="both"/>
              <w:rPr>
                <w:rFonts w:ascii="Times New Roman" w:hAnsi="Times New Roman" w:cs="Times New Roman"/>
                <w:sz w:val="24"/>
                <w:szCs w:val="24"/>
              </w:rPr>
            </w:pPr>
            <w:r w:rsidRPr="00F343A7">
              <w:rPr>
                <w:rFonts w:ascii="Times New Roman" w:hAnsi="Times New Roman" w:cs="Times New Roman"/>
                <w:sz w:val="24"/>
                <w:szCs w:val="24"/>
              </w:rPr>
              <w:t>Random Forest</w:t>
            </w:r>
          </w:p>
        </w:tc>
        <w:tc>
          <w:tcPr>
            <w:tcW w:w="0" w:type="auto"/>
            <w:hideMark/>
          </w:tcPr>
          <w:p w14:paraId="4C73CE7B"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10 920</w:t>
            </w:r>
          </w:p>
        </w:tc>
        <w:tc>
          <w:tcPr>
            <w:tcW w:w="1125" w:type="dxa"/>
            <w:hideMark/>
          </w:tcPr>
          <w:p w14:paraId="11C51649"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1 057</w:t>
            </w:r>
          </w:p>
        </w:tc>
        <w:tc>
          <w:tcPr>
            <w:tcW w:w="1439" w:type="dxa"/>
            <w:hideMark/>
          </w:tcPr>
          <w:p w14:paraId="50F49A94"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880</w:t>
            </w:r>
          </w:p>
        </w:tc>
        <w:tc>
          <w:tcPr>
            <w:tcW w:w="0" w:type="auto"/>
            <w:hideMark/>
          </w:tcPr>
          <w:p w14:paraId="52DAF21C"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707</w:t>
            </w:r>
          </w:p>
        </w:tc>
        <w:tc>
          <w:tcPr>
            <w:tcW w:w="0" w:type="auto"/>
            <w:hideMark/>
          </w:tcPr>
          <w:p w14:paraId="34870DEA"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b/>
                <w:bCs/>
                <w:sz w:val="24"/>
                <w:szCs w:val="24"/>
              </w:rPr>
              <w:t>0,445</w:t>
            </w:r>
          </w:p>
        </w:tc>
        <w:tc>
          <w:tcPr>
            <w:tcW w:w="0" w:type="auto"/>
            <w:hideMark/>
          </w:tcPr>
          <w:p w14:paraId="3C2D9982"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0,401</w:t>
            </w:r>
          </w:p>
        </w:tc>
      </w:tr>
      <w:tr w:rsidR="00F343A7" w:rsidRPr="00F343A7" w14:paraId="1346F407" w14:textId="77777777" w:rsidTr="004D50DC">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auto"/>
            </w:tcBorders>
            <w:hideMark/>
          </w:tcPr>
          <w:p w14:paraId="51935257" w14:textId="77777777" w:rsidR="00F343A7" w:rsidRPr="00F343A7" w:rsidRDefault="00F343A7" w:rsidP="00813728">
            <w:pPr>
              <w:spacing w:after="160" w:line="360" w:lineRule="auto"/>
              <w:jc w:val="both"/>
              <w:rPr>
                <w:rFonts w:ascii="Times New Roman" w:hAnsi="Times New Roman" w:cs="Times New Roman"/>
                <w:sz w:val="24"/>
                <w:szCs w:val="24"/>
              </w:rPr>
            </w:pPr>
            <w:r w:rsidRPr="00F343A7">
              <w:rPr>
                <w:rFonts w:ascii="Times New Roman" w:hAnsi="Times New Roman" w:cs="Times New Roman"/>
                <w:sz w:val="24"/>
                <w:szCs w:val="24"/>
              </w:rPr>
              <w:t>XGBoost</w:t>
            </w:r>
          </w:p>
        </w:tc>
        <w:tc>
          <w:tcPr>
            <w:tcW w:w="0" w:type="auto"/>
            <w:tcBorders>
              <w:bottom w:val="double" w:sz="4" w:space="0" w:color="auto"/>
            </w:tcBorders>
            <w:hideMark/>
          </w:tcPr>
          <w:p w14:paraId="1BCABADC"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11 625</w:t>
            </w:r>
          </w:p>
        </w:tc>
        <w:tc>
          <w:tcPr>
            <w:tcW w:w="1125" w:type="dxa"/>
            <w:tcBorders>
              <w:bottom w:val="double" w:sz="4" w:space="0" w:color="auto"/>
            </w:tcBorders>
            <w:hideMark/>
          </w:tcPr>
          <w:p w14:paraId="4B6F48F0"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352</w:t>
            </w:r>
          </w:p>
        </w:tc>
        <w:tc>
          <w:tcPr>
            <w:tcW w:w="1439" w:type="dxa"/>
            <w:tcBorders>
              <w:bottom w:val="double" w:sz="4" w:space="0" w:color="auto"/>
            </w:tcBorders>
            <w:hideMark/>
          </w:tcPr>
          <w:p w14:paraId="074DEFD0"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1 258</w:t>
            </w:r>
          </w:p>
        </w:tc>
        <w:tc>
          <w:tcPr>
            <w:tcW w:w="0" w:type="auto"/>
            <w:tcBorders>
              <w:bottom w:val="double" w:sz="4" w:space="0" w:color="auto"/>
            </w:tcBorders>
            <w:hideMark/>
          </w:tcPr>
          <w:p w14:paraId="53F5C31F"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sz w:val="24"/>
                <w:szCs w:val="24"/>
              </w:rPr>
              <w:t>329</w:t>
            </w:r>
          </w:p>
        </w:tc>
        <w:tc>
          <w:tcPr>
            <w:tcW w:w="0" w:type="auto"/>
            <w:tcBorders>
              <w:bottom w:val="double" w:sz="4" w:space="0" w:color="auto"/>
            </w:tcBorders>
            <w:hideMark/>
          </w:tcPr>
          <w:p w14:paraId="164B5DD2" w14:textId="77777777" w:rsidR="00F343A7" w:rsidRPr="00F343A7"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343A7">
              <w:rPr>
                <w:rFonts w:ascii="Times New Roman" w:hAnsi="Times New Roman" w:cs="Times New Roman"/>
                <w:b/>
                <w:bCs/>
                <w:sz w:val="24"/>
                <w:szCs w:val="24"/>
              </w:rPr>
              <w:t>0,207</w:t>
            </w:r>
          </w:p>
        </w:tc>
        <w:tc>
          <w:tcPr>
            <w:tcW w:w="0" w:type="auto"/>
            <w:tcBorders>
              <w:bottom w:val="double" w:sz="4" w:space="0" w:color="auto"/>
            </w:tcBorders>
            <w:hideMark/>
          </w:tcPr>
          <w:p w14:paraId="645B07CB" w14:textId="77777777" w:rsidR="00F343A7" w:rsidRPr="00705AD9" w:rsidRDefault="00F343A7" w:rsidP="0081372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705AD9">
              <w:rPr>
                <w:rFonts w:ascii="Times New Roman" w:hAnsi="Times New Roman" w:cs="Times New Roman"/>
                <w:b/>
                <w:bCs/>
                <w:sz w:val="24"/>
                <w:szCs w:val="24"/>
              </w:rPr>
              <w:t>0,483</w:t>
            </w:r>
          </w:p>
        </w:tc>
      </w:tr>
    </w:tbl>
    <w:bookmarkEnd w:id="40"/>
    <w:bookmarkEnd w:id="43"/>
    <w:bookmarkEnd w:id="48"/>
    <w:p w14:paraId="1F4BDD17" w14:textId="0C220BEF" w:rsidR="00D5552B" w:rsidRDefault="004D50DC" w:rsidP="00813728">
      <w:pPr>
        <w:spacing w:line="360" w:lineRule="auto"/>
        <w:jc w:val="both"/>
        <w:rPr>
          <w:rFonts w:ascii="Times New Roman" w:hAnsi="Times New Roman" w:cs="Times New Roman"/>
          <w:sz w:val="24"/>
          <w:szCs w:val="24"/>
        </w:rPr>
      </w:pPr>
      <w:r w:rsidRPr="00E10748">
        <w:rPr>
          <w:rFonts w:ascii="Times New Roman" w:hAnsi="Times New Roman" w:cs="Times New Roman"/>
          <w:i/>
          <w:iCs/>
          <w:sz w:val="24"/>
          <w:szCs w:val="24"/>
        </w:rPr>
        <w:t>Source : auteurs, à partir des données UCI</w:t>
      </w:r>
    </w:p>
    <w:bookmarkEnd w:id="46"/>
    <w:bookmarkEnd w:id="49"/>
    <w:p w14:paraId="048FDB4F" w14:textId="1A0A7C36" w:rsidR="00D5552B" w:rsidRPr="00D5552B" w:rsidRDefault="00D5552B" w:rsidP="00813728">
      <w:pPr>
        <w:spacing w:line="360" w:lineRule="auto"/>
        <w:jc w:val="both"/>
        <w:rPr>
          <w:rFonts w:ascii="Times New Roman" w:hAnsi="Times New Roman" w:cs="Times New Roman"/>
          <w:sz w:val="24"/>
          <w:szCs w:val="24"/>
        </w:rPr>
      </w:pPr>
      <w:r w:rsidRPr="00D5552B">
        <w:rPr>
          <w:rFonts w:ascii="Times New Roman" w:hAnsi="Times New Roman" w:cs="Times New Roman"/>
          <w:sz w:val="24"/>
          <w:szCs w:val="24"/>
        </w:rPr>
        <w:t>À seuil de décision identique, la Random Forest détecte le plus grand nombre de souscripteurs en valeur absolue (707 vrais positifs), avec un recall de 0,445. Elle adopte donc une stratégie de prospection plus large, maximisant la couverture des souscripteurs potentiels, mais au prix d’un nombre élevé de faux positifs (1 057), traduisant un volume important d’appels infructueux.</w:t>
      </w:r>
    </w:p>
    <w:p w14:paraId="46694187" w14:textId="77777777" w:rsidR="00D5552B" w:rsidRPr="00D5552B" w:rsidRDefault="00D5552B" w:rsidP="00813728">
      <w:pPr>
        <w:spacing w:line="360" w:lineRule="auto"/>
        <w:jc w:val="both"/>
        <w:rPr>
          <w:rFonts w:ascii="Times New Roman" w:hAnsi="Times New Roman" w:cs="Times New Roman"/>
          <w:sz w:val="24"/>
          <w:szCs w:val="24"/>
        </w:rPr>
      </w:pPr>
      <w:r w:rsidRPr="00D5552B">
        <w:rPr>
          <w:rFonts w:ascii="Times New Roman" w:hAnsi="Times New Roman" w:cs="Times New Roman"/>
          <w:sz w:val="24"/>
          <w:szCs w:val="24"/>
        </w:rPr>
        <w:t>À l’inverse, le modèle XGBoost adopte un comportement nettement plus sélectif. Il identifie moins de souscripteurs en valeur absolue (329 vrais positifs), ce qui se traduit par un recall plus faible (0,207), mais génère un nombre très limité de faux positifs (352) et une précision significativement plus élevée (0,483). Autrement dit, près d’un appel sur deux effectué par XGBoost aboutit à une souscription, contre environ quatre appels sur dix pour la Random Forest.</w:t>
      </w:r>
    </w:p>
    <w:p w14:paraId="02E6ECC6" w14:textId="0E3F0D53" w:rsidR="00B001DC" w:rsidRPr="00664D9F" w:rsidRDefault="00D5552B" w:rsidP="00813728">
      <w:pPr>
        <w:spacing w:line="360" w:lineRule="auto"/>
        <w:jc w:val="both"/>
        <w:rPr>
          <w:rFonts w:ascii="Times New Roman" w:hAnsi="Times New Roman" w:cs="Times New Roman"/>
          <w:sz w:val="24"/>
          <w:szCs w:val="24"/>
        </w:rPr>
      </w:pPr>
      <w:r w:rsidRPr="00D5552B">
        <w:rPr>
          <w:rFonts w:ascii="Times New Roman" w:hAnsi="Times New Roman" w:cs="Times New Roman"/>
          <w:sz w:val="24"/>
          <w:szCs w:val="24"/>
        </w:rPr>
        <w:t>Cette différence de comportement explique l’apparente inversion observée entre les résultats à seuil standard (0,5) et ceux à seuil métier (0,20). À seuil fixe et identique, les modèles n’optimisent pas la même stratégie : la Random Forest privilégie la couverture maximale, tandis que XGBoost privilégie la sélectivité.</w:t>
      </w:r>
    </w:p>
    <w:p w14:paraId="48383C33" w14:textId="0B4576B0" w:rsidR="00BD0CB3" w:rsidRPr="00BD0CB3" w:rsidRDefault="00BD0CB3" w:rsidP="00083AEB">
      <w:pPr>
        <w:pStyle w:val="Titre3"/>
      </w:pPr>
      <w:bookmarkStart w:id="50" w:name="_Toc221721605"/>
      <w:r w:rsidRPr="00BD0CB3">
        <w:lastRenderedPageBreak/>
        <w:t>Interprétation métier et choix du modèle</w:t>
      </w:r>
      <w:bookmarkEnd w:id="50"/>
    </w:p>
    <w:p w14:paraId="306A4845" w14:textId="77777777" w:rsidR="00BD0CB3" w:rsidRPr="00BD0CB3" w:rsidRDefault="00BD0CB3" w:rsidP="00813728">
      <w:pPr>
        <w:spacing w:line="360" w:lineRule="auto"/>
        <w:jc w:val="both"/>
        <w:rPr>
          <w:rFonts w:ascii="Times New Roman" w:hAnsi="Times New Roman" w:cs="Times New Roman"/>
          <w:sz w:val="24"/>
          <w:szCs w:val="24"/>
        </w:rPr>
      </w:pPr>
      <w:r w:rsidRPr="00BD0CB3">
        <w:rPr>
          <w:rFonts w:ascii="Times New Roman" w:hAnsi="Times New Roman" w:cs="Times New Roman"/>
          <w:sz w:val="24"/>
          <w:szCs w:val="24"/>
        </w:rPr>
        <w:t>Ces résultats montrent que le choix du modèle dépend étroitement de l’objectif opérationnel poursuivi :</w:t>
      </w:r>
    </w:p>
    <w:p w14:paraId="78634D70" w14:textId="1350051A" w:rsidR="00BD0CB3" w:rsidRPr="00BD0CB3" w:rsidRDefault="00BD0CB3" w:rsidP="00813728">
      <w:pPr>
        <w:numPr>
          <w:ilvl w:val="0"/>
          <w:numId w:val="17"/>
        </w:numPr>
        <w:spacing w:line="360" w:lineRule="auto"/>
        <w:jc w:val="both"/>
        <w:rPr>
          <w:rFonts w:ascii="Times New Roman" w:hAnsi="Times New Roman" w:cs="Times New Roman"/>
          <w:sz w:val="24"/>
          <w:szCs w:val="24"/>
        </w:rPr>
      </w:pPr>
      <w:r w:rsidRPr="00BD0CB3">
        <w:rPr>
          <w:rFonts w:ascii="Times New Roman" w:hAnsi="Times New Roman" w:cs="Times New Roman"/>
          <w:sz w:val="24"/>
          <w:szCs w:val="24"/>
        </w:rPr>
        <w:t>si l’objectif est de maximiser le volume de souscripteurs détectés, sans contrainte forte sur le nombre d’appels, la Random Forest apparaît comme la solution la plus agressive;</w:t>
      </w:r>
    </w:p>
    <w:p w14:paraId="149EC1BE" w14:textId="77777777" w:rsidR="00BD0CB3" w:rsidRPr="00BD0CB3" w:rsidRDefault="00BD0CB3" w:rsidP="00813728">
      <w:pPr>
        <w:numPr>
          <w:ilvl w:val="0"/>
          <w:numId w:val="17"/>
        </w:numPr>
        <w:spacing w:line="360" w:lineRule="auto"/>
        <w:jc w:val="both"/>
        <w:rPr>
          <w:rFonts w:ascii="Times New Roman" w:hAnsi="Times New Roman" w:cs="Times New Roman"/>
          <w:sz w:val="24"/>
          <w:szCs w:val="24"/>
        </w:rPr>
      </w:pPr>
      <w:r w:rsidRPr="00BD0CB3">
        <w:rPr>
          <w:rFonts w:ascii="Times New Roman" w:hAnsi="Times New Roman" w:cs="Times New Roman"/>
          <w:sz w:val="24"/>
          <w:szCs w:val="24"/>
        </w:rPr>
        <w:t>en revanche, dans une logique opérationnelle réaliste, intégrant des capacités limitées de contact, un coût d’appel faible mais un risque élevé de dégradation de la relation client en cas de sollicitations excessives, le modèle XGBoost offre un meilleur compromis entre détection, sélectivité et maîtrise des coûts de prospection.</w:t>
      </w:r>
    </w:p>
    <w:p w14:paraId="297B59D6" w14:textId="77777777" w:rsidR="00BD0CB3" w:rsidRPr="00BD0CB3" w:rsidRDefault="00BD0CB3" w:rsidP="00813728">
      <w:pPr>
        <w:spacing w:line="360" w:lineRule="auto"/>
        <w:jc w:val="both"/>
        <w:rPr>
          <w:rFonts w:ascii="Times New Roman" w:hAnsi="Times New Roman" w:cs="Times New Roman"/>
          <w:sz w:val="24"/>
          <w:szCs w:val="24"/>
        </w:rPr>
      </w:pPr>
      <w:r w:rsidRPr="00BD0CB3">
        <w:rPr>
          <w:rFonts w:ascii="Times New Roman" w:hAnsi="Times New Roman" w:cs="Times New Roman"/>
          <w:sz w:val="24"/>
          <w:szCs w:val="24"/>
        </w:rPr>
        <w:t>Ce positionnement est cohérent avec la simulation de profitabilité menée par la suite, qui montre que XGBoost permet de concentrer les efforts commerciaux sur un volume restreint de clients à fort potentiel, tout en maximisant le profit net de la campagne.</w:t>
      </w:r>
    </w:p>
    <w:p w14:paraId="7C3228FA" w14:textId="77777777" w:rsidR="00BD0CB3" w:rsidRPr="00BD0CB3" w:rsidRDefault="00BD0CB3" w:rsidP="00813728">
      <w:pPr>
        <w:spacing w:line="360" w:lineRule="auto"/>
        <w:jc w:val="both"/>
        <w:rPr>
          <w:rFonts w:ascii="Times New Roman" w:hAnsi="Times New Roman" w:cs="Times New Roman"/>
          <w:sz w:val="24"/>
          <w:szCs w:val="24"/>
        </w:rPr>
      </w:pPr>
      <w:r w:rsidRPr="00BD0CB3">
        <w:rPr>
          <w:rFonts w:ascii="Times New Roman" w:hAnsi="Times New Roman" w:cs="Times New Roman"/>
          <w:sz w:val="24"/>
          <w:szCs w:val="24"/>
        </w:rPr>
        <w:t>Ainsi, le modèle XGBoost n’est pas retenu parce qu’il détecte le plus grand nombre de souscripteurs, mais parce qu’il propose une stratégie de ciblage plus efficiente et mieux alignée avec les contraintes économiques et relationnelles du marketing bancaire. Cette analyse souligne l’importance d’intégrer explicitement les enjeux métier dans le choix du modèle et du seuil de décision, au-delà des seules métriques statistiques globales.</w:t>
      </w:r>
    </w:p>
    <w:p w14:paraId="1DC32F49" w14:textId="3C6D7B0C" w:rsidR="00B366CB" w:rsidRPr="00B366CB" w:rsidRDefault="00B366CB" w:rsidP="00083AEB">
      <w:pPr>
        <w:pStyle w:val="Titre3"/>
      </w:pPr>
      <w:bookmarkStart w:id="51" w:name="_Toc221721606"/>
      <w:bookmarkStart w:id="52" w:name="OLE_LINK35"/>
      <w:r w:rsidRPr="00B366CB">
        <w:t>Analyse de l’importance des variables</w:t>
      </w:r>
      <w:bookmarkEnd w:id="51"/>
    </w:p>
    <w:bookmarkEnd w:id="41"/>
    <w:p w14:paraId="63F9D21E" w14:textId="60422674" w:rsidR="00B366CB" w:rsidRPr="00B366CB" w:rsidRDefault="00B366CB" w:rsidP="00813728">
      <w:pPr>
        <w:pStyle w:val="Titre4"/>
        <w:numPr>
          <w:ilvl w:val="0"/>
          <w:numId w:val="26"/>
        </w:numPr>
      </w:pPr>
      <w:r w:rsidRPr="00B366CB">
        <w:t xml:space="preserve">Interprétation des coefficients </w:t>
      </w:r>
      <w:r w:rsidR="005C739F">
        <w:t>-</w:t>
      </w:r>
      <w:r w:rsidRPr="00B366CB">
        <w:t xml:space="preserve"> Régression logistique</w:t>
      </w:r>
    </w:p>
    <w:p w14:paraId="01FEB77F" w14:textId="77777777" w:rsidR="00B366C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L’analyse des coefficients significatifs de la régression logistique permet d’identifier plusieurs déterminants majeurs de la souscription à un dépôt à terme bancaire.</w:t>
      </w:r>
    </w:p>
    <w:p w14:paraId="16059071" w14:textId="39BBF3F3" w:rsidR="00B272B0" w:rsidRPr="005C739F" w:rsidRDefault="005B59BC" w:rsidP="00813728">
      <w:pPr>
        <w:spacing w:line="360" w:lineRule="auto"/>
        <w:jc w:val="both"/>
        <w:rPr>
          <w:rFonts w:ascii="Times New Roman" w:hAnsi="Times New Roman" w:cs="Times New Roman"/>
          <w:b/>
          <w:iCs/>
          <w:sz w:val="24"/>
          <w:szCs w:val="24"/>
        </w:rPr>
      </w:pPr>
      <w:r w:rsidRPr="005C739F">
        <w:rPr>
          <w:rFonts w:ascii="Times New Roman" w:hAnsi="Times New Roman" w:cs="Times New Roman"/>
          <w:b/>
          <w:iCs/>
          <w:sz w:val="24"/>
          <w:szCs w:val="24"/>
        </w:rPr>
        <w:t>Tableau 4</w:t>
      </w:r>
      <w:r w:rsidR="005C739F" w:rsidRPr="005C739F">
        <w:rPr>
          <w:rFonts w:ascii="Times New Roman" w:hAnsi="Times New Roman" w:cs="Times New Roman"/>
          <w:b/>
          <w:iCs/>
          <w:sz w:val="24"/>
          <w:szCs w:val="24"/>
        </w:rPr>
        <w:t xml:space="preserve"> - </w:t>
      </w:r>
      <w:r w:rsidR="00B272B0" w:rsidRPr="005C739F">
        <w:rPr>
          <w:rFonts w:ascii="Times New Roman" w:hAnsi="Times New Roman" w:cs="Times New Roman"/>
          <w:b/>
          <w:iCs/>
          <w:sz w:val="24"/>
          <w:szCs w:val="24"/>
        </w:rPr>
        <w:t>Coefficients significatifs de la régression logistique</w:t>
      </w:r>
    </w:p>
    <w:tbl>
      <w:tblPr>
        <w:tblW w:w="0" w:type="auto"/>
        <w:tblLayout w:type="fixed"/>
        <w:tblLook w:val="0020" w:firstRow="1" w:lastRow="0" w:firstColumn="0" w:lastColumn="0" w:noHBand="0" w:noVBand="0"/>
      </w:tblPr>
      <w:tblGrid>
        <w:gridCol w:w="2835"/>
        <w:gridCol w:w="1560"/>
        <w:gridCol w:w="1842"/>
        <w:gridCol w:w="1560"/>
        <w:gridCol w:w="1275"/>
      </w:tblGrid>
      <w:tr w:rsidR="00B272B0" w:rsidRPr="00D74436" w14:paraId="5E8EB7F9" w14:textId="77777777" w:rsidTr="00FE5A86">
        <w:trPr>
          <w:tblHeader/>
        </w:trPr>
        <w:tc>
          <w:tcPr>
            <w:tcW w:w="2835" w:type="dxa"/>
            <w:tcBorders>
              <w:top w:val="double" w:sz="4" w:space="0" w:color="auto"/>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6E830D20" w14:textId="77777777" w:rsidR="00B272B0" w:rsidRPr="00D74436" w:rsidRDefault="00B272B0" w:rsidP="00813728">
            <w:pPr>
              <w:spacing w:line="360" w:lineRule="auto"/>
              <w:jc w:val="both"/>
              <w:rPr>
                <w:rFonts w:ascii="Times New Roman" w:hAnsi="Times New Roman" w:cs="Times New Roman"/>
                <w:b/>
                <w:sz w:val="24"/>
                <w:szCs w:val="24"/>
                <w:lang w:val="en-US"/>
              </w:rPr>
            </w:pPr>
            <w:r w:rsidRPr="00D74436">
              <w:rPr>
                <w:rFonts w:ascii="Times New Roman" w:hAnsi="Times New Roman" w:cs="Times New Roman"/>
                <w:b/>
                <w:sz w:val="24"/>
                <w:szCs w:val="24"/>
                <w:lang w:val="en-US"/>
              </w:rPr>
              <w:t>Variable</w:t>
            </w:r>
          </w:p>
        </w:tc>
        <w:tc>
          <w:tcPr>
            <w:tcW w:w="1560" w:type="dxa"/>
            <w:tcBorders>
              <w:top w:val="double" w:sz="4" w:space="0" w:color="auto"/>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349B68CE" w14:textId="77777777" w:rsidR="00B272B0" w:rsidRPr="00D74436" w:rsidRDefault="00B272B0" w:rsidP="00813728">
            <w:pPr>
              <w:spacing w:line="360" w:lineRule="auto"/>
              <w:jc w:val="both"/>
              <w:rPr>
                <w:rFonts w:ascii="Times New Roman" w:hAnsi="Times New Roman" w:cs="Times New Roman"/>
                <w:b/>
                <w:sz w:val="24"/>
                <w:szCs w:val="24"/>
                <w:lang w:val="en-US"/>
              </w:rPr>
            </w:pPr>
            <w:r w:rsidRPr="00D74436">
              <w:rPr>
                <w:rFonts w:ascii="Times New Roman" w:hAnsi="Times New Roman" w:cs="Times New Roman"/>
                <w:b/>
                <w:sz w:val="24"/>
                <w:szCs w:val="24"/>
                <w:lang w:val="en-US"/>
              </w:rPr>
              <w:t>Coefficient</w:t>
            </w:r>
          </w:p>
        </w:tc>
        <w:tc>
          <w:tcPr>
            <w:tcW w:w="1842" w:type="dxa"/>
            <w:tcBorders>
              <w:top w:val="double" w:sz="4" w:space="0" w:color="auto"/>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49107B21" w14:textId="77777777" w:rsidR="00B272B0" w:rsidRPr="00D74436" w:rsidRDefault="00B272B0" w:rsidP="00813728">
            <w:pPr>
              <w:spacing w:line="360" w:lineRule="auto"/>
              <w:jc w:val="both"/>
              <w:rPr>
                <w:rFonts w:ascii="Times New Roman" w:hAnsi="Times New Roman" w:cs="Times New Roman"/>
                <w:b/>
                <w:sz w:val="24"/>
                <w:szCs w:val="24"/>
                <w:lang w:val="en-US"/>
              </w:rPr>
            </w:pPr>
            <w:r w:rsidRPr="00D74436">
              <w:rPr>
                <w:rFonts w:ascii="Times New Roman" w:hAnsi="Times New Roman" w:cs="Times New Roman"/>
                <w:b/>
                <w:sz w:val="24"/>
                <w:szCs w:val="24"/>
                <w:lang w:val="en-US"/>
              </w:rPr>
              <w:t>p_value</w:t>
            </w:r>
          </w:p>
        </w:tc>
        <w:tc>
          <w:tcPr>
            <w:tcW w:w="1560" w:type="dxa"/>
            <w:tcBorders>
              <w:top w:val="double" w:sz="4" w:space="0" w:color="auto"/>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18508818" w14:textId="77777777" w:rsidR="00B272B0" w:rsidRPr="00D74436" w:rsidRDefault="00B272B0" w:rsidP="00813728">
            <w:pPr>
              <w:spacing w:line="360" w:lineRule="auto"/>
              <w:jc w:val="both"/>
              <w:rPr>
                <w:rFonts w:ascii="Times New Roman" w:hAnsi="Times New Roman" w:cs="Times New Roman"/>
                <w:b/>
                <w:sz w:val="24"/>
                <w:szCs w:val="24"/>
                <w:lang w:val="en-US"/>
              </w:rPr>
            </w:pPr>
            <w:r w:rsidRPr="00D74436">
              <w:rPr>
                <w:rFonts w:ascii="Times New Roman" w:hAnsi="Times New Roman" w:cs="Times New Roman"/>
                <w:b/>
                <w:sz w:val="24"/>
                <w:szCs w:val="24"/>
                <w:lang w:val="en-US"/>
              </w:rPr>
              <w:t>Odds ratio</w:t>
            </w:r>
          </w:p>
        </w:tc>
        <w:tc>
          <w:tcPr>
            <w:tcW w:w="1275" w:type="dxa"/>
            <w:tcBorders>
              <w:top w:val="double" w:sz="4" w:space="0" w:color="auto"/>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6481B1CB" w14:textId="77777777" w:rsidR="00B272B0" w:rsidRPr="00D74436" w:rsidRDefault="00B272B0" w:rsidP="00813728">
            <w:pPr>
              <w:spacing w:line="360" w:lineRule="auto"/>
              <w:jc w:val="both"/>
              <w:rPr>
                <w:rFonts w:ascii="Times New Roman" w:hAnsi="Times New Roman" w:cs="Times New Roman"/>
                <w:b/>
                <w:sz w:val="24"/>
                <w:szCs w:val="24"/>
                <w:lang w:val="en-US"/>
              </w:rPr>
            </w:pPr>
            <w:r w:rsidRPr="00D74436">
              <w:rPr>
                <w:rFonts w:ascii="Times New Roman" w:hAnsi="Times New Roman" w:cs="Times New Roman"/>
                <w:b/>
                <w:sz w:val="24"/>
                <w:szCs w:val="24"/>
                <w:lang w:val="en-US"/>
              </w:rPr>
              <w:t>Signif.</w:t>
            </w:r>
          </w:p>
        </w:tc>
      </w:tr>
      <w:tr w:rsidR="00B272B0" w:rsidRPr="00D74436" w14:paraId="5839C5F8" w14:textId="77777777" w:rsidTr="00FE5A86">
        <w:tc>
          <w:tcPr>
            <w:tcW w:w="2835" w:type="dxa"/>
            <w:tcBorders>
              <w:top w:val="double" w:sz="4" w:space="0" w:color="auto"/>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34B5A2"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(Intercept)</w:t>
            </w:r>
          </w:p>
        </w:tc>
        <w:tc>
          <w:tcPr>
            <w:tcW w:w="1560" w:type="dxa"/>
            <w:tcBorders>
              <w:top w:val="double" w:sz="4" w:space="0" w:color="auto"/>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28CA17"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-2.369</w:t>
            </w:r>
          </w:p>
        </w:tc>
        <w:tc>
          <w:tcPr>
            <w:tcW w:w="1842" w:type="dxa"/>
            <w:tcBorders>
              <w:top w:val="double" w:sz="4" w:space="0" w:color="auto"/>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DD9DB6"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0.00e+00</w:t>
            </w:r>
          </w:p>
        </w:tc>
        <w:tc>
          <w:tcPr>
            <w:tcW w:w="1560" w:type="dxa"/>
            <w:tcBorders>
              <w:top w:val="double" w:sz="4" w:space="0" w:color="auto"/>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F8224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0.09</w:t>
            </w:r>
          </w:p>
        </w:tc>
        <w:tc>
          <w:tcPr>
            <w:tcW w:w="1275" w:type="dxa"/>
            <w:tcBorders>
              <w:top w:val="double" w:sz="4" w:space="0" w:color="auto"/>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483C2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248C5A80"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6C8E57"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contact_unknown</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9D71E0"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-0.463</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268927"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3.98e-61</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684A6D"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0.63</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FC065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37EF32FA"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8B5FE"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poutcome_success</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EAB4C8"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0.394</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61886"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1.14e-138</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87AB8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1.48</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CCA55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25063ABF"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8361C8"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housing_yes</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4B220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-0.324</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644D0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3.17e-47</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EB6552"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0.72</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9AF71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0F4D169A"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0881D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campaign</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6AB1E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-0.313</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37FB27"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2.10e-21</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AAFA42"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0.73</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4F8FD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175878A1"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68C4F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lastRenderedPageBreak/>
              <w:t>tranche_age_Retraités</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5952A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0.192</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C5CF55"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6.38e-24</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F957E"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1.21</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06E3A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4AEAF836"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186EBD"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is_spring</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D0F9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0.169</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2CFAC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3.14e-07</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9CE6EE"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1.18</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53F500"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4C0A53CA"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410915"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loan_yes</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63FD2"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-0.159</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CB494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3.29e-12</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C741D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0.85</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36E55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0C03B9AE"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3D43E6"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tranche_age_Jeunes</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62AE64"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0.142</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8F205"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2.98e-13</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F96C6E"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1.15</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C17DCC"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39F60BE7"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F6EF07"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education_tertiary</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3C9677"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0.123</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65328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6.31e-04</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50B3C5"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1.13</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0D6C06"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0964D57B"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33821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marital_married</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11CE9E"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-0.117</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307AA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9.03e-05</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F6C0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0.89</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F59CD"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15304A81"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5E988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is_autumn</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0DC8B5"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0.107</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D9AFF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5.13e-06</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40FD0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1.11</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39103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2A4E7795"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A6EAA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job_blue.collar</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845CC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-0.083</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76DE6"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8.96e-03</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6FC7D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0.92</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52D1F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3A059525"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4E4A1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job_housemaid</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7D790D"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-0.063</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99A4A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6.80e-03</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4DF4E8"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0.94</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B92D2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0A5B896A"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3788F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job_entrepreneur</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EC52D"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-0.063</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2F0778"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1.03e-02</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3E794D"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0.94</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04D20"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2D924677"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3513D"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job_services</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40980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-0.060</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542F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1.92e-02</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B6282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0.94</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2F9C77"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7DA17AB1"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616C6"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contact_telephone</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C49814"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-0.058</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0AEB30"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1.95e-03</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D8BEC"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0.94</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1DB47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042188FE"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ECD85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balance</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34DEDF"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0.058</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6D34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1.80e-04</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F3079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1.06</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7987C"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1B92B0AE"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9137BE"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day</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421B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-0.058</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5ED52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2.95e-03</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2336DE"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0.94</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FCC15C"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5F53FE88"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0B6E9"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education_unknown</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C5EF38"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0.050</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772AB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1.92e-02</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AF3DA5"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1.05</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CCA92"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6791ABBC" w14:textId="77777777" w:rsidTr="00FE5A86">
        <w:tc>
          <w:tcPr>
            <w:tcW w:w="28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5889CA"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poutcome_other</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AAD0D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0.044</w:t>
            </w:r>
          </w:p>
        </w:tc>
        <w:tc>
          <w:tcPr>
            <w:tcW w:w="184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19B1E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1.82e-02</w:t>
            </w:r>
          </w:p>
        </w:tc>
        <w:tc>
          <w:tcPr>
            <w:tcW w:w="15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9B0F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1.04</w:t>
            </w:r>
          </w:p>
        </w:tc>
        <w:tc>
          <w:tcPr>
            <w:tcW w:w="127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6143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r w:rsidR="00B272B0" w:rsidRPr="00D74436" w14:paraId="675994A6" w14:textId="77777777" w:rsidTr="00FE5A86">
        <w:tc>
          <w:tcPr>
            <w:tcW w:w="2835" w:type="dxa"/>
            <w:tcBorders>
              <w:top w:val="single" w:sz="6" w:space="0" w:color="666666"/>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5A7648E0"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job_unemployed</w:t>
            </w:r>
          </w:p>
        </w:tc>
        <w:tc>
          <w:tcPr>
            <w:tcW w:w="1560" w:type="dxa"/>
            <w:tcBorders>
              <w:top w:val="single" w:sz="6" w:space="0" w:color="666666"/>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06D6A3B4"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0.042</w:t>
            </w:r>
          </w:p>
        </w:tc>
        <w:tc>
          <w:tcPr>
            <w:tcW w:w="1842" w:type="dxa"/>
            <w:tcBorders>
              <w:top w:val="single" w:sz="6" w:space="0" w:color="666666"/>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7352DA33"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2.49e-02</w:t>
            </w:r>
          </w:p>
        </w:tc>
        <w:tc>
          <w:tcPr>
            <w:tcW w:w="1560" w:type="dxa"/>
            <w:tcBorders>
              <w:top w:val="single" w:sz="6" w:space="0" w:color="666666"/>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4C89BE01"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1.04</w:t>
            </w:r>
          </w:p>
        </w:tc>
        <w:tc>
          <w:tcPr>
            <w:tcW w:w="1275" w:type="dxa"/>
            <w:tcBorders>
              <w:top w:val="single" w:sz="6" w:space="0" w:color="666666"/>
              <w:left w:val="none" w:sz="0" w:space="0" w:color="000000"/>
              <w:bottom w:val="double" w:sz="4" w:space="0" w:color="auto"/>
              <w:right w:val="none" w:sz="0" w:space="0" w:color="000000"/>
            </w:tcBorders>
            <w:shd w:val="clear" w:color="auto" w:fill="FFFFFF"/>
            <w:tcMar>
              <w:top w:w="0" w:type="dxa"/>
              <w:left w:w="0" w:type="dxa"/>
              <w:bottom w:w="0" w:type="dxa"/>
              <w:right w:w="0" w:type="dxa"/>
            </w:tcMar>
            <w:vAlign w:val="center"/>
          </w:tcPr>
          <w:p w14:paraId="5B4B005B" w14:textId="77777777" w:rsidR="00B272B0" w:rsidRPr="00D74436"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w:t>
            </w:r>
          </w:p>
        </w:tc>
      </w:tr>
    </w:tbl>
    <w:p w14:paraId="1EA055A4" w14:textId="77777777" w:rsidR="006A3B63" w:rsidRDefault="00B272B0" w:rsidP="00813728">
      <w:pPr>
        <w:spacing w:line="360" w:lineRule="auto"/>
        <w:jc w:val="both"/>
        <w:rPr>
          <w:rFonts w:ascii="Times New Roman" w:hAnsi="Times New Roman" w:cs="Times New Roman"/>
          <w:sz w:val="24"/>
          <w:szCs w:val="24"/>
          <w:lang w:val="en-US"/>
        </w:rPr>
      </w:pPr>
      <w:r w:rsidRPr="00D74436">
        <w:rPr>
          <w:rFonts w:ascii="Times New Roman" w:hAnsi="Times New Roman" w:cs="Times New Roman"/>
          <w:sz w:val="24"/>
          <w:szCs w:val="24"/>
          <w:lang w:val="en-US"/>
        </w:rPr>
        <w:t>Note : *** p &lt; 0,001 ; ** p &lt; 0,01 ; * p &lt; 0,05</w:t>
      </w:r>
    </w:p>
    <w:p w14:paraId="47188ACD" w14:textId="21C1B097" w:rsidR="00B272B0" w:rsidRPr="006A3B63" w:rsidRDefault="00E10748" w:rsidP="00813728">
      <w:pPr>
        <w:spacing w:line="360" w:lineRule="auto"/>
        <w:jc w:val="both"/>
        <w:rPr>
          <w:rFonts w:ascii="Times New Roman" w:hAnsi="Times New Roman" w:cs="Times New Roman"/>
          <w:sz w:val="24"/>
          <w:szCs w:val="24"/>
        </w:rPr>
      </w:pPr>
      <w:bookmarkStart w:id="53" w:name="OLE_LINK37"/>
      <w:r w:rsidRPr="00E10748">
        <w:rPr>
          <w:rFonts w:ascii="Times New Roman" w:hAnsi="Times New Roman" w:cs="Times New Roman"/>
          <w:i/>
          <w:iCs/>
          <w:sz w:val="24"/>
          <w:szCs w:val="24"/>
        </w:rPr>
        <w:t>Source : auteurs, à partir des données UCI</w:t>
      </w:r>
    </w:p>
    <w:bookmarkEnd w:id="53"/>
    <w:p w14:paraId="23D23A83" w14:textId="77777777" w:rsidR="00B366CB" w:rsidRPr="00B366C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Le facteur le plus discriminant est l’</w:t>
      </w:r>
      <w:r w:rsidRPr="00B366CB">
        <w:rPr>
          <w:rFonts w:ascii="Times New Roman" w:hAnsi="Times New Roman" w:cs="Times New Roman"/>
          <w:b/>
          <w:bCs/>
          <w:sz w:val="24"/>
          <w:szCs w:val="24"/>
        </w:rPr>
        <w:t>historique des campagnes précédentes</w:t>
      </w:r>
      <w:r w:rsidRPr="00B366CB">
        <w:rPr>
          <w:rFonts w:ascii="Times New Roman" w:hAnsi="Times New Roman" w:cs="Times New Roman"/>
          <w:sz w:val="24"/>
          <w:szCs w:val="24"/>
        </w:rPr>
        <w:t xml:space="preserve">. La variable </w:t>
      </w:r>
      <w:r w:rsidRPr="00B366CB">
        <w:rPr>
          <w:rFonts w:ascii="Times New Roman" w:hAnsi="Times New Roman" w:cs="Times New Roman"/>
          <w:i/>
          <w:iCs/>
          <w:sz w:val="24"/>
          <w:szCs w:val="24"/>
        </w:rPr>
        <w:t>poutcome_success</w:t>
      </w:r>
      <w:r w:rsidRPr="00B366CB">
        <w:rPr>
          <w:rFonts w:ascii="Times New Roman" w:hAnsi="Times New Roman" w:cs="Times New Roman"/>
          <w:sz w:val="24"/>
          <w:szCs w:val="24"/>
        </w:rPr>
        <w:t xml:space="preserve"> présente un coefficient positif élevé (β = 0,39) et un odds ratio de </w:t>
      </w:r>
      <w:r w:rsidRPr="00B366CB">
        <w:rPr>
          <w:rFonts w:ascii="Times New Roman" w:hAnsi="Times New Roman" w:cs="Times New Roman"/>
          <w:b/>
          <w:bCs/>
          <w:sz w:val="24"/>
          <w:szCs w:val="24"/>
        </w:rPr>
        <w:t>1,48</w:t>
      </w:r>
      <w:r w:rsidRPr="00B366CB">
        <w:rPr>
          <w:rFonts w:ascii="Times New Roman" w:hAnsi="Times New Roman" w:cs="Times New Roman"/>
          <w:sz w:val="24"/>
          <w:szCs w:val="24"/>
        </w:rPr>
        <w:t xml:space="preserve">, indiquant qu’un client ayant déjà souscrit lors d’une campagne antérieure voit ses chances de souscription augmenter d’environ </w:t>
      </w:r>
      <w:r w:rsidRPr="00B366CB">
        <w:rPr>
          <w:rFonts w:ascii="Times New Roman" w:hAnsi="Times New Roman" w:cs="Times New Roman"/>
          <w:b/>
          <w:bCs/>
          <w:sz w:val="24"/>
          <w:szCs w:val="24"/>
        </w:rPr>
        <w:t>48 %</w:t>
      </w:r>
      <w:r w:rsidRPr="00B366CB">
        <w:rPr>
          <w:rFonts w:ascii="Times New Roman" w:hAnsi="Times New Roman" w:cs="Times New Roman"/>
          <w:sz w:val="24"/>
          <w:szCs w:val="24"/>
        </w:rPr>
        <w:t>, toutes choses égales par ailleurs. Ce résultat met en évidence un fort effet de fidélisation et de confiance.</w:t>
      </w:r>
    </w:p>
    <w:p w14:paraId="531B6FFC" w14:textId="77777777" w:rsidR="00B366CB" w:rsidRPr="00B366C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lastRenderedPageBreak/>
        <w:t xml:space="preserve">Le </w:t>
      </w:r>
      <w:r w:rsidRPr="00B366CB">
        <w:rPr>
          <w:rFonts w:ascii="Times New Roman" w:hAnsi="Times New Roman" w:cs="Times New Roman"/>
          <w:b/>
          <w:bCs/>
          <w:sz w:val="24"/>
          <w:szCs w:val="24"/>
        </w:rPr>
        <w:t>niveau d’endettement</w:t>
      </w:r>
      <w:r w:rsidRPr="00B366CB">
        <w:rPr>
          <w:rFonts w:ascii="Times New Roman" w:hAnsi="Times New Roman" w:cs="Times New Roman"/>
          <w:sz w:val="24"/>
          <w:szCs w:val="24"/>
        </w:rPr>
        <w:t xml:space="preserve"> joue également un rôle central. La présence d’un prêt immobilier (</w:t>
      </w:r>
      <w:r w:rsidRPr="00B366CB">
        <w:rPr>
          <w:rFonts w:ascii="Times New Roman" w:hAnsi="Times New Roman" w:cs="Times New Roman"/>
          <w:i/>
          <w:iCs/>
          <w:sz w:val="24"/>
          <w:szCs w:val="24"/>
        </w:rPr>
        <w:t>housing_yes</w:t>
      </w:r>
      <w:r w:rsidRPr="00B366CB">
        <w:rPr>
          <w:rFonts w:ascii="Times New Roman" w:hAnsi="Times New Roman" w:cs="Times New Roman"/>
          <w:sz w:val="24"/>
          <w:szCs w:val="24"/>
        </w:rPr>
        <w:t xml:space="preserve">) réduit la probabilité de souscription d’environ </w:t>
      </w:r>
      <w:r w:rsidRPr="00B366CB">
        <w:rPr>
          <w:rFonts w:ascii="Times New Roman" w:hAnsi="Times New Roman" w:cs="Times New Roman"/>
          <w:b/>
          <w:bCs/>
          <w:sz w:val="24"/>
          <w:szCs w:val="24"/>
        </w:rPr>
        <w:t>28 %</w:t>
      </w:r>
      <w:r w:rsidRPr="00B366CB">
        <w:rPr>
          <w:rFonts w:ascii="Times New Roman" w:hAnsi="Times New Roman" w:cs="Times New Roman"/>
          <w:sz w:val="24"/>
          <w:szCs w:val="24"/>
        </w:rPr>
        <w:t xml:space="preserve"> (OR = 0,72), tandis qu’un prêt personnel (</w:t>
      </w:r>
      <w:r w:rsidRPr="00B366CB">
        <w:rPr>
          <w:rFonts w:ascii="Times New Roman" w:hAnsi="Times New Roman" w:cs="Times New Roman"/>
          <w:i/>
          <w:iCs/>
          <w:sz w:val="24"/>
          <w:szCs w:val="24"/>
        </w:rPr>
        <w:t>loan_yes</w:t>
      </w:r>
      <w:r w:rsidRPr="00B366CB">
        <w:rPr>
          <w:rFonts w:ascii="Times New Roman" w:hAnsi="Times New Roman" w:cs="Times New Roman"/>
          <w:sz w:val="24"/>
          <w:szCs w:val="24"/>
        </w:rPr>
        <w:t xml:space="preserve">) est associé à une baisse d’environ </w:t>
      </w:r>
      <w:r w:rsidRPr="00B366CB">
        <w:rPr>
          <w:rFonts w:ascii="Times New Roman" w:hAnsi="Times New Roman" w:cs="Times New Roman"/>
          <w:b/>
          <w:bCs/>
          <w:sz w:val="24"/>
          <w:szCs w:val="24"/>
        </w:rPr>
        <w:t>15 %</w:t>
      </w:r>
      <w:r w:rsidRPr="00B366CB">
        <w:rPr>
          <w:rFonts w:ascii="Times New Roman" w:hAnsi="Times New Roman" w:cs="Times New Roman"/>
          <w:sz w:val="24"/>
          <w:szCs w:val="24"/>
        </w:rPr>
        <w:t>. Ces effets sont économiquement cohérents : un endettement plus élevé limite la capacité d’épargne à court terme.</w:t>
      </w:r>
    </w:p>
    <w:p w14:paraId="5EA3F076" w14:textId="77777777" w:rsidR="00B366CB" w:rsidRPr="00B366C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 xml:space="preserve">Le </w:t>
      </w:r>
      <w:r w:rsidRPr="00B366CB">
        <w:rPr>
          <w:rFonts w:ascii="Times New Roman" w:hAnsi="Times New Roman" w:cs="Times New Roman"/>
          <w:b/>
          <w:bCs/>
          <w:sz w:val="24"/>
          <w:szCs w:val="24"/>
        </w:rPr>
        <w:t>cycle de vie</w:t>
      </w:r>
      <w:r w:rsidRPr="00B366CB">
        <w:rPr>
          <w:rFonts w:ascii="Times New Roman" w:hAnsi="Times New Roman" w:cs="Times New Roman"/>
          <w:sz w:val="24"/>
          <w:szCs w:val="24"/>
        </w:rPr>
        <w:t xml:space="preserve"> influence aussi la décision de souscription. Les retraités présentent une probabilité significativement plus élevée de souscrire (OR = 1,21), tout comme les clients plus jeunes, bien que dans une moindre mesure (OR = 1,15). Ces résultats confirment que les produits d’épargne sécurisés attirent particulièrement certains profils d’âge.</w:t>
      </w:r>
    </w:p>
    <w:p w14:paraId="7BE7D27B" w14:textId="7760D311" w:rsidR="00664D9F" w:rsidRPr="00664D9F"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 xml:space="preserve">Enfin, la </w:t>
      </w:r>
      <w:r w:rsidRPr="00B366CB">
        <w:rPr>
          <w:rFonts w:ascii="Times New Roman" w:hAnsi="Times New Roman" w:cs="Times New Roman"/>
          <w:b/>
          <w:bCs/>
          <w:sz w:val="24"/>
          <w:szCs w:val="24"/>
        </w:rPr>
        <w:t>stratégie de contact</w:t>
      </w:r>
      <w:r w:rsidRPr="00B366CB">
        <w:rPr>
          <w:rFonts w:ascii="Times New Roman" w:hAnsi="Times New Roman" w:cs="Times New Roman"/>
          <w:sz w:val="24"/>
          <w:szCs w:val="24"/>
        </w:rPr>
        <w:t xml:space="preserve"> apparaît déterminante. Le nombre de contacts effectués durant la campagne (</w:t>
      </w:r>
      <w:r w:rsidRPr="00B366CB">
        <w:rPr>
          <w:rFonts w:ascii="Times New Roman" w:hAnsi="Times New Roman" w:cs="Times New Roman"/>
          <w:i/>
          <w:iCs/>
          <w:sz w:val="24"/>
          <w:szCs w:val="24"/>
        </w:rPr>
        <w:t>campaign</w:t>
      </w:r>
      <w:r w:rsidRPr="00B366CB">
        <w:rPr>
          <w:rFonts w:ascii="Times New Roman" w:hAnsi="Times New Roman" w:cs="Times New Roman"/>
          <w:sz w:val="24"/>
          <w:szCs w:val="24"/>
        </w:rPr>
        <w:t>) a un effet négatif marqué (OR = 0,73), suggérant un effet de lassitude lorsque les appels sont trop nombreux. De plus, un canal de contact mal renseigné (</w:t>
      </w:r>
      <w:r w:rsidRPr="00B366CB">
        <w:rPr>
          <w:rFonts w:ascii="Times New Roman" w:hAnsi="Times New Roman" w:cs="Times New Roman"/>
          <w:i/>
          <w:iCs/>
          <w:sz w:val="24"/>
          <w:szCs w:val="24"/>
        </w:rPr>
        <w:t>contact_unknown</w:t>
      </w:r>
      <w:r w:rsidRPr="00B366CB">
        <w:rPr>
          <w:rFonts w:ascii="Times New Roman" w:hAnsi="Times New Roman" w:cs="Times New Roman"/>
          <w:sz w:val="24"/>
          <w:szCs w:val="24"/>
        </w:rPr>
        <w:t>) réduit fortement la probabilité de souscription, soulignant l’importance de la qualité des données clients.</w:t>
      </w:r>
    </w:p>
    <w:p w14:paraId="6428CB7E" w14:textId="772D6D19" w:rsidR="00B366CB" w:rsidRPr="00B366CB" w:rsidRDefault="00B366CB" w:rsidP="00813728">
      <w:pPr>
        <w:pStyle w:val="Titre4"/>
      </w:pPr>
      <w:r w:rsidRPr="00B366CB">
        <w:t>Importance globale des variables – SHAP (XGBoost)</w:t>
      </w:r>
    </w:p>
    <w:p w14:paraId="0C1395BD" w14:textId="62D4EED5" w:rsidR="00B366CB" w:rsidRPr="00B366C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L’analyse SHAP appliquée au modèle XGBoost confirme et complète les résultats de la régression logistique. Les variables les plus importantes</w:t>
      </w:r>
      <w:r w:rsidR="006515E8">
        <w:rPr>
          <w:rFonts w:ascii="Times New Roman" w:hAnsi="Times New Roman" w:cs="Times New Roman"/>
          <w:sz w:val="24"/>
          <w:szCs w:val="24"/>
        </w:rPr>
        <w:t xml:space="preserve"> (</w:t>
      </w:r>
      <w:r w:rsidR="006515E8" w:rsidRPr="006515E8">
        <w:rPr>
          <w:rFonts w:ascii="Times New Roman" w:hAnsi="Times New Roman" w:cs="Times New Roman"/>
          <w:i/>
          <w:iCs/>
          <w:sz w:val="24"/>
          <w:szCs w:val="24"/>
        </w:rPr>
        <w:t>voire annexes</w:t>
      </w:r>
      <w:r w:rsidR="006515E8">
        <w:rPr>
          <w:rFonts w:ascii="Times New Roman" w:hAnsi="Times New Roman" w:cs="Times New Roman"/>
          <w:sz w:val="24"/>
          <w:szCs w:val="24"/>
        </w:rPr>
        <w:t>)</w:t>
      </w:r>
      <w:r w:rsidRPr="00B366CB">
        <w:rPr>
          <w:rFonts w:ascii="Times New Roman" w:hAnsi="Times New Roman" w:cs="Times New Roman"/>
          <w:sz w:val="24"/>
          <w:szCs w:val="24"/>
        </w:rPr>
        <w:t xml:space="preserve"> en termes de contribution moyenne aux probabilités de souscription sont :</w:t>
      </w:r>
    </w:p>
    <w:p w14:paraId="66643BE4" w14:textId="77777777" w:rsidR="00B366CB" w:rsidRPr="00B366CB" w:rsidRDefault="00B366CB" w:rsidP="00813728">
      <w:pPr>
        <w:numPr>
          <w:ilvl w:val="0"/>
          <w:numId w:val="15"/>
        </w:numPr>
        <w:spacing w:line="360" w:lineRule="auto"/>
        <w:jc w:val="both"/>
        <w:rPr>
          <w:rFonts w:ascii="Times New Roman" w:hAnsi="Times New Roman" w:cs="Times New Roman"/>
          <w:sz w:val="24"/>
          <w:szCs w:val="24"/>
        </w:rPr>
      </w:pPr>
      <w:r w:rsidRPr="00B366CB">
        <w:rPr>
          <w:rFonts w:ascii="Times New Roman" w:hAnsi="Times New Roman" w:cs="Times New Roman"/>
          <w:i/>
          <w:iCs/>
          <w:sz w:val="24"/>
          <w:szCs w:val="24"/>
        </w:rPr>
        <w:t>poutcome_success</w:t>
      </w:r>
      <w:r w:rsidRPr="00B366CB">
        <w:rPr>
          <w:rFonts w:ascii="Times New Roman" w:hAnsi="Times New Roman" w:cs="Times New Roman"/>
          <w:sz w:val="24"/>
          <w:szCs w:val="24"/>
        </w:rPr>
        <w:t>, de loin la variable la plus influente ;</w:t>
      </w:r>
    </w:p>
    <w:p w14:paraId="2E5A7791" w14:textId="77777777" w:rsidR="00B366CB" w:rsidRPr="00B366CB" w:rsidRDefault="00B366CB" w:rsidP="00813728">
      <w:pPr>
        <w:numPr>
          <w:ilvl w:val="0"/>
          <w:numId w:val="15"/>
        </w:num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les variables temporelles (</w:t>
      </w:r>
      <w:r w:rsidRPr="00B366CB">
        <w:rPr>
          <w:rFonts w:ascii="Times New Roman" w:hAnsi="Times New Roman" w:cs="Times New Roman"/>
          <w:i/>
          <w:iCs/>
          <w:sz w:val="24"/>
          <w:szCs w:val="24"/>
        </w:rPr>
        <w:t>day</w:t>
      </w:r>
      <w:r w:rsidRPr="00B366CB">
        <w:rPr>
          <w:rFonts w:ascii="Times New Roman" w:hAnsi="Times New Roman" w:cs="Times New Roman"/>
          <w:sz w:val="24"/>
          <w:szCs w:val="24"/>
        </w:rPr>
        <w:t xml:space="preserve">, </w:t>
      </w:r>
      <w:r w:rsidRPr="00B366CB">
        <w:rPr>
          <w:rFonts w:ascii="Times New Roman" w:hAnsi="Times New Roman" w:cs="Times New Roman"/>
          <w:i/>
          <w:iCs/>
          <w:sz w:val="24"/>
          <w:szCs w:val="24"/>
        </w:rPr>
        <w:t>is_spring</w:t>
      </w:r>
      <w:r w:rsidRPr="00B366CB">
        <w:rPr>
          <w:rFonts w:ascii="Times New Roman" w:hAnsi="Times New Roman" w:cs="Times New Roman"/>
          <w:sz w:val="24"/>
          <w:szCs w:val="24"/>
        </w:rPr>
        <w:t xml:space="preserve">, </w:t>
      </w:r>
      <w:r w:rsidRPr="00B366CB">
        <w:rPr>
          <w:rFonts w:ascii="Times New Roman" w:hAnsi="Times New Roman" w:cs="Times New Roman"/>
          <w:i/>
          <w:iCs/>
          <w:sz w:val="24"/>
          <w:szCs w:val="24"/>
        </w:rPr>
        <w:t>is_autumn</w:t>
      </w:r>
      <w:r w:rsidRPr="00B366CB">
        <w:rPr>
          <w:rFonts w:ascii="Times New Roman" w:hAnsi="Times New Roman" w:cs="Times New Roman"/>
          <w:sz w:val="24"/>
          <w:szCs w:val="24"/>
        </w:rPr>
        <w:t xml:space="preserve">, </w:t>
      </w:r>
      <w:r w:rsidRPr="00B366CB">
        <w:rPr>
          <w:rFonts w:ascii="Times New Roman" w:hAnsi="Times New Roman" w:cs="Times New Roman"/>
          <w:i/>
          <w:iCs/>
          <w:sz w:val="24"/>
          <w:szCs w:val="24"/>
        </w:rPr>
        <w:t>is_summer</w:t>
      </w:r>
      <w:r w:rsidRPr="00B366CB">
        <w:rPr>
          <w:rFonts w:ascii="Times New Roman" w:hAnsi="Times New Roman" w:cs="Times New Roman"/>
          <w:sz w:val="24"/>
          <w:szCs w:val="24"/>
        </w:rPr>
        <w:t>), révélant un effet saisonnier marqué ;</w:t>
      </w:r>
    </w:p>
    <w:p w14:paraId="5FA9B211" w14:textId="77777777" w:rsidR="00B366CB" w:rsidRPr="00B366CB" w:rsidRDefault="00B366CB" w:rsidP="00813728">
      <w:pPr>
        <w:numPr>
          <w:ilvl w:val="0"/>
          <w:numId w:val="15"/>
        </w:num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 xml:space="preserve">le </w:t>
      </w:r>
      <w:r w:rsidRPr="00B366CB">
        <w:rPr>
          <w:rFonts w:ascii="Times New Roman" w:hAnsi="Times New Roman" w:cs="Times New Roman"/>
          <w:b/>
          <w:bCs/>
          <w:sz w:val="24"/>
          <w:szCs w:val="24"/>
        </w:rPr>
        <w:t>solde bancaire</w:t>
      </w:r>
      <w:r w:rsidRPr="00B366CB">
        <w:rPr>
          <w:rFonts w:ascii="Times New Roman" w:hAnsi="Times New Roman" w:cs="Times New Roman"/>
          <w:sz w:val="24"/>
          <w:szCs w:val="24"/>
        </w:rPr>
        <w:t xml:space="preserve"> (</w:t>
      </w:r>
      <w:r w:rsidRPr="00B366CB">
        <w:rPr>
          <w:rFonts w:ascii="Times New Roman" w:hAnsi="Times New Roman" w:cs="Times New Roman"/>
          <w:i/>
          <w:iCs/>
          <w:sz w:val="24"/>
          <w:szCs w:val="24"/>
        </w:rPr>
        <w:t>balance</w:t>
      </w:r>
      <w:r w:rsidRPr="00B366CB">
        <w:rPr>
          <w:rFonts w:ascii="Times New Roman" w:hAnsi="Times New Roman" w:cs="Times New Roman"/>
          <w:sz w:val="24"/>
          <w:szCs w:val="24"/>
        </w:rPr>
        <w:t>) et l’</w:t>
      </w:r>
      <w:r w:rsidRPr="00B366CB">
        <w:rPr>
          <w:rFonts w:ascii="Times New Roman" w:hAnsi="Times New Roman" w:cs="Times New Roman"/>
          <w:b/>
          <w:bCs/>
          <w:sz w:val="24"/>
          <w:szCs w:val="24"/>
        </w:rPr>
        <w:t>historique de contact</w:t>
      </w:r>
      <w:r w:rsidRPr="00B366CB">
        <w:rPr>
          <w:rFonts w:ascii="Times New Roman" w:hAnsi="Times New Roman" w:cs="Times New Roman"/>
          <w:sz w:val="24"/>
          <w:szCs w:val="24"/>
        </w:rPr>
        <w:t xml:space="preserve"> (</w:t>
      </w:r>
      <w:r w:rsidRPr="00B366CB">
        <w:rPr>
          <w:rFonts w:ascii="Times New Roman" w:hAnsi="Times New Roman" w:cs="Times New Roman"/>
          <w:i/>
          <w:iCs/>
          <w:sz w:val="24"/>
          <w:szCs w:val="24"/>
        </w:rPr>
        <w:t>pdays_clean</w:t>
      </w:r>
      <w:r w:rsidRPr="00B366CB">
        <w:rPr>
          <w:rFonts w:ascii="Times New Roman" w:hAnsi="Times New Roman" w:cs="Times New Roman"/>
          <w:sz w:val="24"/>
          <w:szCs w:val="24"/>
        </w:rPr>
        <w:t xml:space="preserve">, </w:t>
      </w:r>
      <w:r w:rsidRPr="00B366CB">
        <w:rPr>
          <w:rFonts w:ascii="Times New Roman" w:hAnsi="Times New Roman" w:cs="Times New Roman"/>
          <w:i/>
          <w:iCs/>
          <w:sz w:val="24"/>
          <w:szCs w:val="24"/>
        </w:rPr>
        <w:t>previous</w:t>
      </w:r>
      <w:r w:rsidRPr="00B366CB">
        <w:rPr>
          <w:rFonts w:ascii="Times New Roman" w:hAnsi="Times New Roman" w:cs="Times New Roman"/>
          <w:sz w:val="24"/>
          <w:szCs w:val="24"/>
        </w:rPr>
        <w:t>) ;</w:t>
      </w:r>
    </w:p>
    <w:p w14:paraId="0C211F74" w14:textId="77777777" w:rsidR="00B366CB" w:rsidRPr="00B366CB" w:rsidRDefault="00B366CB" w:rsidP="00813728">
      <w:pPr>
        <w:numPr>
          <w:ilvl w:val="0"/>
          <w:numId w:val="15"/>
        </w:num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le nombre de contacts durant la campagne (</w:t>
      </w:r>
      <w:r w:rsidRPr="00B366CB">
        <w:rPr>
          <w:rFonts w:ascii="Times New Roman" w:hAnsi="Times New Roman" w:cs="Times New Roman"/>
          <w:i/>
          <w:iCs/>
          <w:sz w:val="24"/>
          <w:szCs w:val="24"/>
        </w:rPr>
        <w:t>campaign</w:t>
      </w:r>
      <w:r w:rsidRPr="00B366CB">
        <w:rPr>
          <w:rFonts w:ascii="Times New Roman" w:hAnsi="Times New Roman" w:cs="Times New Roman"/>
          <w:sz w:val="24"/>
          <w:szCs w:val="24"/>
        </w:rPr>
        <w:t>), dont l’effet négatif est confirmé.</w:t>
      </w:r>
    </w:p>
    <w:p w14:paraId="09859D64" w14:textId="7ACEC35F" w:rsidR="004D255B" w:rsidRDefault="00B366CB" w:rsidP="00813728">
      <w:pPr>
        <w:spacing w:line="360" w:lineRule="auto"/>
        <w:jc w:val="both"/>
        <w:rPr>
          <w:rFonts w:ascii="Times New Roman" w:hAnsi="Times New Roman" w:cs="Times New Roman"/>
          <w:sz w:val="24"/>
          <w:szCs w:val="24"/>
        </w:rPr>
      </w:pPr>
      <w:r w:rsidRPr="00B366CB">
        <w:rPr>
          <w:rFonts w:ascii="Times New Roman" w:hAnsi="Times New Roman" w:cs="Times New Roman"/>
          <w:sz w:val="24"/>
          <w:szCs w:val="24"/>
        </w:rPr>
        <w:t>Cette convergence entre modèles interprétables (logistique) et modèles complexes (XGBoost) renforce la robustesse des conclusions et la crédibilité des recommandations formulées.</w:t>
      </w:r>
    </w:p>
    <w:p w14:paraId="0FD0F48E" w14:textId="77777777" w:rsidR="00EB05B8" w:rsidRDefault="00EB05B8" w:rsidP="00813728">
      <w:pPr>
        <w:spacing w:line="360" w:lineRule="auto"/>
        <w:jc w:val="both"/>
        <w:rPr>
          <w:rFonts w:ascii="Times New Roman" w:hAnsi="Times New Roman" w:cs="Times New Roman"/>
          <w:sz w:val="24"/>
          <w:szCs w:val="24"/>
        </w:rPr>
      </w:pPr>
    </w:p>
    <w:p w14:paraId="7539DC2F" w14:textId="77777777" w:rsidR="00EB05B8" w:rsidRPr="00783905" w:rsidRDefault="00EB05B8" w:rsidP="00813728">
      <w:pPr>
        <w:spacing w:line="360" w:lineRule="auto"/>
        <w:jc w:val="both"/>
        <w:rPr>
          <w:rFonts w:ascii="Times New Roman" w:hAnsi="Times New Roman" w:cs="Times New Roman"/>
          <w:sz w:val="24"/>
          <w:szCs w:val="24"/>
        </w:rPr>
      </w:pPr>
    </w:p>
    <w:p w14:paraId="720A3585" w14:textId="59E6E254" w:rsidR="00B366CB" w:rsidRPr="00B366CB" w:rsidRDefault="00B366CB" w:rsidP="00083AEB">
      <w:pPr>
        <w:pStyle w:val="Titre3"/>
      </w:pPr>
      <w:bookmarkStart w:id="54" w:name="_Toc221721607"/>
      <w:bookmarkStart w:id="55" w:name="OLE_LINK36"/>
      <w:r w:rsidRPr="00B366CB">
        <w:lastRenderedPageBreak/>
        <w:t>Simulation opérationnelle et recommandations métier</w:t>
      </w:r>
      <w:bookmarkEnd w:id="54"/>
    </w:p>
    <w:p w14:paraId="21D80A78" w14:textId="6CF3DB29" w:rsidR="00D12908" w:rsidRPr="00D12908" w:rsidRDefault="00D12908" w:rsidP="00813728">
      <w:pPr>
        <w:spacing w:line="360" w:lineRule="auto"/>
        <w:jc w:val="both"/>
        <w:rPr>
          <w:rFonts w:ascii="Times New Roman" w:hAnsi="Times New Roman" w:cs="Times New Roman"/>
          <w:sz w:val="24"/>
          <w:szCs w:val="24"/>
        </w:rPr>
      </w:pPr>
      <w:r w:rsidRPr="00D12908">
        <w:rPr>
          <w:rFonts w:ascii="Times New Roman" w:hAnsi="Times New Roman" w:cs="Times New Roman"/>
          <w:sz w:val="24"/>
          <w:szCs w:val="24"/>
        </w:rPr>
        <w:t>Au-delà des performances statistiques globales, une simulation opérationnelle a été menée afin d’évaluer l’impact économique des modèles dans un cadre réaliste de prospection commerciale</w:t>
      </w:r>
      <w:r w:rsidR="005479B8" w:rsidRPr="005479B8">
        <w:t xml:space="preserve"> </w:t>
      </w:r>
      <w:r w:rsidR="005479B8" w:rsidRPr="005479B8">
        <w:rPr>
          <w:rFonts w:ascii="Times New Roman" w:hAnsi="Times New Roman" w:cs="Times New Roman"/>
          <w:sz w:val="24"/>
          <w:szCs w:val="24"/>
        </w:rPr>
        <w:t>(</w:t>
      </w:r>
      <w:r w:rsidR="005479B8" w:rsidRPr="005479B8">
        <w:rPr>
          <w:rFonts w:ascii="Times New Roman" w:hAnsi="Times New Roman" w:cs="Times New Roman"/>
          <w:i/>
          <w:iCs/>
          <w:sz w:val="24"/>
          <w:szCs w:val="24"/>
        </w:rPr>
        <w:t>Voire annexe 11 à 12</w:t>
      </w:r>
      <w:r w:rsidR="005479B8" w:rsidRPr="005479B8">
        <w:rPr>
          <w:rFonts w:ascii="Times New Roman" w:hAnsi="Times New Roman" w:cs="Times New Roman"/>
          <w:sz w:val="24"/>
          <w:szCs w:val="24"/>
        </w:rPr>
        <w:t>)</w:t>
      </w:r>
      <w:r w:rsidRPr="00D12908">
        <w:rPr>
          <w:rFonts w:ascii="Times New Roman" w:hAnsi="Times New Roman" w:cs="Times New Roman"/>
          <w:sz w:val="24"/>
          <w:szCs w:val="24"/>
        </w:rPr>
        <w:t>. L’analyse repose sur des hypothèses simples et homogènes pour tous les modèles : un coût unitaire d’appel fixé à 2 € et un gain moyen de 60 € par souscription effective.</w:t>
      </w:r>
    </w:p>
    <w:p w14:paraId="78165C75" w14:textId="77777777" w:rsidR="00D12908" w:rsidRPr="00D12908" w:rsidRDefault="00D12908" w:rsidP="00813728">
      <w:pPr>
        <w:spacing w:line="360" w:lineRule="auto"/>
        <w:jc w:val="both"/>
        <w:rPr>
          <w:rFonts w:ascii="Times New Roman" w:hAnsi="Times New Roman" w:cs="Times New Roman"/>
          <w:sz w:val="24"/>
          <w:szCs w:val="24"/>
        </w:rPr>
      </w:pPr>
      <w:r w:rsidRPr="00D12908">
        <w:rPr>
          <w:rFonts w:ascii="Times New Roman" w:hAnsi="Times New Roman" w:cs="Times New Roman"/>
          <w:sz w:val="24"/>
          <w:szCs w:val="24"/>
        </w:rPr>
        <w:t xml:space="preserve">Afin de garantir une comparaison équitable, la simulation est réalisée à </w:t>
      </w:r>
      <w:r w:rsidRPr="00D12908">
        <w:rPr>
          <w:rFonts w:ascii="Times New Roman" w:hAnsi="Times New Roman" w:cs="Times New Roman"/>
          <w:b/>
          <w:bCs/>
          <w:sz w:val="24"/>
          <w:szCs w:val="24"/>
        </w:rPr>
        <w:t>seuil de décision identique (20 %)</w:t>
      </w:r>
      <w:r w:rsidRPr="00D12908">
        <w:rPr>
          <w:rFonts w:ascii="Times New Roman" w:hAnsi="Times New Roman" w:cs="Times New Roman"/>
          <w:sz w:val="24"/>
          <w:szCs w:val="24"/>
        </w:rPr>
        <w:t xml:space="preserve"> pour les deux modèles les plus performants en phase de modélisation, à savoir la Random Forest et XGBoost. Ce seuil correspond à une stratégie de ciblage volontairement restrictive, compatible avec des contraintes opérationnelles réalistes (capacité limitée des équipes commerciales, maîtrise des coûts de contact).</w:t>
      </w:r>
    </w:p>
    <w:p w14:paraId="27673D0F" w14:textId="64024DC7" w:rsidR="00FE5A86" w:rsidRPr="00FE5A86" w:rsidRDefault="0088411D" w:rsidP="00813728">
      <w:pPr>
        <w:spacing w:line="360" w:lineRule="auto"/>
        <w:jc w:val="both"/>
        <w:rPr>
          <w:rFonts w:ascii="Times New Roman" w:hAnsi="Times New Roman" w:cs="Times New Roman"/>
          <w:b/>
          <w:bCs/>
          <w:sz w:val="24"/>
          <w:szCs w:val="24"/>
        </w:rPr>
      </w:pPr>
      <w:r w:rsidRPr="0088411D">
        <w:rPr>
          <w:rFonts w:ascii="Times New Roman" w:hAnsi="Times New Roman" w:cs="Times New Roman"/>
          <w:b/>
          <w:bCs/>
          <w:sz w:val="24"/>
          <w:szCs w:val="24"/>
        </w:rPr>
        <w:t>Tableau</w:t>
      </w:r>
      <w:r w:rsidR="002B29EF">
        <w:rPr>
          <w:rFonts w:ascii="Times New Roman" w:hAnsi="Times New Roman" w:cs="Times New Roman"/>
          <w:b/>
          <w:bCs/>
          <w:sz w:val="24"/>
          <w:szCs w:val="24"/>
        </w:rPr>
        <w:t xml:space="preserve"> 5</w:t>
      </w:r>
      <w:r w:rsidRPr="0088411D">
        <w:rPr>
          <w:rFonts w:ascii="Times New Roman" w:hAnsi="Times New Roman" w:cs="Times New Roman"/>
          <w:b/>
          <w:bCs/>
          <w:sz w:val="24"/>
          <w:szCs w:val="24"/>
        </w:rPr>
        <w:t xml:space="preserve"> </w:t>
      </w:r>
      <w:r w:rsidR="002B29EF">
        <w:rPr>
          <w:rFonts w:ascii="Times New Roman" w:hAnsi="Times New Roman" w:cs="Times New Roman"/>
          <w:b/>
          <w:bCs/>
          <w:sz w:val="24"/>
          <w:szCs w:val="24"/>
        </w:rPr>
        <w:t>-</w:t>
      </w:r>
      <w:r w:rsidRPr="0088411D">
        <w:rPr>
          <w:rFonts w:ascii="Times New Roman" w:hAnsi="Times New Roman" w:cs="Times New Roman"/>
          <w:b/>
          <w:bCs/>
          <w:sz w:val="24"/>
          <w:szCs w:val="24"/>
        </w:rPr>
        <w:t xml:space="preserve"> Simulation de profitabilité à seuil de décision 20 % (Random Forest vs XGBoost)</w:t>
      </w:r>
    </w:p>
    <w:tbl>
      <w:tblPr>
        <w:tblStyle w:val="Tableausimple2"/>
        <w:tblW w:w="9114" w:type="dxa"/>
        <w:tblLook w:val="06A0" w:firstRow="1" w:lastRow="0" w:firstColumn="1" w:lastColumn="0" w:noHBand="1" w:noVBand="1"/>
      </w:tblPr>
      <w:tblGrid>
        <w:gridCol w:w="1282"/>
        <w:gridCol w:w="1486"/>
        <w:gridCol w:w="1386"/>
        <w:gridCol w:w="1931"/>
        <w:gridCol w:w="994"/>
        <w:gridCol w:w="994"/>
        <w:gridCol w:w="1041"/>
      </w:tblGrid>
      <w:tr w:rsidR="008E5B8D" w:rsidRPr="008E5B8D" w14:paraId="2D4335A0" w14:textId="77777777" w:rsidTr="0034411B">
        <w:trPr>
          <w:cnfStyle w:val="100000000000" w:firstRow="1" w:lastRow="0" w:firstColumn="0" w:lastColumn="0" w:oddVBand="0" w:evenVBand="0" w:oddHBand="0"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1282" w:type="dxa"/>
            <w:tcBorders>
              <w:top w:val="double" w:sz="4" w:space="0" w:color="auto"/>
              <w:bottom w:val="double" w:sz="4" w:space="0" w:color="auto"/>
            </w:tcBorders>
            <w:hideMark/>
          </w:tcPr>
          <w:p w14:paraId="6FC68005" w14:textId="77777777" w:rsidR="008E5B8D" w:rsidRPr="008E5B8D" w:rsidRDefault="008E5B8D" w:rsidP="00F63764">
            <w:pPr>
              <w:spacing w:after="160" w:line="360" w:lineRule="auto"/>
              <w:jc w:val="center"/>
              <w:rPr>
                <w:rFonts w:ascii="Times New Roman" w:hAnsi="Times New Roman" w:cs="Times New Roman"/>
                <w:sz w:val="24"/>
                <w:szCs w:val="24"/>
              </w:rPr>
            </w:pPr>
            <w:bookmarkStart w:id="56" w:name="OLE_LINK21"/>
            <w:r w:rsidRPr="008E5B8D">
              <w:rPr>
                <w:rFonts w:ascii="Times New Roman" w:hAnsi="Times New Roman" w:cs="Times New Roman"/>
                <w:sz w:val="24"/>
                <w:szCs w:val="24"/>
              </w:rPr>
              <w:t>Modèle</w:t>
            </w:r>
          </w:p>
        </w:tc>
        <w:tc>
          <w:tcPr>
            <w:tcW w:w="1486" w:type="dxa"/>
            <w:tcBorders>
              <w:top w:val="double" w:sz="4" w:space="0" w:color="auto"/>
              <w:bottom w:val="double" w:sz="4" w:space="0" w:color="auto"/>
            </w:tcBorders>
            <w:hideMark/>
          </w:tcPr>
          <w:p w14:paraId="2D2A2A37" w14:textId="77777777" w:rsidR="008E5B8D" w:rsidRPr="008E5B8D" w:rsidRDefault="008E5B8D" w:rsidP="00F63764">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Clients contactés</w:t>
            </w:r>
          </w:p>
        </w:tc>
        <w:tc>
          <w:tcPr>
            <w:tcW w:w="0" w:type="auto"/>
            <w:tcBorders>
              <w:top w:val="double" w:sz="4" w:space="0" w:color="auto"/>
              <w:bottom w:val="double" w:sz="4" w:space="0" w:color="auto"/>
            </w:tcBorders>
            <w:hideMark/>
          </w:tcPr>
          <w:p w14:paraId="45A2571F" w14:textId="34B8C77D" w:rsidR="008E5B8D" w:rsidRPr="008E5B8D" w:rsidRDefault="008E5B8D" w:rsidP="00F63764">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Taux</w:t>
            </w:r>
            <w:r w:rsidR="00F63764">
              <w:rPr>
                <w:rFonts w:ascii="Times New Roman" w:hAnsi="Times New Roman" w:cs="Times New Roman"/>
                <w:sz w:val="24"/>
                <w:szCs w:val="24"/>
              </w:rPr>
              <w:t xml:space="preserve"> </w:t>
            </w:r>
            <w:r w:rsidRPr="008E5B8D">
              <w:rPr>
                <w:rFonts w:ascii="Times New Roman" w:hAnsi="Times New Roman" w:cs="Times New Roman"/>
                <w:sz w:val="24"/>
                <w:szCs w:val="24"/>
              </w:rPr>
              <w:t>de contact (%)</w:t>
            </w:r>
          </w:p>
        </w:tc>
        <w:tc>
          <w:tcPr>
            <w:tcW w:w="0" w:type="auto"/>
            <w:tcBorders>
              <w:top w:val="double" w:sz="4" w:space="0" w:color="auto"/>
              <w:bottom w:val="double" w:sz="4" w:space="0" w:color="auto"/>
            </w:tcBorders>
            <w:hideMark/>
          </w:tcPr>
          <w:p w14:paraId="7FF5239D" w14:textId="77777777" w:rsidR="008E5B8D" w:rsidRPr="008E5B8D" w:rsidRDefault="008E5B8D" w:rsidP="00F63764">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Souscriptions attendues</w:t>
            </w:r>
          </w:p>
        </w:tc>
        <w:tc>
          <w:tcPr>
            <w:tcW w:w="0" w:type="auto"/>
            <w:tcBorders>
              <w:top w:val="double" w:sz="4" w:space="0" w:color="auto"/>
              <w:bottom w:val="double" w:sz="4" w:space="0" w:color="auto"/>
            </w:tcBorders>
            <w:hideMark/>
          </w:tcPr>
          <w:p w14:paraId="7A6438B1" w14:textId="77777777" w:rsidR="008E5B8D" w:rsidRPr="008E5B8D" w:rsidRDefault="008E5B8D" w:rsidP="00F63764">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Coût total (€)</w:t>
            </w:r>
          </w:p>
        </w:tc>
        <w:tc>
          <w:tcPr>
            <w:tcW w:w="0" w:type="auto"/>
            <w:tcBorders>
              <w:top w:val="double" w:sz="4" w:space="0" w:color="auto"/>
              <w:bottom w:val="double" w:sz="4" w:space="0" w:color="auto"/>
            </w:tcBorders>
            <w:hideMark/>
          </w:tcPr>
          <w:p w14:paraId="71DFC579" w14:textId="77777777" w:rsidR="008E5B8D" w:rsidRPr="008E5B8D" w:rsidRDefault="008E5B8D" w:rsidP="00F63764">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Gain total (€)</w:t>
            </w:r>
          </w:p>
        </w:tc>
        <w:tc>
          <w:tcPr>
            <w:tcW w:w="0" w:type="auto"/>
            <w:tcBorders>
              <w:top w:val="double" w:sz="4" w:space="0" w:color="auto"/>
              <w:bottom w:val="double" w:sz="4" w:space="0" w:color="auto"/>
            </w:tcBorders>
            <w:hideMark/>
          </w:tcPr>
          <w:p w14:paraId="30A7B7CE" w14:textId="77777777" w:rsidR="008E5B8D" w:rsidRPr="008E5B8D" w:rsidRDefault="008E5B8D" w:rsidP="00F63764">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Profit net (€)</w:t>
            </w:r>
          </w:p>
        </w:tc>
      </w:tr>
      <w:tr w:rsidR="008E5B8D" w:rsidRPr="008E5B8D" w14:paraId="7C7C92F7" w14:textId="77777777" w:rsidTr="0034411B">
        <w:trPr>
          <w:trHeight w:val="1037"/>
        </w:trPr>
        <w:tc>
          <w:tcPr>
            <w:cnfStyle w:val="001000000000" w:firstRow="0" w:lastRow="0" w:firstColumn="1" w:lastColumn="0" w:oddVBand="0" w:evenVBand="0" w:oddHBand="0" w:evenHBand="0" w:firstRowFirstColumn="0" w:firstRowLastColumn="0" w:lastRowFirstColumn="0" w:lastRowLastColumn="0"/>
            <w:tcW w:w="1282" w:type="dxa"/>
            <w:tcBorders>
              <w:top w:val="double" w:sz="4" w:space="0" w:color="auto"/>
            </w:tcBorders>
            <w:hideMark/>
          </w:tcPr>
          <w:p w14:paraId="066D0229" w14:textId="77777777" w:rsidR="008E5B8D" w:rsidRPr="008E5B8D" w:rsidRDefault="008E5B8D" w:rsidP="00813728">
            <w:pPr>
              <w:spacing w:after="160" w:line="360" w:lineRule="auto"/>
              <w:jc w:val="both"/>
              <w:rPr>
                <w:rFonts w:ascii="Times New Roman" w:hAnsi="Times New Roman" w:cs="Times New Roman"/>
                <w:sz w:val="24"/>
                <w:szCs w:val="24"/>
              </w:rPr>
            </w:pPr>
            <w:r w:rsidRPr="008E5B8D">
              <w:rPr>
                <w:rFonts w:ascii="Times New Roman" w:hAnsi="Times New Roman" w:cs="Times New Roman"/>
                <w:sz w:val="24"/>
                <w:szCs w:val="24"/>
              </w:rPr>
              <w:t>Random Forest</w:t>
            </w:r>
          </w:p>
        </w:tc>
        <w:tc>
          <w:tcPr>
            <w:tcW w:w="1486" w:type="dxa"/>
            <w:tcBorders>
              <w:top w:val="double" w:sz="4" w:space="0" w:color="auto"/>
            </w:tcBorders>
            <w:hideMark/>
          </w:tcPr>
          <w:p w14:paraId="1EF899DE"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1 764</w:t>
            </w:r>
          </w:p>
        </w:tc>
        <w:tc>
          <w:tcPr>
            <w:tcW w:w="0" w:type="auto"/>
            <w:tcBorders>
              <w:top w:val="double" w:sz="4" w:space="0" w:color="auto"/>
            </w:tcBorders>
            <w:hideMark/>
          </w:tcPr>
          <w:p w14:paraId="42338B40"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13,0</w:t>
            </w:r>
          </w:p>
        </w:tc>
        <w:tc>
          <w:tcPr>
            <w:tcW w:w="0" w:type="auto"/>
            <w:tcBorders>
              <w:top w:val="double" w:sz="4" w:space="0" w:color="auto"/>
            </w:tcBorders>
            <w:hideMark/>
          </w:tcPr>
          <w:p w14:paraId="4E71F988"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707</w:t>
            </w:r>
          </w:p>
        </w:tc>
        <w:tc>
          <w:tcPr>
            <w:tcW w:w="0" w:type="auto"/>
            <w:tcBorders>
              <w:top w:val="double" w:sz="4" w:space="0" w:color="auto"/>
            </w:tcBorders>
            <w:hideMark/>
          </w:tcPr>
          <w:p w14:paraId="057EA3BC"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3 528</w:t>
            </w:r>
          </w:p>
        </w:tc>
        <w:tc>
          <w:tcPr>
            <w:tcW w:w="0" w:type="auto"/>
            <w:tcBorders>
              <w:top w:val="double" w:sz="4" w:space="0" w:color="auto"/>
            </w:tcBorders>
            <w:hideMark/>
          </w:tcPr>
          <w:p w14:paraId="665C2827"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42 420</w:t>
            </w:r>
          </w:p>
        </w:tc>
        <w:tc>
          <w:tcPr>
            <w:tcW w:w="0" w:type="auto"/>
            <w:tcBorders>
              <w:top w:val="double" w:sz="4" w:space="0" w:color="auto"/>
            </w:tcBorders>
            <w:hideMark/>
          </w:tcPr>
          <w:p w14:paraId="787D5D98"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38 892</w:t>
            </w:r>
          </w:p>
        </w:tc>
      </w:tr>
      <w:tr w:rsidR="008E5B8D" w:rsidRPr="008E5B8D" w14:paraId="1E43AA8D" w14:textId="77777777" w:rsidTr="0034411B">
        <w:trPr>
          <w:trHeight w:val="605"/>
        </w:trPr>
        <w:tc>
          <w:tcPr>
            <w:cnfStyle w:val="001000000000" w:firstRow="0" w:lastRow="0" w:firstColumn="1" w:lastColumn="0" w:oddVBand="0" w:evenVBand="0" w:oddHBand="0" w:evenHBand="0" w:firstRowFirstColumn="0" w:firstRowLastColumn="0" w:lastRowFirstColumn="0" w:lastRowLastColumn="0"/>
            <w:tcW w:w="1282" w:type="dxa"/>
            <w:tcBorders>
              <w:bottom w:val="double" w:sz="4" w:space="0" w:color="auto"/>
            </w:tcBorders>
            <w:hideMark/>
          </w:tcPr>
          <w:p w14:paraId="521F0C95" w14:textId="77777777" w:rsidR="008E5B8D" w:rsidRPr="008E5B8D" w:rsidRDefault="008E5B8D" w:rsidP="00813728">
            <w:pPr>
              <w:spacing w:after="160" w:line="360" w:lineRule="auto"/>
              <w:jc w:val="both"/>
              <w:rPr>
                <w:rFonts w:ascii="Times New Roman" w:hAnsi="Times New Roman" w:cs="Times New Roman"/>
                <w:sz w:val="24"/>
                <w:szCs w:val="24"/>
              </w:rPr>
            </w:pPr>
            <w:r w:rsidRPr="008E5B8D">
              <w:rPr>
                <w:rFonts w:ascii="Times New Roman" w:hAnsi="Times New Roman" w:cs="Times New Roman"/>
                <w:sz w:val="24"/>
                <w:szCs w:val="24"/>
              </w:rPr>
              <w:t>XGBoost</w:t>
            </w:r>
          </w:p>
        </w:tc>
        <w:tc>
          <w:tcPr>
            <w:tcW w:w="1486" w:type="dxa"/>
            <w:tcBorders>
              <w:bottom w:val="double" w:sz="4" w:space="0" w:color="auto"/>
            </w:tcBorders>
            <w:hideMark/>
          </w:tcPr>
          <w:p w14:paraId="0C329DE7"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681</w:t>
            </w:r>
          </w:p>
        </w:tc>
        <w:tc>
          <w:tcPr>
            <w:tcW w:w="0" w:type="auto"/>
            <w:tcBorders>
              <w:bottom w:val="double" w:sz="4" w:space="0" w:color="auto"/>
            </w:tcBorders>
            <w:hideMark/>
          </w:tcPr>
          <w:p w14:paraId="0CE05E5E"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5,0</w:t>
            </w:r>
          </w:p>
        </w:tc>
        <w:tc>
          <w:tcPr>
            <w:tcW w:w="0" w:type="auto"/>
            <w:tcBorders>
              <w:bottom w:val="double" w:sz="4" w:space="0" w:color="auto"/>
            </w:tcBorders>
            <w:hideMark/>
          </w:tcPr>
          <w:p w14:paraId="1690FF83"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329</w:t>
            </w:r>
          </w:p>
        </w:tc>
        <w:tc>
          <w:tcPr>
            <w:tcW w:w="0" w:type="auto"/>
            <w:tcBorders>
              <w:bottom w:val="double" w:sz="4" w:space="0" w:color="auto"/>
            </w:tcBorders>
            <w:hideMark/>
          </w:tcPr>
          <w:p w14:paraId="53A70361"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1 362</w:t>
            </w:r>
          </w:p>
        </w:tc>
        <w:tc>
          <w:tcPr>
            <w:tcW w:w="0" w:type="auto"/>
            <w:tcBorders>
              <w:bottom w:val="double" w:sz="4" w:space="0" w:color="auto"/>
            </w:tcBorders>
            <w:hideMark/>
          </w:tcPr>
          <w:p w14:paraId="49398252"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19 740</w:t>
            </w:r>
          </w:p>
        </w:tc>
        <w:tc>
          <w:tcPr>
            <w:tcW w:w="0" w:type="auto"/>
            <w:tcBorders>
              <w:bottom w:val="double" w:sz="4" w:space="0" w:color="auto"/>
            </w:tcBorders>
            <w:hideMark/>
          </w:tcPr>
          <w:p w14:paraId="3E4954B6" w14:textId="77777777" w:rsidR="008E5B8D" w:rsidRPr="008E5B8D" w:rsidRDefault="008E5B8D" w:rsidP="008415C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B8D">
              <w:rPr>
                <w:rFonts w:ascii="Times New Roman" w:hAnsi="Times New Roman" w:cs="Times New Roman"/>
                <w:sz w:val="24"/>
                <w:szCs w:val="24"/>
              </w:rPr>
              <w:t>18 378</w:t>
            </w:r>
          </w:p>
        </w:tc>
      </w:tr>
    </w:tbl>
    <w:p w14:paraId="55D56B6A" w14:textId="78052DBD" w:rsidR="00FE5A86" w:rsidRPr="005D3672" w:rsidRDefault="005D3672" w:rsidP="00813728">
      <w:pPr>
        <w:spacing w:line="360" w:lineRule="auto"/>
        <w:jc w:val="both"/>
        <w:rPr>
          <w:rFonts w:ascii="Times New Roman" w:hAnsi="Times New Roman" w:cs="Times New Roman"/>
          <w:i/>
          <w:iCs/>
          <w:sz w:val="24"/>
          <w:szCs w:val="24"/>
        </w:rPr>
      </w:pPr>
      <w:bookmarkStart w:id="57" w:name="OLE_LINK7"/>
      <w:r w:rsidRPr="005D3672">
        <w:rPr>
          <w:rFonts w:ascii="Times New Roman" w:hAnsi="Times New Roman" w:cs="Times New Roman"/>
          <w:i/>
          <w:iCs/>
          <w:sz w:val="24"/>
          <w:szCs w:val="24"/>
        </w:rPr>
        <w:t>Source : auteurs, à partir des données UCI</w:t>
      </w:r>
    </w:p>
    <w:bookmarkEnd w:id="56"/>
    <w:bookmarkEnd w:id="57"/>
    <w:p w14:paraId="799577D1" w14:textId="77777777" w:rsidR="00E824E9" w:rsidRPr="00E824E9" w:rsidRDefault="00E824E9" w:rsidP="00813728">
      <w:pPr>
        <w:pStyle w:val="NormalWeb"/>
        <w:spacing w:line="360" w:lineRule="auto"/>
        <w:jc w:val="both"/>
        <w:rPr>
          <w:rStyle w:val="Accentuation"/>
          <w:rFonts w:eastAsiaTheme="majorEastAsia"/>
          <w:i w:val="0"/>
          <w:iCs w:val="0"/>
        </w:rPr>
      </w:pPr>
      <w:r w:rsidRPr="00E824E9">
        <w:rPr>
          <w:rStyle w:val="Accentuation"/>
          <w:rFonts w:eastAsiaTheme="majorEastAsia"/>
          <w:i w:val="0"/>
          <w:iCs w:val="0"/>
        </w:rPr>
        <w:t>Le tableau met en évidence des stratégies de ciblage sensiblement différentes selon le modèle, malgré un seuil de décision identique.</w:t>
      </w:r>
    </w:p>
    <w:p w14:paraId="23E69B42" w14:textId="77777777" w:rsidR="00E824E9" w:rsidRPr="00E824E9" w:rsidRDefault="00E824E9" w:rsidP="00813728">
      <w:pPr>
        <w:pStyle w:val="NormalWeb"/>
        <w:spacing w:line="360" w:lineRule="auto"/>
        <w:jc w:val="both"/>
        <w:rPr>
          <w:rStyle w:val="Accentuation"/>
          <w:rFonts w:eastAsiaTheme="majorEastAsia"/>
          <w:i w:val="0"/>
          <w:iCs w:val="0"/>
        </w:rPr>
      </w:pPr>
      <w:r w:rsidRPr="00E824E9">
        <w:rPr>
          <w:rStyle w:val="Accentuation"/>
          <w:rFonts w:eastAsiaTheme="majorEastAsia"/>
          <w:i w:val="0"/>
          <w:iCs w:val="0"/>
        </w:rPr>
        <w:t>À seuil de 20 %, la Random Forest adopte une stratégie extensive, en contactant une proportion importante de la base clients (13 %). Cette approche permet de détecter un nombre élevé de souscripteurs en valeur absolue (707), mais s’accompagne d’un volume conséquent d’appels, et donc de coûts opérationnels plus élevés. Elle est adaptée à un contexte où le coût d’appel est faible et où la priorité est donnée au volume de conversions, au risque d’une prospection plus large et moins ciblée.</w:t>
      </w:r>
    </w:p>
    <w:p w14:paraId="3727470A" w14:textId="653E1F27" w:rsidR="00356A48" w:rsidRDefault="00E824E9" w:rsidP="00813728">
      <w:pPr>
        <w:pStyle w:val="NormalWeb"/>
        <w:spacing w:line="360" w:lineRule="auto"/>
        <w:jc w:val="both"/>
        <w:rPr>
          <w:rStyle w:val="Accentuation"/>
          <w:rFonts w:eastAsiaTheme="majorEastAsia"/>
          <w:i w:val="0"/>
          <w:iCs w:val="0"/>
        </w:rPr>
      </w:pPr>
      <w:r w:rsidRPr="00E824E9">
        <w:rPr>
          <w:rStyle w:val="Accentuation"/>
          <w:rFonts w:eastAsiaTheme="majorEastAsia"/>
          <w:i w:val="0"/>
          <w:iCs w:val="0"/>
        </w:rPr>
        <w:lastRenderedPageBreak/>
        <w:t>À l’inverse, le modèle XGBoost met en œuvre une stratégie plus sélective, en ne contactant que 5 % de la base. Bien que le nombre de souscriptions attendues soit plus faible en valeur absolue (329), le modèle limite fortement les appels infructueux et permet de concentrer les efforts commerciaux sur les clients les plus prometteurs. Cette approche est particulièrement pertinente lorsque les capacités de contact sont contraintes ou lorsque le coût indirect d’un appel inutile (insatisfaction client, image de marque) est élevé.</w:t>
      </w:r>
    </w:p>
    <w:p w14:paraId="317108D0" w14:textId="77777777" w:rsidR="00744F74" w:rsidRPr="00744F74" w:rsidRDefault="00744F74" w:rsidP="00083AEB">
      <w:pPr>
        <w:pStyle w:val="Titre3"/>
      </w:pPr>
      <w:bookmarkStart w:id="58" w:name="_Toc221721608"/>
      <w:r w:rsidRPr="00744F74">
        <w:t>Recommandations opérationnelles</w:t>
      </w:r>
      <w:bookmarkEnd w:id="58"/>
    </w:p>
    <w:p w14:paraId="586BDE1D" w14:textId="77777777" w:rsidR="00744F74" w:rsidRPr="00744F74" w:rsidRDefault="00744F74" w:rsidP="00813728">
      <w:pPr>
        <w:spacing w:line="360" w:lineRule="auto"/>
        <w:jc w:val="both"/>
        <w:rPr>
          <w:rFonts w:ascii="Times New Roman" w:hAnsi="Times New Roman" w:cs="Times New Roman"/>
          <w:sz w:val="24"/>
          <w:szCs w:val="24"/>
        </w:rPr>
      </w:pPr>
      <w:r w:rsidRPr="00744F74">
        <w:rPr>
          <w:rFonts w:ascii="Times New Roman" w:hAnsi="Times New Roman" w:cs="Times New Roman"/>
          <w:sz w:val="24"/>
          <w:szCs w:val="24"/>
        </w:rPr>
        <w:t xml:space="preserve">Ces résultats montrent que le choix du modèle dépend directement des </w:t>
      </w:r>
      <w:r w:rsidRPr="00744F74">
        <w:rPr>
          <w:rFonts w:ascii="Times New Roman" w:hAnsi="Times New Roman" w:cs="Times New Roman"/>
          <w:b/>
          <w:bCs/>
          <w:sz w:val="24"/>
          <w:szCs w:val="24"/>
        </w:rPr>
        <w:t>objectifs stratégiques de la banque</w:t>
      </w:r>
      <w:r w:rsidRPr="00744F74">
        <w:rPr>
          <w:rFonts w:ascii="Times New Roman" w:hAnsi="Times New Roman" w:cs="Times New Roman"/>
          <w:sz w:val="24"/>
          <w:szCs w:val="24"/>
        </w:rPr>
        <w:t xml:space="preserve"> :</w:t>
      </w:r>
    </w:p>
    <w:p w14:paraId="3D34F479" w14:textId="77777777" w:rsidR="00744F74" w:rsidRPr="00744F74" w:rsidRDefault="00744F74" w:rsidP="00813728">
      <w:pPr>
        <w:numPr>
          <w:ilvl w:val="0"/>
          <w:numId w:val="18"/>
        </w:numPr>
        <w:spacing w:line="360" w:lineRule="auto"/>
        <w:jc w:val="both"/>
        <w:rPr>
          <w:rFonts w:ascii="Times New Roman" w:hAnsi="Times New Roman" w:cs="Times New Roman"/>
          <w:sz w:val="24"/>
          <w:szCs w:val="24"/>
        </w:rPr>
      </w:pPr>
      <w:r w:rsidRPr="00744F74">
        <w:rPr>
          <w:rFonts w:ascii="Times New Roman" w:hAnsi="Times New Roman" w:cs="Times New Roman"/>
          <w:sz w:val="24"/>
          <w:szCs w:val="24"/>
        </w:rPr>
        <w:t xml:space="preserve">privilégier la </w:t>
      </w:r>
      <w:r w:rsidRPr="00744F74">
        <w:rPr>
          <w:rFonts w:ascii="Times New Roman" w:hAnsi="Times New Roman" w:cs="Times New Roman"/>
          <w:b/>
          <w:bCs/>
          <w:sz w:val="24"/>
          <w:szCs w:val="24"/>
        </w:rPr>
        <w:t>Random Forest</w:t>
      </w:r>
      <w:r w:rsidRPr="00744F74">
        <w:rPr>
          <w:rFonts w:ascii="Times New Roman" w:hAnsi="Times New Roman" w:cs="Times New Roman"/>
          <w:sz w:val="24"/>
          <w:szCs w:val="24"/>
        </w:rPr>
        <w:t xml:space="preserve"> si l’objectif est de maximiser le nombre total de souscriptions dans un contexte de prospection massive ;</w:t>
      </w:r>
    </w:p>
    <w:p w14:paraId="33939C0D" w14:textId="77777777" w:rsidR="00744F74" w:rsidRPr="00744F74" w:rsidRDefault="00744F74" w:rsidP="00813728">
      <w:pPr>
        <w:numPr>
          <w:ilvl w:val="0"/>
          <w:numId w:val="18"/>
        </w:numPr>
        <w:spacing w:line="360" w:lineRule="auto"/>
        <w:jc w:val="both"/>
        <w:rPr>
          <w:rFonts w:ascii="Times New Roman" w:hAnsi="Times New Roman" w:cs="Times New Roman"/>
          <w:sz w:val="24"/>
          <w:szCs w:val="24"/>
        </w:rPr>
      </w:pPr>
      <w:r w:rsidRPr="00744F74">
        <w:rPr>
          <w:rFonts w:ascii="Times New Roman" w:hAnsi="Times New Roman" w:cs="Times New Roman"/>
          <w:sz w:val="24"/>
          <w:szCs w:val="24"/>
        </w:rPr>
        <w:t xml:space="preserve">privilégier </w:t>
      </w:r>
      <w:r w:rsidRPr="00744F74">
        <w:rPr>
          <w:rFonts w:ascii="Times New Roman" w:hAnsi="Times New Roman" w:cs="Times New Roman"/>
          <w:b/>
          <w:bCs/>
          <w:sz w:val="24"/>
          <w:szCs w:val="24"/>
        </w:rPr>
        <w:t>XGBoost</w:t>
      </w:r>
      <w:r w:rsidRPr="00744F74">
        <w:rPr>
          <w:rFonts w:ascii="Times New Roman" w:hAnsi="Times New Roman" w:cs="Times New Roman"/>
          <w:sz w:val="24"/>
          <w:szCs w:val="24"/>
        </w:rPr>
        <w:t xml:space="preserve"> dans une logique de </w:t>
      </w:r>
      <w:r w:rsidRPr="00744F74">
        <w:rPr>
          <w:rFonts w:ascii="Times New Roman" w:hAnsi="Times New Roman" w:cs="Times New Roman"/>
          <w:b/>
          <w:bCs/>
          <w:sz w:val="24"/>
          <w:szCs w:val="24"/>
        </w:rPr>
        <w:t>ciblage fin</w:t>
      </w:r>
      <w:r w:rsidRPr="00744F74">
        <w:rPr>
          <w:rFonts w:ascii="Times New Roman" w:hAnsi="Times New Roman" w:cs="Times New Roman"/>
          <w:sz w:val="24"/>
          <w:szCs w:val="24"/>
        </w:rPr>
        <w:t>, de maîtrise des coûts et de limitation des appels inutiles ;</w:t>
      </w:r>
    </w:p>
    <w:p w14:paraId="40D66D3F" w14:textId="77777777" w:rsidR="00744F74" w:rsidRPr="00744F74" w:rsidRDefault="00744F74" w:rsidP="00813728">
      <w:pPr>
        <w:numPr>
          <w:ilvl w:val="0"/>
          <w:numId w:val="18"/>
        </w:numPr>
        <w:spacing w:line="360" w:lineRule="auto"/>
        <w:jc w:val="both"/>
        <w:rPr>
          <w:rFonts w:ascii="Times New Roman" w:hAnsi="Times New Roman" w:cs="Times New Roman"/>
          <w:sz w:val="24"/>
          <w:szCs w:val="24"/>
        </w:rPr>
      </w:pPr>
      <w:r w:rsidRPr="00744F74">
        <w:rPr>
          <w:rFonts w:ascii="Times New Roman" w:hAnsi="Times New Roman" w:cs="Times New Roman"/>
          <w:sz w:val="24"/>
          <w:szCs w:val="24"/>
        </w:rPr>
        <w:t>ajuster le seuil de décision en fonction des ressources disponibles et du niveau de sélectivité souhaité ;</w:t>
      </w:r>
    </w:p>
    <w:p w14:paraId="7D29F182" w14:textId="77777777" w:rsidR="00744F74" w:rsidRPr="00744F74" w:rsidRDefault="00744F74" w:rsidP="00813728">
      <w:pPr>
        <w:numPr>
          <w:ilvl w:val="0"/>
          <w:numId w:val="18"/>
        </w:numPr>
        <w:spacing w:line="360" w:lineRule="auto"/>
        <w:jc w:val="both"/>
        <w:rPr>
          <w:rFonts w:ascii="Times New Roman" w:hAnsi="Times New Roman" w:cs="Times New Roman"/>
          <w:sz w:val="24"/>
          <w:szCs w:val="24"/>
        </w:rPr>
      </w:pPr>
      <w:r w:rsidRPr="00744F74">
        <w:rPr>
          <w:rFonts w:ascii="Times New Roman" w:hAnsi="Times New Roman" w:cs="Times New Roman"/>
          <w:sz w:val="24"/>
          <w:szCs w:val="24"/>
        </w:rPr>
        <w:t>combiner le scoring avec des règles métier, notamment en priorisant les clients ayant déjà répondu positivement à des campagnes antérieures.</w:t>
      </w:r>
    </w:p>
    <w:p w14:paraId="0F27D3EA" w14:textId="03DC1F2A" w:rsidR="0021093C" w:rsidRDefault="00C20C47" w:rsidP="00813728">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744F74" w:rsidRPr="00744F74">
        <w:rPr>
          <w:rFonts w:ascii="Times New Roman" w:hAnsi="Times New Roman" w:cs="Times New Roman"/>
          <w:sz w:val="24"/>
          <w:szCs w:val="24"/>
        </w:rPr>
        <w:t xml:space="preserve">’intégration d’une simulation économique à seuil comparable permet de dépasser la seule performance statistique et de transformer les modèles prédictifs en </w:t>
      </w:r>
      <w:r w:rsidR="00744F74" w:rsidRPr="00744F74">
        <w:rPr>
          <w:rFonts w:ascii="Times New Roman" w:hAnsi="Times New Roman" w:cs="Times New Roman"/>
          <w:b/>
          <w:bCs/>
          <w:sz w:val="24"/>
          <w:szCs w:val="24"/>
        </w:rPr>
        <w:t>outils d’aide à la décision opérationnels</w:t>
      </w:r>
      <w:r w:rsidR="00744F74" w:rsidRPr="00744F74">
        <w:rPr>
          <w:rFonts w:ascii="Times New Roman" w:hAnsi="Times New Roman" w:cs="Times New Roman"/>
          <w:sz w:val="24"/>
          <w:szCs w:val="24"/>
        </w:rPr>
        <w:t>, alignés avec les contraintes réelles du marketing bancaire.</w:t>
      </w:r>
      <w:bookmarkEnd w:id="55"/>
    </w:p>
    <w:p w14:paraId="0B58F8A6" w14:textId="77777777" w:rsidR="00744F74" w:rsidRDefault="00744F74" w:rsidP="00813728">
      <w:pPr>
        <w:spacing w:line="360" w:lineRule="auto"/>
        <w:jc w:val="both"/>
        <w:rPr>
          <w:rFonts w:ascii="Times New Roman" w:hAnsi="Times New Roman" w:cs="Times New Roman"/>
          <w:sz w:val="24"/>
          <w:szCs w:val="24"/>
        </w:rPr>
      </w:pPr>
    </w:p>
    <w:p w14:paraId="2EF44288" w14:textId="77777777" w:rsidR="00744F74" w:rsidRDefault="00744F74" w:rsidP="00813728">
      <w:pPr>
        <w:spacing w:line="360" w:lineRule="auto"/>
        <w:jc w:val="both"/>
        <w:rPr>
          <w:rFonts w:ascii="Times New Roman" w:hAnsi="Times New Roman" w:cs="Times New Roman"/>
          <w:sz w:val="24"/>
          <w:szCs w:val="24"/>
        </w:rPr>
      </w:pPr>
    </w:p>
    <w:p w14:paraId="54139314" w14:textId="77777777" w:rsidR="00744F74" w:rsidRDefault="00744F74" w:rsidP="00813728">
      <w:pPr>
        <w:spacing w:line="360" w:lineRule="auto"/>
        <w:jc w:val="both"/>
        <w:rPr>
          <w:rFonts w:ascii="Times New Roman" w:hAnsi="Times New Roman" w:cs="Times New Roman"/>
          <w:sz w:val="24"/>
          <w:szCs w:val="24"/>
        </w:rPr>
      </w:pPr>
    </w:p>
    <w:p w14:paraId="6D41A53D" w14:textId="77777777" w:rsidR="00744F74" w:rsidRDefault="00744F74" w:rsidP="00813728">
      <w:pPr>
        <w:spacing w:line="360" w:lineRule="auto"/>
        <w:jc w:val="both"/>
        <w:rPr>
          <w:rFonts w:ascii="Times New Roman" w:hAnsi="Times New Roman" w:cs="Times New Roman"/>
          <w:sz w:val="24"/>
          <w:szCs w:val="24"/>
        </w:rPr>
      </w:pPr>
    </w:p>
    <w:p w14:paraId="1297C80A" w14:textId="77777777" w:rsidR="00744F74" w:rsidRDefault="00744F74" w:rsidP="00813728">
      <w:pPr>
        <w:spacing w:line="360" w:lineRule="auto"/>
        <w:jc w:val="both"/>
        <w:rPr>
          <w:rFonts w:ascii="Times New Roman" w:hAnsi="Times New Roman" w:cs="Times New Roman"/>
          <w:sz w:val="24"/>
          <w:szCs w:val="24"/>
        </w:rPr>
      </w:pPr>
    </w:p>
    <w:p w14:paraId="6C79DD81" w14:textId="77777777" w:rsidR="00744F74" w:rsidRDefault="00744F74" w:rsidP="00813728">
      <w:pPr>
        <w:spacing w:line="360" w:lineRule="auto"/>
        <w:jc w:val="both"/>
        <w:rPr>
          <w:rFonts w:ascii="Times New Roman" w:hAnsi="Times New Roman" w:cs="Times New Roman"/>
          <w:sz w:val="24"/>
          <w:szCs w:val="24"/>
        </w:rPr>
      </w:pPr>
    </w:p>
    <w:p w14:paraId="5B792AA5" w14:textId="77777777" w:rsidR="00744F74" w:rsidRDefault="00744F74" w:rsidP="00813728">
      <w:pPr>
        <w:spacing w:line="360" w:lineRule="auto"/>
        <w:jc w:val="both"/>
        <w:rPr>
          <w:rFonts w:ascii="Times New Roman" w:hAnsi="Times New Roman" w:cs="Times New Roman"/>
          <w:sz w:val="24"/>
          <w:szCs w:val="24"/>
        </w:rPr>
      </w:pPr>
    </w:p>
    <w:p w14:paraId="67F10751" w14:textId="77777777" w:rsidR="00744F74" w:rsidRDefault="00744F74" w:rsidP="00813728">
      <w:pPr>
        <w:spacing w:line="360" w:lineRule="auto"/>
        <w:jc w:val="both"/>
        <w:rPr>
          <w:rFonts w:ascii="Times New Roman" w:hAnsi="Times New Roman" w:cs="Times New Roman"/>
          <w:sz w:val="24"/>
          <w:szCs w:val="24"/>
        </w:rPr>
      </w:pPr>
    </w:p>
    <w:p w14:paraId="29004B05" w14:textId="04A38177" w:rsidR="00F86F9C" w:rsidRPr="00F86F9C" w:rsidRDefault="00F86F9C" w:rsidP="00813728">
      <w:pPr>
        <w:pStyle w:val="Titre2"/>
      </w:pPr>
      <w:bookmarkStart w:id="59" w:name="_Toc221721609"/>
      <w:bookmarkStart w:id="60" w:name="OLE_LINK28"/>
      <w:r w:rsidRPr="00F86F9C">
        <w:lastRenderedPageBreak/>
        <w:t>Conclusion et limites</w:t>
      </w:r>
      <w:bookmarkEnd w:id="59"/>
    </w:p>
    <w:p w14:paraId="70D571E4" w14:textId="1B299356" w:rsidR="00DC763F" w:rsidRPr="00DC763F" w:rsidRDefault="00DC763F" w:rsidP="00DC763F">
      <w:pPr>
        <w:pStyle w:val="NormalWeb"/>
        <w:spacing w:line="360" w:lineRule="auto"/>
        <w:ind w:left="720"/>
        <w:jc w:val="both"/>
        <w:rPr>
          <w:rFonts w:eastAsiaTheme="minorHAnsi"/>
          <w:lang w:eastAsia="en-US"/>
        </w:rPr>
      </w:pPr>
      <w:bookmarkStart w:id="61" w:name="OLE_LINK29"/>
      <w:bookmarkEnd w:id="17"/>
      <w:bookmarkEnd w:id="36"/>
      <w:bookmarkEnd w:id="52"/>
      <w:bookmarkEnd w:id="60"/>
      <w:r w:rsidRPr="00DC763F">
        <w:rPr>
          <w:rFonts w:eastAsiaTheme="minorHAnsi"/>
          <w:lang w:eastAsia="en-US"/>
        </w:rPr>
        <w:t>Ce projet avait pour objectif de développer un outil d’aide à la décision destiné à optimiser le ciblage des campagnes de marketing bancaire pour la souscription de dépôts à terme. En mobilisant des techniques de data mining appliquées à un jeu de données réel, il a permis d’explorer la structure des profils clients puis de comparer plusieurs modèles prédictifs dans une perspective opérationnelle.</w:t>
      </w:r>
    </w:p>
    <w:p w14:paraId="477F3E66" w14:textId="77777777" w:rsidR="00DC763F" w:rsidRPr="00DC763F" w:rsidRDefault="00DC763F" w:rsidP="00DC763F">
      <w:pPr>
        <w:pStyle w:val="NormalWeb"/>
        <w:spacing w:line="360" w:lineRule="auto"/>
        <w:ind w:left="720"/>
        <w:jc w:val="both"/>
        <w:rPr>
          <w:rFonts w:eastAsiaTheme="minorHAnsi"/>
          <w:lang w:eastAsia="en-US"/>
        </w:rPr>
      </w:pPr>
      <w:r w:rsidRPr="00DC763F">
        <w:rPr>
          <w:rFonts w:eastAsiaTheme="minorHAnsi"/>
          <w:lang w:eastAsia="en-US"/>
        </w:rPr>
        <w:t>L’analyse non supervisée a tout d’abord mis en évidence l’existence de quatre segments distincts au sein de la base client. Ces groupes, de tailles relativement équilibrées, présentent des taux de souscription sensiblement différenciés, confirmant l’hétérogénéité structurelle des profils. Cette segmentation apporte une lecture globale de l’organisation des caractéristiques clients, indépendante de la variable cible, et constitue un socle analytique utile pour adapter les stratégies commerciales selon les profils identifiés.</w:t>
      </w:r>
    </w:p>
    <w:p w14:paraId="786E9BDC" w14:textId="77777777" w:rsidR="00DC763F" w:rsidRPr="00DC763F" w:rsidRDefault="00DC763F" w:rsidP="00DC763F">
      <w:pPr>
        <w:pStyle w:val="NormalWeb"/>
        <w:spacing w:line="360" w:lineRule="auto"/>
        <w:ind w:left="720"/>
        <w:jc w:val="both"/>
        <w:rPr>
          <w:rFonts w:eastAsiaTheme="minorHAnsi"/>
          <w:lang w:eastAsia="en-US"/>
        </w:rPr>
      </w:pPr>
      <w:r w:rsidRPr="00DC763F">
        <w:rPr>
          <w:rFonts w:eastAsiaTheme="minorHAnsi"/>
          <w:lang w:eastAsia="en-US"/>
        </w:rPr>
        <w:t>L’analyse supervisée a ensuite permis d’évaluer la capacité prédictive de différents algorithmes. La régression logistique constitue une baseline robuste et interprétable, fournissant des résultats économiquement cohérents. La Random Forest présente une bonne capacité de discrimination globale, tandis que le modèle XGBoost se distingue par sa capacité à proposer un ciblage plus sélectif et économiquement efficient après ajustement du seuil de décision. L’intégration d’une analyse de profitabilité montre qu’un ciblage restreint des clients les mieux scorés permet d’améliorer significativement la rentabilité des campagnes, en réduisant les appels inutiles et en concentrant les efforts commerciaux sur les profils à plus fort potentiel.</w:t>
      </w:r>
    </w:p>
    <w:p w14:paraId="27298769" w14:textId="77777777" w:rsidR="00DC763F" w:rsidRPr="00DC763F" w:rsidRDefault="00DC763F" w:rsidP="00DC763F">
      <w:pPr>
        <w:pStyle w:val="NormalWeb"/>
        <w:spacing w:line="360" w:lineRule="auto"/>
        <w:ind w:left="720"/>
        <w:jc w:val="both"/>
        <w:rPr>
          <w:rFonts w:eastAsiaTheme="minorHAnsi"/>
          <w:lang w:eastAsia="en-US"/>
        </w:rPr>
      </w:pPr>
      <w:r w:rsidRPr="00DC763F">
        <w:rPr>
          <w:rFonts w:eastAsiaTheme="minorHAnsi"/>
          <w:lang w:eastAsia="en-US"/>
        </w:rPr>
        <w:t>Ce travail présente toutefois certaines limites. Les données utilisées sont issues d’un contexte spécifique et relativement ancien, ce qui peut limiter la généralisation des résultats. De plus, certaines informations potentiellement explicatives, notamment comportementales ou transactionnelles, ne sont pas disponibles. Enfin, l’exclusion volontaire de variables non observables ex ante, bien que méthodologiquement nécessaire, limite mécaniquement les performances maximales atteignables.</w:t>
      </w:r>
    </w:p>
    <w:p w14:paraId="7F3C9F1B" w14:textId="77777777" w:rsidR="00DC763F" w:rsidRPr="00DC763F" w:rsidRDefault="00DC763F" w:rsidP="00DC763F">
      <w:pPr>
        <w:pStyle w:val="NormalWeb"/>
        <w:spacing w:line="360" w:lineRule="auto"/>
        <w:ind w:left="720"/>
        <w:jc w:val="both"/>
        <w:rPr>
          <w:rFonts w:eastAsiaTheme="minorHAnsi"/>
          <w:lang w:eastAsia="en-US"/>
        </w:rPr>
      </w:pPr>
    </w:p>
    <w:p w14:paraId="703FD66C" w14:textId="191D0F7D" w:rsidR="00B9543D" w:rsidRDefault="00DC763F" w:rsidP="000D0CA4">
      <w:pPr>
        <w:pStyle w:val="NormalWeb"/>
        <w:spacing w:line="360" w:lineRule="auto"/>
        <w:ind w:left="720"/>
        <w:jc w:val="both"/>
        <w:rPr>
          <w:rFonts w:eastAsiaTheme="minorHAnsi"/>
          <w:lang w:eastAsia="en-US"/>
        </w:rPr>
      </w:pPr>
      <w:r w:rsidRPr="00DC763F">
        <w:rPr>
          <w:rFonts w:eastAsiaTheme="minorHAnsi"/>
          <w:lang w:eastAsia="en-US"/>
        </w:rPr>
        <w:lastRenderedPageBreak/>
        <w:t>Plusieurs pistes d’amélioration peuvent être envisagées, notamment l’exploration d’autres méthodes de boosting (LightGBM, CatBoost), l’enrichissement des données clients, l’approfondissement des approches de segmentation et l’intégration plus fine des coûts et gains réels des campagnes dans la définition des seuils de décision.</w:t>
      </w:r>
      <w:r w:rsidR="000D0CA4">
        <w:rPr>
          <w:rFonts w:eastAsiaTheme="minorHAnsi"/>
          <w:lang w:eastAsia="en-US"/>
        </w:rPr>
        <w:t xml:space="preserve"> C</w:t>
      </w:r>
      <w:r w:rsidRPr="00DC763F">
        <w:rPr>
          <w:rFonts w:eastAsiaTheme="minorHAnsi"/>
          <w:lang w:eastAsia="en-US"/>
        </w:rPr>
        <w:t>e projet illustre l’apport complémentaire des méthodes de data mining non supervisées et supervisées au pilotage des actions commerciales bancaires, en montrant comment l’analyse des profils clients et la prédiction probabiliste peuvent être combinées pour soutenir des décisions économiquement rationnelles.</w:t>
      </w:r>
    </w:p>
    <w:p w14:paraId="7ED9DBBA" w14:textId="77777777" w:rsidR="000D0CA4" w:rsidRDefault="000D0CA4" w:rsidP="000D0CA4">
      <w:pPr>
        <w:pStyle w:val="NormalWeb"/>
        <w:spacing w:line="360" w:lineRule="auto"/>
        <w:ind w:left="720"/>
        <w:jc w:val="both"/>
        <w:rPr>
          <w:rFonts w:eastAsiaTheme="minorHAnsi"/>
          <w:lang w:eastAsia="en-US"/>
        </w:rPr>
      </w:pPr>
    </w:p>
    <w:p w14:paraId="1B9E14D7" w14:textId="77777777" w:rsidR="000D0CA4" w:rsidRDefault="000D0CA4" w:rsidP="000D0CA4">
      <w:pPr>
        <w:pStyle w:val="NormalWeb"/>
        <w:spacing w:line="360" w:lineRule="auto"/>
        <w:ind w:left="720"/>
        <w:jc w:val="both"/>
        <w:rPr>
          <w:rFonts w:eastAsiaTheme="minorHAnsi"/>
          <w:lang w:eastAsia="en-US"/>
        </w:rPr>
      </w:pPr>
    </w:p>
    <w:p w14:paraId="3AE83AB3" w14:textId="77777777" w:rsidR="000D0CA4" w:rsidRDefault="000D0CA4" w:rsidP="000D0CA4">
      <w:pPr>
        <w:pStyle w:val="NormalWeb"/>
        <w:spacing w:line="360" w:lineRule="auto"/>
        <w:ind w:left="720"/>
        <w:jc w:val="both"/>
        <w:rPr>
          <w:rFonts w:eastAsiaTheme="minorHAnsi"/>
          <w:lang w:eastAsia="en-US"/>
        </w:rPr>
      </w:pPr>
    </w:p>
    <w:p w14:paraId="136776CA" w14:textId="77777777" w:rsidR="000D0CA4" w:rsidRDefault="000D0CA4" w:rsidP="000D0CA4">
      <w:pPr>
        <w:pStyle w:val="NormalWeb"/>
        <w:spacing w:line="360" w:lineRule="auto"/>
        <w:ind w:left="720"/>
        <w:jc w:val="both"/>
        <w:rPr>
          <w:rFonts w:eastAsiaTheme="minorHAnsi"/>
          <w:lang w:eastAsia="en-US"/>
        </w:rPr>
      </w:pPr>
    </w:p>
    <w:p w14:paraId="7043E274" w14:textId="77777777" w:rsidR="000D0CA4" w:rsidRDefault="000D0CA4" w:rsidP="000D0CA4">
      <w:pPr>
        <w:pStyle w:val="NormalWeb"/>
        <w:spacing w:line="360" w:lineRule="auto"/>
        <w:ind w:left="720"/>
        <w:jc w:val="both"/>
        <w:rPr>
          <w:rFonts w:eastAsiaTheme="minorHAnsi"/>
          <w:lang w:eastAsia="en-US"/>
        </w:rPr>
      </w:pPr>
    </w:p>
    <w:p w14:paraId="089DD788" w14:textId="77777777" w:rsidR="000D0CA4" w:rsidRDefault="000D0CA4" w:rsidP="000D0CA4">
      <w:pPr>
        <w:pStyle w:val="NormalWeb"/>
        <w:spacing w:line="360" w:lineRule="auto"/>
        <w:ind w:left="720"/>
        <w:jc w:val="both"/>
        <w:rPr>
          <w:rFonts w:eastAsiaTheme="minorHAnsi"/>
          <w:lang w:eastAsia="en-US"/>
        </w:rPr>
      </w:pPr>
    </w:p>
    <w:p w14:paraId="4A0E21A3" w14:textId="77777777" w:rsidR="000D0CA4" w:rsidRDefault="000D0CA4" w:rsidP="000D0CA4">
      <w:pPr>
        <w:pStyle w:val="NormalWeb"/>
        <w:spacing w:line="360" w:lineRule="auto"/>
        <w:ind w:left="720"/>
        <w:jc w:val="both"/>
        <w:rPr>
          <w:rFonts w:eastAsiaTheme="minorHAnsi"/>
          <w:lang w:eastAsia="en-US"/>
        </w:rPr>
      </w:pPr>
    </w:p>
    <w:p w14:paraId="6D4C001E" w14:textId="77777777" w:rsidR="000D0CA4" w:rsidRDefault="000D0CA4" w:rsidP="000D0CA4">
      <w:pPr>
        <w:pStyle w:val="NormalWeb"/>
        <w:spacing w:line="360" w:lineRule="auto"/>
        <w:ind w:left="720"/>
        <w:jc w:val="both"/>
        <w:rPr>
          <w:rFonts w:eastAsiaTheme="minorHAnsi"/>
          <w:lang w:eastAsia="en-US"/>
        </w:rPr>
      </w:pPr>
    </w:p>
    <w:p w14:paraId="4603F7CA" w14:textId="77777777" w:rsidR="003153DD" w:rsidRDefault="003153DD" w:rsidP="000D0CA4">
      <w:pPr>
        <w:pStyle w:val="NormalWeb"/>
        <w:spacing w:line="360" w:lineRule="auto"/>
        <w:ind w:left="720"/>
        <w:jc w:val="both"/>
        <w:rPr>
          <w:rFonts w:eastAsiaTheme="minorHAnsi"/>
          <w:lang w:eastAsia="en-US"/>
        </w:rPr>
        <w:sectPr w:rsidR="003153DD" w:rsidSect="008B6480">
          <w:footerReference w:type="default" r:id="rId18"/>
          <w:pgSz w:w="11906" w:h="16838"/>
          <w:pgMar w:top="1417" w:right="1417" w:bottom="1417" w:left="1417" w:header="708" w:footer="708" w:gutter="0"/>
          <w:pgNumType w:start="0"/>
          <w:cols w:space="708"/>
          <w:titlePg/>
          <w:docGrid w:linePitch="360"/>
        </w:sectPr>
      </w:pPr>
    </w:p>
    <w:p w14:paraId="135098B5" w14:textId="77777777" w:rsidR="000D0CA4" w:rsidRPr="000D0CA4" w:rsidRDefault="000D0CA4" w:rsidP="000D0CA4">
      <w:pPr>
        <w:pStyle w:val="NormalWeb"/>
        <w:spacing w:line="360" w:lineRule="auto"/>
        <w:ind w:left="720"/>
        <w:jc w:val="both"/>
        <w:rPr>
          <w:rFonts w:eastAsiaTheme="minorHAnsi"/>
          <w:lang w:eastAsia="en-US"/>
        </w:rPr>
      </w:pPr>
    </w:p>
    <w:p w14:paraId="73EA6F8F" w14:textId="707FC1EF" w:rsidR="00B9543D" w:rsidRPr="00F41808" w:rsidRDefault="00B9543D" w:rsidP="00B9543D">
      <w:pPr>
        <w:pStyle w:val="Titre2"/>
        <w:rPr>
          <w:color w:val="333333"/>
          <w:shd w:val="clear" w:color="auto" w:fill="FFFFFF"/>
          <w:lang w:val="en-US"/>
        </w:rPr>
      </w:pPr>
      <w:bookmarkStart w:id="62" w:name="_Toc221721610"/>
      <w:bookmarkEnd w:id="61"/>
      <w:r w:rsidRPr="00F41808">
        <w:rPr>
          <w:lang w:val="en-US"/>
        </w:rPr>
        <w:t>BIBLIOGRAPHIE</w:t>
      </w:r>
      <w:bookmarkEnd w:id="62"/>
    </w:p>
    <w:p w14:paraId="4A0836C5" w14:textId="77777777" w:rsidR="00EC0C58" w:rsidRPr="00EC0C58" w:rsidRDefault="00EC0C58" w:rsidP="00F86F9C">
      <w:pPr>
        <w:numPr>
          <w:ilvl w:val="0"/>
          <w:numId w:val="13"/>
        </w:numPr>
        <w:jc w:val="both"/>
        <w:rPr>
          <w:rFonts w:ascii="Times New Roman" w:hAnsi="Times New Roman" w:cs="Times New Roman"/>
          <w:sz w:val="24"/>
          <w:szCs w:val="24"/>
          <w:lang w:val="en-US"/>
        </w:rPr>
      </w:pPr>
      <w:r w:rsidRPr="00EC0C58">
        <w:rPr>
          <w:rFonts w:ascii="Times New Roman" w:hAnsi="Times New Roman" w:cs="Times New Roman"/>
          <w:sz w:val="24"/>
          <w:szCs w:val="24"/>
          <w:lang w:val="en-US"/>
        </w:rPr>
        <w:t xml:space="preserve">Breiman, L. (2001). </w:t>
      </w:r>
      <w:r w:rsidRPr="00EC0C58">
        <w:rPr>
          <w:rFonts w:ascii="Times New Roman" w:hAnsi="Times New Roman" w:cs="Times New Roman"/>
          <w:i/>
          <w:iCs/>
          <w:sz w:val="24"/>
          <w:szCs w:val="24"/>
          <w:lang w:val="en-US"/>
        </w:rPr>
        <w:t>Random Forests</w:t>
      </w:r>
      <w:r w:rsidRPr="00EC0C58">
        <w:rPr>
          <w:rFonts w:ascii="Times New Roman" w:hAnsi="Times New Roman" w:cs="Times New Roman"/>
          <w:sz w:val="24"/>
          <w:szCs w:val="24"/>
          <w:lang w:val="en-US"/>
        </w:rPr>
        <w:t>. Machine Learning.</w:t>
      </w:r>
    </w:p>
    <w:p w14:paraId="382A0F9D" w14:textId="77777777" w:rsidR="00EC0C58" w:rsidRPr="00EC0C58" w:rsidRDefault="00EC0C58" w:rsidP="00F86F9C">
      <w:pPr>
        <w:numPr>
          <w:ilvl w:val="0"/>
          <w:numId w:val="13"/>
        </w:numPr>
        <w:jc w:val="both"/>
        <w:rPr>
          <w:rFonts w:ascii="Times New Roman" w:hAnsi="Times New Roman" w:cs="Times New Roman"/>
          <w:sz w:val="24"/>
          <w:szCs w:val="24"/>
        </w:rPr>
      </w:pPr>
      <w:r w:rsidRPr="00EC0C58">
        <w:rPr>
          <w:rFonts w:ascii="Times New Roman" w:hAnsi="Times New Roman" w:cs="Times New Roman"/>
          <w:sz w:val="24"/>
          <w:szCs w:val="24"/>
          <w:lang w:val="en-US"/>
        </w:rPr>
        <w:t xml:space="preserve">Chen, T., &amp; Guestrin, C. (2016). </w:t>
      </w:r>
      <w:r w:rsidRPr="00EC0C58">
        <w:rPr>
          <w:rFonts w:ascii="Times New Roman" w:hAnsi="Times New Roman" w:cs="Times New Roman"/>
          <w:i/>
          <w:iCs/>
          <w:sz w:val="24"/>
          <w:szCs w:val="24"/>
          <w:lang w:val="en-US"/>
        </w:rPr>
        <w:t>XGBoost: A Scalable Tree Boosting System</w:t>
      </w:r>
      <w:r w:rsidRPr="00EC0C58">
        <w:rPr>
          <w:rFonts w:ascii="Times New Roman" w:hAnsi="Times New Roman" w:cs="Times New Roman"/>
          <w:sz w:val="24"/>
          <w:szCs w:val="24"/>
          <w:lang w:val="en-US"/>
        </w:rPr>
        <w:t xml:space="preserve">. </w:t>
      </w:r>
      <w:r w:rsidRPr="00EC0C58">
        <w:rPr>
          <w:rFonts w:ascii="Times New Roman" w:hAnsi="Times New Roman" w:cs="Times New Roman"/>
          <w:sz w:val="24"/>
          <w:szCs w:val="24"/>
        </w:rPr>
        <w:t>KDD.</w:t>
      </w:r>
    </w:p>
    <w:p w14:paraId="40A5D107" w14:textId="77777777" w:rsidR="00EC0C58" w:rsidRPr="00EC0C58" w:rsidRDefault="00EC0C58" w:rsidP="00F86F9C">
      <w:pPr>
        <w:numPr>
          <w:ilvl w:val="0"/>
          <w:numId w:val="13"/>
        </w:numPr>
        <w:jc w:val="both"/>
        <w:rPr>
          <w:rFonts w:ascii="Times New Roman" w:hAnsi="Times New Roman" w:cs="Times New Roman"/>
          <w:sz w:val="24"/>
          <w:szCs w:val="24"/>
        </w:rPr>
      </w:pPr>
      <w:r w:rsidRPr="00EC0C58">
        <w:rPr>
          <w:rFonts w:ascii="Times New Roman" w:hAnsi="Times New Roman" w:cs="Times New Roman"/>
          <w:sz w:val="24"/>
          <w:szCs w:val="24"/>
          <w:lang w:val="en-US"/>
        </w:rPr>
        <w:t xml:space="preserve">Cox, D. R. (1958). </w:t>
      </w:r>
      <w:r w:rsidRPr="00EC0C58">
        <w:rPr>
          <w:rFonts w:ascii="Times New Roman" w:hAnsi="Times New Roman" w:cs="Times New Roman"/>
          <w:i/>
          <w:iCs/>
          <w:sz w:val="24"/>
          <w:szCs w:val="24"/>
          <w:lang w:val="en-US"/>
        </w:rPr>
        <w:t>The regression analysis of binary sequences</w:t>
      </w:r>
      <w:r w:rsidRPr="00EC0C58">
        <w:rPr>
          <w:rFonts w:ascii="Times New Roman" w:hAnsi="Times New Roman" w:cs="Times New Roman"/>
          <w:sz w:val="24"/>
          <w:szCs w:val="24"/>
          <w:lang w:val="en-US"/>
        </w:rPr>
        <w:t xml:space="preserve">. </w:t>
      </w:r>
      <w:r w:rsidRPr="00EC0C58">
        <w:rPr>
          <w:rFonts w:ascii="Times New Roman" w:hAnsi="Times New Roman" w:cs="Times New Roman"/>
          <w:sz w:val="24"/>
          <w:szCs w:val="24"/>
        </w:rPr>
        <w:t>JRSS.</w:t>
      </w:r>
    </w:p>
    <w:p w14:paraId="3450CEF6" w14:textId="77777777" w:rsidR="00EC0C58" w:rsidRPr="00EC0C58" w:rsidRDefault="00EC0C58" w:rsidP="00F86F9C">
      <w:pPr>
        <w:numPr>
          <w:ilvl w:val="0"/>
          <w:numId w:val="13"/>
        </w:numPr>
        <w:jc w:val="both"/>
        <w:rPr>
          <w:rFonts w:ascii="Times New Roman" w:hAnsi="Times New Roman" w:cs="Times New Roman"/>
          <w:sz w:val="24"/>
          <w:szCs w:val="24"/>
        </w:rPr>
      </w:pPr>
      <w:r w:rsidRPr="00EC0C58">
        <w:rPr>
          <w:rFonts w:ascii="Times New Roman" w:hAnsi="Times New Roman" w:cs="Times New Roman"/>
          <w:sz w:val="24"/>
          <w:szCs w:val="24"/>
          <w:lang w:val="en-US"/>
        </w:rPr>
        <w:t xml:space="preserve">Friedman, J. H. (2001). </w:t>
      </w:r>
      <w:r w:rsidRPr="00EC0C58">
        <w:rPr>
          <w:rFonts w:ascii="Times New Roman" w:hAnsi="Times New Roman" w:cs="Times New Roman"/>
          <w:i/>
          <w:iCs/>
          <w:sz w:val="24"/>
          <w:szCs w:val="24"/>
          <w:lang w:val="en-US"/>
        </w:rPr>
        <w:t>Greedy Function Approximation: A Gradient Boosting Machine</w:t>
      </w:r>
      <w:r w:rsidRPr="00EC0C58">
        <w:rPr>
          <w:rFonts w:ascii="Times New Roman" w:hAnsi="Times New Roman" w:cs="Times New Roman"/>
          <w:sz w:val="24"/>
          <w:szCs w:val="24"/>
          <w:lang w:val="en-US"/>
        </w:rPr>
        <w:t xml:space="preserve">. </w:t>
      </w:r>
      <w:r w:rsidRPr="00EC0C58">
        <w:rPr>
          <w:rFonts w:ascii="Times New Roman" w:hAnsi="Times New Roman" w:cs="Times New Roman"/>
          <w:sz w:val="24"/>
          <w:szCs w:val="24"/>
        </w:rPr>
        <w:t>Annals of Statistics.</w:t>
      </w:r>
    </w:p>
    <w:p w14:paraId="1B208FE8" w14:textId="77777777" w:rsidR="00EC0C58" w:rsidRPr="00EC0C58" w:rsidRDefault="00EC0C58" w:rsidP="00F86F9C">
      <w:pPr>
        <w:numPr>
          <w:ilvl w:val="0"/>
          <w:numId w:val="13"/>
        </w:numPr>
        <w:jc w:val="both"/>
        <w:rPr>
          <w:rFonts w:ascii="Times New Roman" w:hAnsi="Times New Roman" w:cs="Times New Roman"/>
          <w:sz w:val="24"/>
          <w:szCs w:val="24"/>
        </w:rPr>
      </w:pPr>
      <w:r w:rsidRPr="00EC0C58">
        <w:rPr>
          <w:rFonts w:ascii="Times New Roman" w:hAnsi="Times New Roman" w:cs="Times New Roman"/>
          <w:sz w:val="24"/>
          <w:szCs w:val="24"/>
          <w:lang w:val="en-US"/>
        </w:rPr>
        <w:t xml:space="preserve">Hastie, T., Tibshirani, R., &amp; Friedman, J. (2009). </w:t>
      </w:r>
      <w:r w:rsidRPr="00EC0C58">
        <w:rPr>
          <w:rFonts w:ascii="Times New Roman" w:hAnsi="Times New Roman" w:cs="Times New Roman"/>
          <w:i/>
          <w:iCs/>
          <w:sz w:val="24"/>
          <w:szCs w:val="24"/>
          <w:lang w:val="en-US"/>
        </w:rPr>
        <w:t>The Elements of Statistical Learning</w:t>
      </w:r>
      <w:r w:rsidRPr="00EC0C58">
        <w:rPr>
          <w:rFonts w:ascii="Times New Roman" w:hAnsi="Times New Roman" w:cs="Times New Roman"/>
          <w:sz w:val="24"/>
          <w:szCs w:val="24"/>
          <w:lang w:val="en-US"/>
        </w:rPr>
        <w:t xml:space="preserve">. </w:t>
      </w:r>
      <w:r w:rsidRPr="00EC0C58">
        <w:rPr>
          <w:rFonts w:ascii="Times New Roman" w:hAnsi="Times New Roman" w:cs="Times New Roman"/>
          <w:sz w:val="24"/>
          <w:szCs w:val="24"/>
        </w:rPr>
        <w:t>Springer.</w:t>
      </w:r>
    </w:p>
    <w:p w14:paraId="4B3D7745" w14:textId="77777777" w:rsidR="00EC0C58" w:rsidRPr="00EC0C58" w:rsidRDefault="00EC0C58" w:rsidP="00F86F9C">
      <w:pPr>
        <w:numPr>
          <w:ilvl w:val="0"/>
          <w:numId w:val="13"/>
        </w:numPr>
        <w:jc w:val="both"/>
        <w:rPr>
          <w:rFonts w:ascii="Times New Roman" w:hAnsi="Times New Roman" w:cs="Times New Roman"/>
          <w:sz w:val="24"/>
          <w:szCs w:val="24"/>
          <w:lang w:val="en-US"/>
        </w:rPr>
      </w:pPr>
      <w:r w:rsidRPr="00EC0C58">
        <w:rPr>
          <w:rFonts w:ascii="Times New Roman" w:hAnsi="Times New Roman" w:cs="Times New Roman"/>
          <w:sz w:val="24"/>
          <w:szCs w:val="24"/>
          <w:lang w:val="en-US"/>
        </w:rPr>
        <w:t xml:space="preserve">He, H., &amp; Garcia, E. A. (2009). </w:t>
      </w:r>
      <w:r w:rsidRPr="00EC0C58">
        <w:rPr>
          <w:rFonts w:ascii="Times New Roman" w:hAnsi="Times New Roman" w:cs="Times New Roman"/>
          <w:i/>
          <w:iCs/>
          <w:sz w:val="24"/>
          <w:szCs w:val="24"/>
          <w:lang w:val="en-US"/>
        </w:rPr>
        <w:t>Learning from Imbalanced Data</w:t>
      </w:r>
      <w:r w:rsidRPr="00EC0C58">
        <w:rPr>
          <w:rFonts w:ascii="Times New Roman" w:hAnsi="Times New Roman" w:cs="Times New Roman"/>
          <w:sz w:val="24"/>
          <w:szCs w:val="24"/>
          <w:lang w:val="en-US"/>
        </w:rPr>
        <w:t>. IEEE TKDE.</w:t>
      </w:r>
    </w:p>
    <w:p w14:paraId="1015708E" w14:textId="77777777" w:rsidR="00EC0C58" w:rsidRPr="00EC0C58" w:rsidRDefault="00EC0C58" w:rsidP="00F86F9C">
      <w:pPr>
        <w:numPr>
          <w:ilvl w:val="0"/>
          <w:numId w:val="13"/>
        </w:numPr>
        <w:jc w:val="both"/>
        <w:rPr>
          <w:rFonts w:ascii="Times New Roman" w:hAnsi="Times New Roman" w:cs="Times New Roman"/>
          <w:sz w:val="24"/>
          <w:szCs w:val="24"/>
        </w:rPr>
      </w:pPr>
      <w:r w:rsidRPr="00EC0C58">
        <w:rPr>
          <w:rFonts w:ascii="Times New Roman" w:hAnsi="Times New Roman" w:cs="Times New Roman"/>
          <w:sz w:val="24"/>
          <w:szCs w:val="24"/>
          <w:lang w:val="en-US"/>
        </w:rPr>
        <w:t xml:space="preserve">King, G., &amp; Zeng, L. (2001). </w:t>
      </w:r>
      <w:r w:rsidRPr="00EC0C58">
        <w:rPr>
          <w:rFonts w:ascii="Times New Roman" w:hAnsi="Times New Roman" w:cs="Times New Roman"/>
          <w:i/>
          <w:iCs/>
          <w:sz w:val="24"/>
          <w:szCs w:val="24"/>
          <w:lang w:val="en-US"/>
        </w:rPr>
        <w:t>Logistic Regression in Rare Events Data</w:t>
      </w:r>
      <w:r w:rsidRPr="00EC0C58">
        <w:rPr>
          <w:rFonts w:ascii="Times New Roman" w:hAnsi="Times New Roman" w:cs="Times New Roman"/>
          <w:sz w:val="24"/>
          <w:szCs w:val="24"/>
          <w:lang w:val="en-US"/>
        </w:rPr>
        <w:t xml:space="preserve">. </w:t>
      </w:r>
      <w:r w:rsidRPr="00EC0C58">
        <w:rPr>
          <w:rFonts w:ascii="Times New Roman" w:hAnsi="Times New Roman" w:cs="Times New Roman"/>
          <w:sz w:val="24"/>
          <w:szCs w:val="24"/>
        </w:rPr>
        <w:t>Political Analysis.</w:t>
      </w:r>
    </w:p>
    <w:p w14:paraId="218BACF0" w14:textId="77777777" w:rsidR="00EC0C58" w:rsidRPr="00EC0C58" w:rsidRDefault="00EC0C58" w:rsidP="00F86F9C">
      <w:pPr>
        <w:numPr>
          <w:ilvl w:val="0"/>
          <w:numId w:val="13"/>
        </w:numPr>
        <w:jc w:val="both"/>
        <w:rPr>
          <w:rFonts w:ascii="Times New Roman" w:hAnsi="Times New Roman" w:cs="Times New Roman"/>
          <w:sz w:val="24"/>
          <w:szCs w:val="24"/>
        </w:rPr>
      </w:pPr>
      <w:r w:rsidRPr="00EC0C58">
        <w:rPr>
          <w:rFonts w:ascii="Times New Roman" w:hAnsi="Times New Roman" w:cs="Times New Roman"/>
          <w:sz w:val="24"/>
          <w:szCs w:val="24"/>
          <w:lang w:val="en-US"/>
        </w:rPr>
        <w:t xml:space="preserve">Provost, F., &amp; Fawcett, T. (2013). </w:t>
      </w:r>
      <w:r w:rsidRPr="00EC0C58">
        <w:rPr>
          <w:rFonts w:ascii="Times New Roman" w:hAnsi="Times New Roman" w:cs="Times New Roman"/>
          <w:i/>
          <w:iCs/>
          <w:sz w:val="24"/>
          <w:szCs w:val="24"/>
          <w:lang w:val="en-US"/>
        </w:rPr>
        <w:t>Data Science for Business</w:t>
      </w:r>
      <w:r w:rsidRPr="00EC0C58">
        <w:rPr>
          <w:rFonts w:ascii="Times New Roman" w:hAnsi="Times New Roman" w:cs="Times New Roman"/>
          <w:sz w:val="24"/>
          <w:szCs w:val="24"/>
          <w:lang w:val="en-US"/>
        </w:rPr>
        <w:t xml:space="preserve">. </w:t>
      </w:r>
      <w:r w:rsidRPr="00EC0C58">
        <w:rPr>
          <w:rFonts w:ascii="Times New Roman" w:hAnsi="Times New Roman" w:cs="Times New Roman"/>
          <w:sz w:val="24"/>
          <w:szCs w:val="24"/>
        </w:rPr>
        <w:t>O’Reilly.</w:t>
      </w:r>
    </w:p>
    <w:p w14:paraId="7AD52EE5" w14:textId="77777777" w:rsidR="00EC0C58" w:rsidRDefault="00EC0C58" w:rsidP="00656794">
      <w:pPr>
        <w:jc w:val="both"/>
        <w:rPr>
          <w:rFonts w:ascii="Times New Roman" w:hAnsi="Times New Roman" w:cs="Times New Roman"/>
          <w:sz w:val="24"/>
          <w:szCs w:val="24"/>
        </w:rPr>
      </w:pPr>
    </w:p>
    <w:p w14:paraId="252E3C19" w14:textId="77777777" w:rsidR="00EC0C58" w:rsidRDefault="00EC0C58" w:rsidP="00656794">
      <w:pPr>
        <w:jc w:val="both"/>
        <w:rPr>
          <w:rFonts w:ascii="Times New Roman" w:hAnsi="Times New Roman" w:cs="Times New Roman"/>
          <w:sz w:val="24"/>
          <w:szCs w:val="24"/>
        </w:rPr>
      </w:pPr>
    </w:p>
    <w:p w14:paraId="7927DF8A" w14:textId="77777777" w:rsidR="00EC0C58" w:rsidRDefault="00EC0C58" w:rsidP="00656794">
      <w:pPr>
        <w:jc w:val="both"/>
        <w:rPr>
          <w:rFonts w:ascii="Times New Roman" w:hAnsi="Times New Roman" w:cs="Times New Roman"/>
          <w:sz w:val="24"/>
          <w:szCs w:val="24"/>
        </w:rPr>
      </w:pPr>
    </w:p>
    <w:p w14:paraId="66C4C5DE" w14:textId="77777777" w:rsidR="00EC0C58" w:rsidRDefault="00EC0C58" w:rsidP="00656794">
      <w:pPr>
        <w:jc w:val="both"/>
        <w:rPr>
          <w:rFonts w:ascii="Times New Roman" w:hAnsi="Times New Roman" w:cs="Times New Roman"/>
          <w:sz w:val="24"/>
          <w:szCs w:val="24"/>
        </w:rPr>
      </w:pPr>
    </w:p>
    <w:p w14:paraId="4685E616" w14:textId="77777777" w:rsidR="00EC0C58" w:rsidRDefault="00EC0C58" w:rsidP="00656794">
      <w:pPr>
        <w:jc w:val="both"/>
        <w:rPr>
          <w:rFonts w:ascii="Times New Roman" w:hAnsi="Times New Roman" w:cs="Times New Roman"/>
          <w:sz w:val="24"/>
          <w:szCs w:val="24"/>
        </w:rPr>
      </w:pPr>
    </w:p>
    <w:p w14:paraId="2BBF49CD" w14:textId="77777777" w:rsidR="00EC0C58" w:rsidRDefault="00EC0C58" w:rsidP="00656794">
      <w:pPr>
        <w:jc w:val="both"/>
        <w:rPr>
          <w:rFonts w:ascii="Times New Roman" w:hAnsi="Times New Roman" w:cs="Times New Roman"/>
          <w:sz w:val="24"/>
          <w:szCs w:val="24"/>
        </w:rPr>
      </w:pPr>
    </w:p>
    <w:p w14:paraId="75F9BFEB" w14:textId="77777777" w:rsidR="00EC0C58" w:rsidRDefault="00EC0C58" w:rsidP="00656794">
      <w:pPr>
        <w:jc w:val="both"/>
        <w:rPr>
          <w:rFonts w:ascii="Times New Roman" w:hAnsi="Times New Roman" w:cs="Times New Roman"/>
          <w:sz w:val="24"/>
          <w:szCs w:val="24"/>
        </w:rPr>
      </w:pPr>
    </w:p>
    <w:p w14:paraId="27E7EB5B" w14:textId="77777777" w:rsidR="00EC0C58" w:rsidRDefault="00EC0C58" w:rsidP="00656794">
      <w:pPr>
        <w:jc w:val="both"/>
        <w:rPr>
          <w:rFonts w:ascii="Times New Roman" w:hAnsi="Times New Roman" w:cs="Times New Roman"/>
          <w:sz w:val="24"/>
          <w:szCs w:val="24"/>
        </w:rPr>
      </w:pPr>
    </w:p>
    <w:p w14:paraId="41B09C0D" w14:textId="77777777" w:rsidR="00EC0C58" w:rsidRDefault="00EC0C58" w:rsidP="00656794">
      <w:pPr>
        <w:jc w:val="both"/>
        <w:rPr>
          <w:rFonts w:ascii="Times New Roman" w:hAnsi="Times New Roman" w:cs="Times New Roman"/>
          <w:sz w:val="24"/>
          <w:szCs w:val="24"/>
        </w:rPr>
      </w:pPr>
    </w:p>
    <w:bookmarkEnd w:id="3"/>
    <w:p w14:paraId="7B286EEC" w14:textId="77777777" w:rsidR="00EC0C58" w:rsidRDefault="00EC0C58" w:rsidP="00656794">
      <w:pPr>
        <w:jc w:val="both"/>
        <w:rPr>
          <w:rFonts w:ascii="Times New Roman" w:hAnsi="Times New Roman" w:cs="Times New Roman"/>
          <w:sz w:val="24"/>
          <w:szCs w:val="24"/>
        </w:rPr>
      </w:pPr>
    </w:p>
    <w:p w14:paraId="4C4CD333" w14:textId="77777777" w:rsidR="00291F07" w:rsidRDefault="00291F07" w:rsidP="00656794">
      <w:pPr>
        <w:jc w:val="both"/>
        <w:rPr>
          <w:rFonts w:ascii="Times New Roman" w:hAnsi="Times New Roman" w:cs="Times New Roman"/>
          <w:sz w:val="24"/>
          <w:szCs w:val="24"/>
        </w:rPr>
      </w:pPr>
    </w:p>
    <w:p w14:paraId="0A08B0EF" w14:textId="77777777" w:rsidR="00291F07" w:rsidRDefault="00291F07" w:rsidP="00656794">
      <w:pPr>
        <w:jc w:val="both"/>
        <w:rPr>
          <w:rFonts w:ascii="Times New Roman" w:hAnsi="Times New Roman" w:cs="Times New Roman"/>
          <w:sz w:val="24"/>
          <w:szCs w:val="24"/>
        </w:rPr>
      </w:pPr>
    </w:p>
    <w:p w14:paraId="4C9382CE" w14:textId="77777777" w:rsidR="00291F07" w:rsidRDefault="00291F07" w:rsidP="00656794">
      <w:pPr>
        <w:jc w:val="both"/>
        <w:rPr>
          <w:rFonts w:ascii="Times New Roman" w:hAnsi="Times New Roman" w:cs="Times New Roman"/>
          <w:sz w:val="24"/>
          <w:szCs w:val="24"/>
        </w:rPr>
      </w:pPr>
    </w:p>
    <w:p w14:paraId="7C548651" w14:textId="77777777" w:rsidR="00291F07" w:rsidRDefault="00291F07" w:rsidP="00656794">
      <w:pPr>
        <w:jc w:val="both"/>
        <w:rPr>
          <w:rFonts w:ascii="Times New Roman" w:hAnsi="Times New Roman" w:cs="Times New Roman"/>
          <w:sz w:val="24"/>
          <w:szCs w:val="24"/>
        </w:rPr>
      </w:pPr>
    </w:p>
    <w:p w14:paraId="2EB27494" w14:textId="77777777" w:rsidR="00291F07" w:rsidRDefault="00291F07" w:rsidP="00656794">
      <w:pPr>
        <w:jc w:val="both"/>
        <w:rPr>
          <w:rFonts w:ascii="Times New Roman" w:hAnsi="Times New Roman" w:cs="Times New Roman"/>
          <w:sz w:val="24"/>
          <w:szCs w:val="24"/>
        </w:rPr>
      </w:pPr>
    </w:p>
    <w:p w14:paraId="1C69F05C" w14:textId="77777777" w:rsidR="00291F07" w:rsidRDefault="00291F07" w:rsidP="00656794">
      <w:pPr>
        <w:jc w:val="both"/>
        <w:rPr>
          <w:rFonts w:ascii="Times New Roman" w:hAnsi="Times New Roman" w:cs="Times New Roman"/>
          <w:sz w:val="24"/>
          <w:szCs w:val="24"/>
        </w:rPr>
      </w:pPr>
    </w:p>
    <w:p w14:paraId="52F59FB0" w14:textId="77777777" w:rsidR="00291F07" w:rsidRDefault="00291F07" w:rsidP="00656794">
      <w:pPr>
        <w:jc w:val="both"/>
        <w:rPr>
          <w:rFonts w:ascii="Times New Roman" w:hAnsi="Times New Roman" w:cs="Times New Roman"/>
          <w:sz w:val="24"/>
          <w:szCs w:val="24"/>
        </w:rPr>
      </w:pPr>
    </w:p>
    <w:p w14:paraId="679E3320" w14:textId="77777777" w:rsidR="00291F07" w:rsidRDefault="00291F07" w:rsidP="00656794">
      <w:pPr>
        <w:jc w:val="both"/>
        <w:rPr>
          <w:rFonts w:ascii="Times New Roman" w:hAnsi="Times New Roman" w:cs="Times New Roman"/>
          <w:sz w:val="24"/>
          <w:szCs w:val="24"/>
        </w:rPr>
      </w:pPr>
    </w:p>
    <w:p w14:paraId="729D655E" w14:textId="063DE080" w:rsidR="00291F07" w:rsidRPr="002F0D0B" w:rsidRDefault="0063313D" w:rsidP="002F0D0B">
      <w:pPr>
        <w:pStyle w:val="Titre2"/>
      </w:pPr>
      <w:bookmarkStart w:id="63" w:name="_Toc221721611"/>
      <w:r>
        <w:t>ANNEXES</w:t>
      </w:r>
      <w:bookmarkEnd w:id="63"/>
    </w:p>
    <w:p w14:paraId="77BD487C" w14:textId="6B8C46AB" w:rsidR="00054ABE" w:rsidRDefault="00B9324F" w:rsidP="00054ABE">
      <w:pPr>
        <w:rPr>
          <w:rFonts w:ascii="Times New Roman" w:hAnsi="Times New Roman" w:cs="Times New Roman"/>
          <w:b/>
          <w:bCs/>
          <w:noProof/>
          <w:sz w:val="24"/>
          <w:szCs w:val="24"/>
        </w:rPr>
      </w:pPr>
      <w:bookmarkStart w:id="64" w:name="OLE_LINK38"/>
      <w:bookmarkStart w:id="65" w:name="OLE_LINK32"/>
      <w:r>
        <w:rPr>
          <w:rFonts w:ascii="Times New Roman" w:hAnsi="Times New Roman" w:cs="Times New Roman"/>
          <w:b/>
          <w:bCs/>
          <w:sz w:val="24"/>
          <w:szCs w:val="24"/>
        </w:rPr>
        <w:t>Annexe</w:t>
      </w:r>
      <w:bookmarkEnd w:id="64"/>
      <w:r w:rsidR="00E13179" w:rsidRPr="00E13179">
        <w:rPr>
          <w:rFonts w:ascii="Times New Roman" w:hAnsi="Times New Roman" w:cs="Times New Roman"/>
          <w:b/>
          <w:bCs/>
          <w:sz w:val="24"/>
          <w:szCs w:val="24"/>
        </w:rPr>
        <w:t xml:space="preserve"> </w:t>
      </w:r>
      <w:r w:rsidR="00644BFA">
        <w:rPr>
          <w:rFonts w:ascii="Times New Roman" w:hAnsi="Times New Roman" w:cs="Times New Roman"/>
          <w:b/>
          <w:bCs/>
          <w:sz w:val="24"/>
          <w:szCs w:val="24"/>
        </w:rPr>
        <w:t>1</w:t>
      </w:r>
      <w:r w:rsidR="00E13179" w:rsidRPr="00E13179">
        <w:rPr>
          <w:rFonts w:ascii="Times New Roman" w:hAnsi="Times New Roman" w:cs="Times New Roman"/>
          <w:b/>
          <w:bCs/>
          <w:sz w:val="24"/>
          <w:szCs w:val="24"/>
        </w:rPr>
        <w:t xml:space="preserve"> </w:t>
      </w:r>
      <w:bookmarkEnd w:id="65"/>
      <w:r w:rsidR="000A7294">
        <w:rPr>
          <w:rFonts w:ascii="Times New Roman" w:hAnsi="Times New Roman" w:cs="Times New Roman"/>
          <w:b/>
          <w:bCs/>
          <w:sz w:val="24"/>
          <w:szCs w:val="24"/>
        </w:rPr>
        <w:t>-</w:t>
      </w:r>
      <w:r w:rsidR="00E13179" w:rsidRPr="00E13179">
        <w:rPr>
          <w:rFonts w:ascii="Times New Roman" w:hAnsi="Times New Roman" w:cs="Times New Roman"/>
          <w:b/>
          <w:bCs/>
          <w:sz w:val="24"/>
          <w:szCs w:val="24"/>
        </w:rPr>
        <w:t xml:space="preserve"> Analyse des valeurs manquantes dans les variables explicatives</w:t>
      </w:r>
      <w:r w:rsidR="006900AD">
        <w:rPr>
          <w:rFonts w:ascii="Times New Roman" w:hAnsi="Times New Roman" w:cs="Times New Roman"/>
          <w:b/>
          <w:bCs/>
          <w:noProof/>
          <w:sz w:val="24"/>
          <w:szCs w:val="24"/>
        </w:rPr>
        <w:drawing>
          <wp:inline distT="0" distB="0" distL="0" distR="0" wp14:anchorId="278AD142" wp14:editId="2A467AFD">
            <wp:extent cx="5713111" cy="2952925"/>
            <wp:effectExtent l="0" t="0" r="1905" b="0"/>
            <wp:docPr id="11333603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7155" cy="2980859"/>
                    </a:xfrm>
                    <a:prstGeom prst="rect">
                      <a:avLst/>
                    </a:prstGeom>
                    <a:noFill/>
                  </pic:spPr>
                </pic:pic>
              </a:graphicData>
            </a:graphic>
          </wp:inline>
        </w:drawing>
      </w:r>
    </w:p>
    <w:p w14:paraId="15C74A7C" w14:textId="3A9A947A" w:rsidR="00E4462D" w:rsidRPr="009E5005" w:rsidRDefault="009E5005" w:rsidP="00E831BC">
      <w:pPr>
        <w:ind w:firstLine="708"/>
        <w:rPr>
          <w:rFonts w:ascii="Times New Roman" w:hAnsi="Times New Roman" w:cs="Times New Roman"/>
          <w:i/>
          <w:iCs/>
          <w:sz w:val="24"/>
          <w:szCs w:val="24"/>
        </w:rPr>
      </w:pPr>
      <w:r w:rsidRPr="009E5005">
        <w:rPr>
          <w:rFonts w:ascii="Times New Roman" w:hAnsi="Times New Roman" w:cs="Times New Roman"/>
          <w:i/>
          <w:iCs/>
          <w:sz w:val="24"/>
          <w:szCs w:val="24"/>
        </w:rPr>
        <w:t>Source : auteurs, à partir des données UCI</w:t>
      </w:r>
    </w:p>
    <w:p w14:paraId="0D03D470" w14:textId="77777777" w:rsidR="00E4462D" w:rsidRDefault="00E4462D" w:rsidP="00E831BC">
      <w:pPr>
        <w:ind w:firstLine="708"/>
        <w:rPr>
          <w:rFonts w:ascii="Times New Roman" w:hAnsi="Times New Roman" w:cs="Times New Roman"/>
          <w:b/>
          <w:bCs/>
          <w:sz w:val="24"/>
          <w:szCs w:val="24"/>
        </w:rPr>
      </w:pPr>
    </w:p>
    <w:p w14:paraId="6795E7FF" w14:textId="77777777" w:rsidR="009E5005" w:rsidRDefault="009E5005" w:rsidP="00E831BC">
      <w:pPr>
        <w:ind w:firstLine="708"/>
        <w:rPr>
          <w:rFonts w:ascii="Times New Roman" w:hAnsi="Times New Roman" w:cs="Times New Roman"/>
          <w:b/>
          <w:bCs/>
          <w:sz w:val="24"/>
          <w:szCs w:val="24"/>
        </w:rPr>
      </w:pPr>
    </w:p>
    <w:p w14:paraId="20679396" w14:textId="02BA2761" w:rsidR="00E831BC" w:rsidRPr="00F90575" w:rsidRDefault="00B9324F" w:rsidP="00E831BC">
      <w:pPr>
        <w:ind w:firstLine="708"/>
        <w:rPr>
          <w:rFonts w:ascii="Times New Roman" w:hAnsi="Times New Roman" w:cs="Times New Roman"/>
          <w:b/>
          <w:bCs/>
          <w:sz w:val="24"/>
          <w:szCs w:val="24"/>
        </w:rPr>
      </w:pPr>
      <w:r w:rsidRPr="00B9324F">
        <w:rPr>
          <w:rFonts w:ascii="Times New Roman" w:hAnsi="Times New Roman" w:cs="Times New Roman"/>
          <w:b/>
          <w:bCs/>
          <w:sz w:val="24"/>
          <w:szCs w:val="24"/>
        </w:rPr>
        <w:t>Annexe</w:t>
      </w:r>
      <w:r w:rsidR="00F90575" w:rsidRPr="00F90575">
        <w:rPr>
          <w:rFonts w:ascii="Times New Roman" w:hAnsi="Times New Roman" w:cs="Times New Roman"/>
          <w:b/>
          <w:bCs/>
          <w:sz w:val="24"/>
          <w:szCs w:val="24"/>
        </w:rPr>
        <w:t xml:space="preserve"> </w:t>
      </w:r>
      <w:r w:rsidR="00F90575">
        <w:rPr>
          <w:rFonts w:ascii="Times New Roman" w:hAnsi="Times New Roman" w:cs="Times New Roman"/>
          <w:b/>
          <w:bCs/>
          <w:sz w:val="24"/>
          <w:szCs w:val="24"/>
        </w:rPr>
        <w:t>2</w:t>
      </w:r>
      <w:r w:rsidR="00F90575" w:rsidRPr="00F90575">
        <w:rPr>
          <w:rFonts w:ascii="Times New Roman" w:hAnsi="Times New Roman" w:cs="Times New Roman"/>
          <w:b/>
          <w:bCs/>
          <w:sz w:val="24"/>
          <w:szCs w:val="24"/>
        </w:rPr>
        <w:t xml:space="preserve"> </w:t>
      </w:r>
      <w:r w:rsidR="00F90575">
        <w:rPr>
          <w:rFonts w:ascii="Times New Roman" w:hAnsi="Times New Roman" w:cs="Times New Roman"/>
          <w:b/>
          <w:bCs/>
          <w:sz w:val="24"/>
          <w:szCs w:val="24"/>
        </w:rPr>
        <w:t>-</w:t>
      </w:r>
      <w:r w:rsidR="00F90575" w:rsidRPr="00F90575">
        <w:rPr>
          <w:rFonts w:ascii="Times New Roman" w:hAnsi="Times New Roman" w:cs="Times New Roman"/>
          <w:b/>
          <w:bCs/>
          <w:sz w:val="24"/>
          <w:szCs w:val="24"/>
        </w:rPr>
        <w:t xml:space="preserve"> </w:t>
      </w:r>
      <w:r w:rsidR="00FF6F85" w:rsidRPr="00FF6F85">
        <w:rPr>
          <w:rFonts w:ascii="Times New Roman" w:hAnsi="Times New Roman" w:cs="Times New Roman"/>
          <w:b/>
          <w:bCs/>
          <w:sz w:val="24"/>
          <w:szCs w:val="24"/>
        </w:rPr>
        <w:t>Taux de souscription selon le statut matrimonial</w:t>
      </w:r>
    </w:p>
    <w:p w14:paraId="464FB674" w14:textId="7FA6FF14" w:rsidR="00E831BC" w:rsidRDefault="00E831BC" w:rsidP="00E831BC">
      <w:pPr>
        <w:ind w:firstLine="708"/>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5A11B2" wp14:editId="6AF54591">
            <wp:extent cx="5133276" cy="2944535"/>
            <wp:effectExtent l="0" t="0" r="0" b="8255"/>
            <wp:docPr id="81927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3638" cy="3042258"/>
                    </a:xfrm>
                    <a:prstGeom prst="rect">
                      <a:avLst/>
                    </a:prstGeom>
                    <a:noFill/>
                  </pic:spPr>
                </pic:pic>
              </a:graphicData>
            </a:graphic>
          </wp:inline>
        </w:drawing>
      </w:r>
    </w:p>
    <w:p w14:paraId="6E28FC5F" w14:textId="690B45A6" w:rsidR="009E5005" w:rsidRDefault="009E5005" w:rsidP="00536684">
      <w:pPr>
        <w:rPr>
          <w:rFonts w:ascii="Times New Roman" w:hAnsi="Times New Roman" w:cs="Times New Roman"/>
          <w:i/>
          <w:iCs/>
          <w:sz w:val="24"/>
          <w:szCs w:val="24"/>
        </w:rPr>
      </w:pPr>
      <w:bookmarkStart w:id="66" w:name="OLE_LINK9"/>
      <w:r w:rsidRPr="009E5005">
        <w:rPr>
          <w:rFonts w:ascii="Times New Roman" w:hAnsi="Times New Roman" w:cs="Times New Roman"/>
          <w:i/>
          <w:iCs/>
          <w:sz w:val="24"/>
          <w:szCs w:val="24"/>
        </w:rPr>
        <w:t>Source : auteurs, à partir des données UCI</w:t>
      </w:r>
    </w:p>
    <w:bookmarkEnd w:id="66"/>
    <w:p w14:paraId="5CAAE862" w14:textId="77777777" w:rsidR="00A9377E" w:rsidRPr="00A9377E" w:rsidRDefault="00A9377E" w:rsidP="00536684">
      <w:pPr>
        <w:rPr>
          <w:rFonts w:ascii="Times New Roman" w:hAnsi="Times New Roman" w:cs="Times New Roman"/>
          <w:i/>
          <w:iCs/>
          <w:sz w:val="24"/>
          <w:szCs w:val="24"/>
        </w:rPr>
      </w:pPr>
    </w:p>
    <w:p w14:paraId="26024875" w14:textId="5C9ADF07" w:rsidR="00536684" w:rsidRPr="00986205" w:rsidRDefault="00B9324F" w:rsidP="00536684">
      <w:pPr>
        <w:rPr>
          <w:rFonts w:ascii="Times New Roman" w:hAnsi="Times New Roman" w:cs="Times New Roman"/>
          <w:b/>
          <w:bCs/>
          <w:sz w:val="24"/>
          <w:szCs w:val="24"/>
        </w:rPr>
      </w:pPr>
      <w:r w:rsidRPr="00B9324F">
        <w:rPr>
          <w:rFonts w:ascii="Times New Roman" w:hAnsi="Times New Roman" w:cs="Times New Roman"/>
          <w:b/>
          <w:bCs/>
          <w:sz w:val="24"/>
          <w:szCs w:val="24"/>
        </w:rPr>
        <w:lastRenderedPageBreak/>
        <w:t>Annexe</w:t>
      </w:r>
      <w:r w:rsidR="00986205" w:rsidRPr="00986205">
        <w:rPr>
          <w:rFonts w:ascii="Times New Roman" w:hAnsi="Times New Roman" w:cs="Times New Roman"/>
          <w:b/>
          <w:bCs/>
          <w:sz w:val="24"/>
          <w:szCs w:val="24"/>
        </w:rPr>
        <w:t xml:space="preserve"> 3 - </w:t>
      </w:r>
      <w:r w:rsidR="002B5190" w:rsidRPr="002B5190">
        <w:rPr>
          <w:rFonts w:ascii="Times New Roman" w:hAnsi="Times New Roman" w:cs="Times New Roman"/>
          <w:b/>
          <w:bCs/>
          <w:sz w:val="24"/>
          <w:szCs w:val="24"/>
        </w:rPr>
        <w:t>Taux de souscription selon le niveau d’éducation</w:t>
      </w:r>
    </w:p>
    <w:p w14:paraId="30F964D2" w14:textId="2ECADAE1" w:rsidR="00536684" w:rsidRDefault="00536684" w:rsidP="00536684">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2D836FC" wp14:editId="3814E0CA">
            <wp:extent cx="5158740" cy="3103926"/>
            <wp:effectExtent l="0" t="0" r="3810" b="1270"/>
            <wp:docPr id="187474739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8468" cy="3133846"/>
                    </a:xfrm>
                    <a:prstGeom prst="rect">
                      <a:avLst/>
                    </a:prstGeom>
                    <a:noFill/>
                  </pic:spPr>
                </pic:pic>
              </a:graphicData>
            </a:graphic>
          </wp:inline>
        </w:drawing>
      </w:r>
    </w:p>
    <w:p w14:paraId="3D5BA3FE" w14:textId="5E65FF49" w:rsidR="00785096" w:rsidRDefault="000A5FA4" w:rsidP="00785096">
      <w:pPr>
        <w:rPr>
          <w:rFonts w:ascii="Times New Roman" w:hAnsi="Times New Roman" w:cs="Times New Roman"/>
          <w:noProof/>
          <w:sz w:val="24"/>
          <w:szCs w:val="24"/>
        </w:rPr>
      </w:pPr>
      <w:r w:rsidRPr="000A5FA4">
        <w:rPr>
          <w:rFonts w:ascii="Times New Roman" w:hAnsi="Times New Roman" w:cs="Times New Roman"/>
          <w:noProof/>
          <w:sz w:val="24"/>
          <w:szCs w:val="24"/>
        </w:rPr>
        <w:t>Source : auteurs, à partir des données UCI</w:t>
      </w:r>
    </w:p>
    <w:p w14:paraId="5038DA77" w14:textId="77777777" w:rsidR="006413BE" w:rsidRDefault="006413BE" w:rsidP="006413BE">
      <w:pPr>
        <w:rPr>
          <w:rFonts w:ascii="Times New Roman" w:hAnsi="Times New Roman" w:cs="Times New Roman"/>
          <w:b/>
          <w:bCs/>
          <w:noProof/>
          <w:sz w:val="24"/>
          <w:szCs w:val="24"/>
        </w:rPr>
      </w:pPr>
    </w:p>
    <w:p w14:paraId="7AD89B40" w14:textId="4EAE75CA" w:rsidR="00785096" w:rsidRPr="006D1653" w:rsidRDefault="00B9324F" w:rsidP="00785096">
      <w:pPr>
        <w:rPr>
          <w:rFonts w:ascii="Times New Roman" w:hAnsi="Times New Roman" w:cs="Times New Roman"/>
          <w:b/>
          <w:bCs/>
          <w:noProof/>
          <w:sz w:val="24"/>
          <w:szCs w:val="24"/>
        </w:rPr>
      </w:pPr>
      <w:r w:rsidRPr="00B9324F">
        <w:rPr>
          <w:rFonts w:ascii="Times New Roman" w:hAnsi="Times New Roman" w:cs="Times New Roman"/>
          <w:b/>
          <w:bCs/>
          <w:noProof/>
          <w:sz w:val="24"/>
          <w:szCs w:val="24"/>
        </w:rPr>
        <w:t>Annexe</w:t>
      </w:r>
      <w:r w:rsidRPr="006413BE">
        <w:rPr>
          <w:rFonts w:ascii="Times New Roman" w:hAnsi="Times New Roman" w:cs="Times New Roman"/>
          <w:b/>
          <w:bCs/>
          <w:noProof/>
          <w:sz w:val="24"/>
          <w:szCs w:val="24"/>
        </w:rPr>
        <w:t xml:space="preserve"> </w:t>
      </w:r>
      <w:r>
        <w:rPr>
          <w:rFonts w:ascii="Times New Roman" w:hAnsi="Times New Roman" w:cs="Times New Roman"/>
          <w:b/>
          <w:bCs/>
          <w:noProof/>
          <w:sz w:val="24"/>
          <w:szCs w:val="24"/>
        </w:rPr>
        <w:t xml:space="preserve"> </w:t>
      </w:r>
      <w:r w:rsidR="006413BE">
        <w:rPr>
          <w:rFonts w:ascii="Times New Roman" w:hAnsi="Times New Roman" w:cs="Times New Roman"/>
          <w:b/>
          <w:bCs/>
          <w:noProof/>
          <w:sz w:val="24"/>
          <w:szCs w:val="24"/>
        </w:rPr>
        <w:t>4</w:t>
      </w:r>
      <w:r w:rsidR="006413BE" w:rsidRPr="006413BE">
        <w:rPr>
          <w:rFonts w:ascii="Times New Roman" w:hAnsi="Times New Roman" w:cs="Times New Roman"/>
          <w:b/>
          <w:bCs/>
          <w:noProof/>
          <w:sz w:val="24"/>
          <w:szCs w:val="24"/>
        </w:rPr>
        <w:t xml:space="preserve"> </w:t>
      </w:r>
      <w:r w:rsidR="006D1653">
        <w:rPr>
          <w:rFonts w:ascii="Times New Roman" w:hAnsi="Times New Roman" w:cs="Times New Roman"/>
          <w:b/>
          <w:bCs/>
          <w:noProof/>
          <w:sz w:val="24"/>
          <w:szCs w:val="24"/>
        </w:rPr>
        <w:t xml:space="preserve">- </w:t>
      </w:r>
      <w:r w:rsidR="00FF6F85" w:rsidRPr="00FF6F85">
        <w:rPr>
          <w:rFonts w:ascii="Times New Roman" w:hAnsi="Times New Roman" w:cs="Times New Roman"/>
          <w:b/>
          <w:bCs/>
          <w:noProof/>
          <w:sz w:val="24"/>
          <w:szCs w:val="24"/>
        </w:rPr>
        <w:t>Souscription et historique de défaut</w:t>
      </w:r>
    </w:p>
    <w:p w14:paraId="7F11BBE2" w14:textId="358CEA35" w:rsidR="006643D6" w:rsidRDefault="00785096" w:rsidP="006643D6">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79E1D72" wp14:editId="7757E441">
            <wp:extent cx="4605020" cy="3095537"/>
            <wp:effectExtent l="0" t="0" r="5080" b="0"/>
            <wp:docPr id="31606050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4750" cy="3115522"/>
                    </a:xfrm>
                    <a:prstGeom prst="rect">
                      <a:avLst/>
                    </a:prstGeom>
                    <a:noFill/>
                  </pic:spPr>
                </pic:pic>
              </a:graphicData>
            </a:graphic>
          </wp:inline>
        </w:drawing>
      </w:r>
    </w:p>
    <w:p w14:paraId="4FA3CB61" w14:textId="377B0D38" w:rsidR="006643D6" w:rsidRPr="000A7294" w:rsidRDefault="000A5FA4" w:rsidP="006643D6">
      <w:pPr>
        <w:rPr>
          <w:rFonts w:ascii="Times New Roman" w:hAnsi="Times New Roman" w:cs="Times New Roman"/>
          <w:i/>
          <w:iCs/>
          <w:sz w:val="24"/>
          <w:szCs w:val="24"/>
        </w:rPr>
      </w:pPr>
      <w:bookmarkStart w:id="67" w:name="OLE_LINK10"/>
      <w:r w:rsidRPr="000A7294">
        <w:rPr>
          <w:rFonts w:ascii="Times New Roman" w:hAnsi="Times New Roman" w:cs="Times New Roman"/>
          <w:i/>
          <w:iCs/>
          <w:sz w:val="24"/>
          <w:szCs w:val="24"/>
        </w:rPr>
        <w:t>Source : auteurs, à partir des données UCI</w:t>
      </w:r>
    </w:p>
    <w:bookmarkEnd w:id="67"/>
    <w:p w14:paraId="5FBBB60E" w14:textId="77777777" w:rsidR="000A5FA4" w:rsidRDefault="000A5FA4" w:rsidP="006643D6">
      <w:pPr>
        <w:rPr>
          <w:rFonts w:ascii="Times New Roman" w:hAnsi="Times New Roman" w:cs="Times New Roman"/>
          <w:sz w:val="24"/>
          <w:szCs w:val="24"/>
        </w:rPr>
      </w:pPr>
    </w:p>
    <w:p w14:paraId="33FC1232" w14:textId="77777777" w:rsidR="000A5FA4" w:rsidRDefault="000A5FA4" w:rsidP="006643D6">
      <w:pPr>
        <w:rPr>
          <w:rFonts w:ascii="Times New Roman" w:hAnsi="Times New Roman" w:cs="Times New Roman"/>
          <w:sz w:val="24"/>
          <w:szCs w:val="24"/>
        </w:rPr>
      </w:pPr>
    </w:p>
    <w:p w14:paraId="4EB2322A" w14:textId="77777777" w:rsidR="000A5FA4" w:rsidRDefault="000A5FA4" w:rsidP="006643D6">
      <w:pPr>
        <w:rPr>
          <w:rFonts w:ascii="Times New Roman" w:hAnsi="Times New Roman" w:cs="Times New Roman"/>
          <w:sz w:val="24"/>
          <w:szCs w:val="24"/>
        </w:rPr>
      </w:pPr>
    </w:p>
    <w:p w14:paraId="6C7C1E77" w14:textId="321BBBBF" w:rsidR="006643D6" w:rsidRPr="00944452" w:rsidRDefault="00B9324F" w:rsidP="006643D6">
      <w:pPr>
        <w:rPr>
          <w:rFonts w:ascii="Times New Roman" w:hAnsi="Times New Roman" w:cs="Times New Roman"/>
          <w:b/>
          <w:bCs/>
          <w:sz w:val="24"/>
          <w:szCs w:val="24"/>
        </w:rPr>
      </w:pPr>
      <w:bookmarkStart w:id="68" w:name="OLE_LINK39"/>
      <w:r w:rsidRPr="00B9324F">
        <w:rPr>
          <w:rFonts w:ascii="Times New Roman" w:hAnsi="Times New Roman" w:cs="Times New Roman"/>
          <w:b/>
          <w:bCs/>
          <w:sz w:val="24"/>
          <w:szCs w:val="24"/>
        </w:rPr>
        <w:lastRenderedPageBreak/>
        <w:t>Annexe</w:t>
      </w:r>
      <w:bookmarkEnd w:id="68"/>
      <w:r w:rsidR="00944452" w:rsidRPr="00944452">
        <w:rPr>
          <w:rFonts w:ascii="Times New Roman" w:hAnsi="Times New Roman" w:cs="Times New Roman"/>
          <w:b/>
          <w:bCs/>
          <w:sz w:val="24"/>
          <w:szCs w:val="24"/>
        </w:rPr>
        <w:t xml:space="preserve"> 5 </w:t>
      </w:r>
      <w:r w:rsidR="000A7294">
        <w:rPr>
          <w:rFonts w:ascii="Times New Roman" w:hAnsi="Times New Roman" w:cs="Times New Roman"/>
          <w:b/>
          <w:bCs/>
          <w:sz w:val="24"/>
          <w:szCs w:val="24"/>
        </w:rPr>
        <w:t>-</w:t>
      </w:r>
      <w:r w:rsidR="00944452" w:rsidRPr="00944452">
        <w:rPr>
          <w:rFonts w:ascii="Times New Roman" w:hAnsi="Times New Roman" w:cs="Times New Roman"/>
          <w:b/>
          <w:bCs/>
          <w:sz w:val="24"/>
          <w:szCs w:val="24"/>
        </w:rPr>
        <w:t xml:space="preserve"> Souscription et prêt personnel</w:t>
      </w:r>
    </w:p>
    <w:p w14:paraId="35FC3786" w14:textId="09904F52" w:rsidR="006643D6" w:rsidRDefault="006643D6" w:rsidP="006643D6">
      <w:pPr>
        <w:rPr>
          <w:noProof/>
        </w:rPr>
      </w:pPr>
      <w:r>
        <w:rPr>
          <w:noProof/>
        </w:rPr>
        <w:drawing>
          <wp:inline distT="0" distB="0" distL="0" distR="0" wp14:anchorId="003FA21C" wp14:editId="5E5B6A21">
            <wp:extent cx="5301842" cy="3321685"/>
            <wp:effectExtent l="0" t="0" r="0" b="0"/>
            <wp:docPr id="191296511" name="Image 1" descr="Une image contenant texte, capture d’écran, diagramm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511" name="Image 1" descr="Une image contenant texte, capture d’écran, diagramme, Caractère coloré&#10;&#10;Le contenu généré par l’IA peut être incorrect."/>
                    <pic:cNvPicPr/>
                  </pic:nvPicPr>
                  <pic:blipFill>
                    <a:blip r:embed="rId23"/>
                    <a:stretch>
                      <a:fillRect/>
                    </a:stretch>
                  </pic:blipFill>
                  <pic:spPr>
                    <a:xfrm>
                      <a:off x="0" y="0"/>
                      <a:ext cx="5330666" cy="3339744"/>
                    </a:xfrm>
                    <a:prstGeom prst="rect">
                      <a:avLst/>
                    </a:prstGeom>
                  </pic:spPr>
                </pic:pic>
              </a:graphicData>
            </a:graphic>
          </wp:inline>
        </w:drawing>
      </w:r>
    </w:p>
    <w:p w14:paraId="715E4842" w14:textId="4FFD283B" w:rsidR="00BA34CA" w:rsidRPr="000A5FA4" w:rsidRDefault="000A5FA4" w:rsidP="00BA34CA">
      <w:pPr>
        <w:rPr>
          <w:rFonts w:ascii="Times New Roman" w:hAnsi="Times New Roman" w:cs="Times New Roman"/>
          <w:i/>
          <w:iCs/>
          <w:noProof/>
        </w:rPr>
      </w:pPr>
      <w:r w:rsidRPr="000A5FA4">
        <w:rPr>
          <w:rFonts w:ascii="Times New Roman" w:hAnsi="Times New Roman" w:cs="Times New Roman"/>
          <w:i/>
          <w:iCs/>
          <w:noProof/>
        </w:rPr>
        <w:t>Source : auteurs, à partir des données UCI</w:t>
      </w:r>
    </w:p>
    <w:p w14:paraId="5DC8A068" w14:textId="77777777" w:rsidR="00FF6A99" w:rsidRDefault="00FF6A99" w:rsidP="00BA34CA">
      <w:pPr>
        <w:rPr>
          <w:rFonts w:ascii="Times New Roman" w:hAnsi="Times New Roman" w:cs="Times New Roman"/>
          <w:b/>
          <w:bCs/>
          <w:sz w:val="24"/>
          <w:szCs w:val="24"/>
        </w:rPr>
      </w:pPr>
    </w:p>
    <w:p w14:paraId="29C50800" w14:textId="2382142E" w:rsidR="00BA34CA" w:rsidRDefault="00B9324F" w:rsidP="00BA34CA">
      <w:pPr>
        <w:rPr>
          <w:rFonts w:ascii="Times New Roman" w:hAnsi="Times New Roman" w:cs="Times New Roman"/>
          <w:b/>
          <w:bCs/>
          <w:sz w:val="24"/>
          <w:szCs w:val="24"/>
        </w:rPr>
      </w:pPr>
      <w:r w:rsidRPr="00B9324F">
        <w:rPr>
          <w:rFonts w:ascii="Times New Roman" w:hAnsi="Times New Roman" w:cs="Times New Roman"/>
          <w:b/>
          <w:bCs/>
          <w:sz w:val="24"/>
          <w:szCs w:val="24"/>
        </w:rPr>
        <w:t>Annexe</w:t>
      </w:r>
      <w:r w:rsidR="00BA34CA" w:rsidRPr="00BA34CA">
        <w:rPr>
          <w:rFonts w:ascii="Times New Roman" w:hAnsi="Times New Roman" w:cs="Times New Roman"/>
          <w:b/>
          <w:bCs/>
          <w:sz w:val="24"/>
          <w:szCs w:val="24"/>
        </w:rPr>
        <w:t xml:space="preserve"> 7 </w:t>
      </w:r>
      <w:r w:rsidR="000A7294">
        <w:rPr>
          <w:rFonts w:ascii="Times New Roman" w:hAnsi="Times New Roman" w:cs="Times New Roman"/>
          <w:b/>
          <w:bCs/>
          <w:sz w:val="24"/>
          <w:szCs w:val="24"/>
        </w:rPr>
        <w:t>-</w:t>
      </w:r>
      <w:r w:rsidR="00BA34CA" w:rsidRPr="00BA34CA">
        <w:rPr>
          <w:rFonts w:ascii="Times New Roman" w:hAnsi="Times New Roman" w:cs="Times New Roman"/>
          <w:b/>
          <w:bCs/>
          <w:sz w:val="24"/>
          <w:szCs w:val="24"/>
        </w:rPr>
        <w:t xml:space="preserve"> Souscription selon le canal de contact</w:t>
      </w:r>
    </w:p>
    <w:p w14:paraId="6637D1E6" w14:textId="650E6E51" w:rsidR="00FF6A99" w:rsidRDefault="00FF6A99" w:rsidP="00FF6A99">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A87CCB4" wp14:editId="01235E8F">
            <wp:extent cx="5461233" cy="3195955"/>
            <wp:effectExtent l="0" t="0" r="6350" b="4445"/>
            <wp:docPr id="162277026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5062" cy="3227456"/>
                    </a:xfrm>
                    <a:prstGeom prst="rect">
                      <a:avLst/>
                    </a:prstGeom>
                    <a:noFill/>
                  </pic:spPr>
                </pic:pic>
              </a:graphicData>
            </a:graphic>
          </wp:inline>
        </w:drawing>
      </w:r>
    </w:p>
    <w:p w14:paraId="21FDCE94" w14:textId="77777777" w:rsidR="008D0AE9" w:rsidRPr="000A7294" w:rsidRDefault="008D0AE9" w:rsidP="008D0AE9">
      <w:pPr>
        <w:rPr>
          <w:rFonts w:ascii="Times New Roman" w:hAnsi="Times New Roman" w:cs="Times New Roman"/>
          <w:i/>
          <w:iCs/>
          <w:sz w:val="24"/>
          <w:szCs w:val="24"/>
        </w:rPr>
      </w:pPr>
      <w:r w:rsidRPr="000A7294">
        <w:rPr>
          <w:rFonts w:ascii="Times New Roman" w:hAnsi="Times New Roman" w:cs="Times New Roman"/>
          <w:i/>
          <w:iCs/>
          <w:sz w:val="24"/>
          <w:szCs w:val="24"/>
        </w:rPr>
        <w:t>Source : auteurs, à partir des données UCI</w:t>
      </w:r>
    </w:p>
    <w:p w14:paraId="34D816F1" w14:textId="77777777" w:rsidR="00946B82" w:rsidRDefault="00946B82" w:rsidP="00946B82">
      <w:pPr>
        <w:rPr>
          <w:rFonts w:ascii="Times New Roman" w:hAnsi="Times New Roman" w:cs="Times New Roman"/>
          <w:noProof/>
          <w:sz w:val="24"/>
          <w:szCs w:val="24"/>
        </w:rPr>
      </w:pPr>
    </w:p>
    <w:p w14:paraId="30BEABC5" w14:textId="77777777" w:rsidR="00946B82" w:rsidRDefault="00946B82" w:rsidP="00946B82">
      <w:pPr>
        <w:rPr>
          <w:rFonts w:ascii="Times New Roman" w:hAnsi="Times New Roman" w:cs="Times New Roman"/>
          <w:sz w:val="24"/>
          <w:szCs w:val="24"/>
        </w:rPr>
      </w:pPr>
    </w:p>
    <w:p w14:paraId="5E8BFB9F" w14:textId="26E54BCD" w:rsidR="00946B82" w:rsidRDefault="00B9324F" w:rsidP="00946B82">
      <w:pPr>
        <w:rPr>
          <w:rFonts w:ascii="Times New Roman" w:hAnsi="Times New Roman" w:cs="Times New Roman"/>
          <w:b/>
          <w:bCs/>
          <w:sz w:val="24"/>
          <w:szCs w:val="24"/>
        </w:rPr>
      </w:pPr>
      <w:r w:rsidRPr="00B9324F">
        <w:rPr>
          <w:rFonts w:ascii="Times New Roman" w:hAnsi="Times New Roman" w:cs="Times New Roman"/>
          <w:b/>
          <w:bCs/>
          <w:sz w:val="24"/>
          <w:szCs w:val="24"/>
        </w:rPr>
        <w:lastRenderedPageBreak/>
        <w:t>Annexe</w:t>
      </w:r>
      <w:r w:rsidR="00946B82" w:rsidRPr="00946B82">
        <w:rPr>
          <w:rFonts w:ascii="Times New Roman" w:hAnsi="Times New Roman" w:cs="Times New Roman"/>
          <w:b/>
          <w:bCs/>
          <w:sz w:val="24"/>
          <w:szCs w:val="24"/>
        </w:rPr>
        <w:t xml:space="preserve"> </w:t>
      </w:r>
      <w:r w:rsidR="00C80AF4">
        <w:rPr>
          <w:rFonts w:ascii="Times New Roman" w:hAnsi="Times New Roman" w:cs="Times New Roman"/>
          <w:b/>
          <w:bCs/>
          <w:sz w:val="24"/>
          <w:szCs w:val="24"/>
        </w:rPr>
        <w:t>8</w:t>
      </w:r>
      <w:r w:rsidR="00946B82" w:rsidRPr="00946B82">
        <w:rPr>
          <w:rFonts w:ascii="Times New Roman" w:hAnsi="Times New Roman" w:cs="Times New Roman"/>
          <w:b/>
          <w:bCs/>
          <w:sz w:val="24"/>
          <w:szCs w:val="24"/>
        </w:rPr>
        <w:t xml:space="preserve"> </w:t>
      </w:r>
      <w:r w:rsidR="000A7294">
        <w:rPr>
          <w:rFonts w:ascii="Times New Roman" w:hAnsi="Times New Roman" w:cs="Times New Roman"/>
          <w:b/>
          <w:bCs/>
          <w:sz w:val="24"/>
          <w:szCs w:val="24"/>
        </w:rPr>
        <w:t>-</w:t>
      </w:r>
      <w:r w:rsidR="00946B82" w:rsidRPr="00946B82">
        <w:rPr>
          <w:rFonts w:ascii="Times New Roman" w:hAnsi="Times New Roman" w:cs="Times New Roman"/>
          <w:b/>
          <w:bCs/>
          <w:sz w:val="24"/>
          <w:szCs w:val="24"/>
        </w:rPr>
        <w:t xml:space="preserve"> Distribution du solde bancaire selon la souscription</w:t>
      </w:r>
    </w:p>
    <w:p w14:paraId="70AC81E1" w14:textId="207BA46A" w:rsidR="00A1684C" w:rsidRDefault="00C80AF4" w:rsidP="00A1684C">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D9C4DAB" wp14:editId="4B660DCD">
            <wp:extent cx="5209237" cy="2801923"/>
            <wp:effectExtent l="0" t="0" r="0" b="0"/>
            <wp:docPr id="9419834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9063" cy="2823344"/>
                    </a:xfrm>
                    <a:prstGeom prst="rect">
                      <a:avLst/>
                    </a:prstGeom>
                    <a:noFill/>
                  </pic:spPr>
                </pic:pic>
              </a:graphicData>
            </a:graphic>
          </wp:inline>
        </w:drawing>
      </w:r>
    </w:p>
    <w:p w14:paraId="1F8CF6AB" w14:textId="5789DC14" w:rsidR="00A1684C" w:rsidRPr="000A7294" w:rsidRDefault="008D0AE9" w:rsidP="00A1684C">
      <w:pPr>
        <w:rPr>
          <w:rFonts w:ascii="Times New Roman" w:hAnsi="Times New Roman" w:cs="Times New Roman"/>
          <w:i/>
          <w:iCs/>
          <w:sz w:val="24"/>
          <w:szCs w:val="24"/>
        </w:rPr>
      </w:pPr>
      <w:r w:rsidRPr="000A7294">
        <w:rPr>
          <w:rFonts w:ascii="Times New Roman" w:hAnsi="Times New Roman" w:cs="Times New Roman"/>
          <w:i/>
          <w:iCs/>
          <w:sz w:val="24"/>
          <w:szCs w:val="24"/>
        </w:rPr>
        <w:t>Source : auteurs, à partir des données UCI</w:t>
      </w:r>
    </w:p>
    <w:p w14:paraId="0A8A624D" w14:textId="77777777" w:rsidR="00A1684C" w:rsidRDefault="00A1684C" w:rsidP="00A1684C">
      <w:pPr>
        <w:rPr>
          <w:rFonts w:ascii="Times New Roman" w:hAnsi="Times New Roman" w:cs="Times New Roman"/>
          <w:b/>
          <w:bCs/>
          <w:sz w:val="24"/>
          <w:szCs w:val="24"/>
        </w:rPr>
      </w:pPr>
    </w:p>
    <w:p w14:paraId="74C4B6D2" w14:textId="498650BC" w:rsidR="008B118A" w:rsidRDefault="00B9324F" w:rsidP="00A1684C">
      <w:pPr>
        <w:rPr>
          <w:rFonts w:ascii="Times New Roman" w:hAnsi="Times New Roman" w:cs="Times New Roman"/>
          <w:b/>
          <w:bCs/>
          <w:sz w:val="24"/>
          <w:szCs w:val="24"/>
        </w:rPr>
      </w:pPr>
      <w:r w:rsidRPr="00B9324F">
        <w:rPr>
          <w:rFonts w:ascii="Times New Roman" w:hAnsi="Times New Roman" w:cs="Times New Roman"/>
          <w:b/>
          <w:bCs/>
          <w:sz w:val="24"/>
          <w:szCs w:val="24"/>
        </w:rPr>
        <w:t>Annexe</w:t>
      </w:r>
      <w:r w:rsidR="00D82A58" w:rsidRPr="00D82A58">
        <w:rPr>
          <w:rFonts w:ascii="Times New Roman" w:hAnsi="Times New Roman" w:cs="Times New Roman"/>
          <w:b/>
          <w:bCs/>
          <w:sz w:val="24"/>
          <w:szCs w:val="24"/>
        </w:rPr>
        <w:t xml:space="preserve"> </w:t>
      </w:r>
      <w:r w:rsidR="004A2B60">
        <w:rPr>
          <w:rFonts w:ascii="Times New Roman" w:hAnsi="Times New Roman" w:cs="Times New Roman"/>
          <w:b/>
          <w:bCs/>
          <w:sz w:val="24"/>
          <w:szCs w:val="24"/>
        </w:rPr>
        <w:t>9</w:t>
      </w:r>
      <w:r w:rsidR="00D82A58" w:rsidRPr="00D82A58">
        <w:rPr>
          <w:rFonts w:ascii="Times New Roman" w:hAnsi="Times New Roman" w:cs="Times New Roman"/>
          <w:b/>
          <w:bCs/>
          <w:sz w:val="24"/>
          <w:szCs w:val="24"/>
        </w:rPr>
        <w:t xml:space="preserve"> – Répartition des clusters</w:t>
      </w:r>
      <w:r w:rsidR="007A7A0E">
        <w:rPr>
          <w:rFonts w:ascii="Times New Roman" w:hAnsi="Times New Roman" w:cs="Times New Roman"/>
          <w:b/>
          <w:bCs/>
          <w:sz w:val="24"/>
          <w:szCs w:val="24"/>
        </w:rPr>
        <w:t xml:space="preserve"> </w:t>
      </w:r>
      <w:r w:rsidR="007A7A0E" w:rsidRPr="007A7A0E">
        <w:rPr>
          <w:rFonts w:ascii="Times New Roman" w:hAnsi="Times New Roman" w:cs="Times New Roman"/>
          <w:b/>
          <w:bCs/>
          <w:sz w:val="24"/>
          <w:szCs w:val="24"/>
        </w:rPr>
        <w:t>(K-means, k = 4)</w:t>
      </w:r>
      <w:r w:rsidR="00D82A58" w:rsidRPr="00D82A58">
        <w:rPr>
          <w:rFonts w:ascii="Times New Roman" w:hAnsi="Times New Roman" w:cs="Times New Roman"/>
          <w:b/>
          <w:bCs/>
          <w:sz w:val="24"/>
          <w:szCs w:val="24"/>
        </w:rPr>
        <w:t xml:space="preserve"> et taux de souscription</w:t>
      </w:r>
    </w:p>
    <w:tbl>
      <w:tblPr>
        <w:tblStyle w:val="Tableausimple2"/>
        <w:tblW w:w="8573" w:type="dxa"/>
        <w:tblLook w:val="06A0" w:firstRow="1" w:lastRow="0" w:firstColumn="1" w:lastColumn="0" w:noHBand="1" w:noVBand="1"/>
      </w:tblPr>
      <w:tblGrid>
        <w:gridCol w:w="1270"/>
        <w:gridCol w:w="1804"/>
        <w:gridCol w:w="2050"/>
        <w:gridCol w:w="3449"/>
      </w:tblGrid>
      <w:tr w:rsidR="00C117E4" w:rsidRPr="008B0E10" w14:paraId="6740B0BE" w14:textId="77777777" w:rsidTr="00327589">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double" w:sz="4" w:space="0" w:color="auto"/>
            </w:tcBorders>
            <w:hideMark/>
          </w:tcPr>
          <w:p w14:paraId="7E378824" w14:textId="77777777" w:rsidR="008B0E10" w:rsidRPr="008B0E10" w:rsidRDefault="008B0E10" w:rsidP="008B0E10">
            <w:pPr>
              <w:spacing w:line="360" w:lineRule="auto"/>
              <w:jc w:val="center"/>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Cluster</w:t>
            </w:r>
          </w:p>
        </w:tc>
        <w:tc>
          <w:tcPr>
            <w:tcW w:w="1804" w:type="dxa"/>
            <w:tcBorders>
              <w:top w:val="double" w:sz="4" w:space="0" w:color="auto"/>
              <w:bottom w:val="double" w:sz="4" w:space="0" w:color="auto"/>
            </w:tcBorders>
            <w:hideMark/>
          </w:tcPr>
          <w:p w14:paraId="336EB8E7" w14:textId="77777777" w:rsidR="008B0E10" w:rsidRPr="008B0E10" w:rsidRDefault="008B0E10" w:rsidP="008B0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Effectif</w:t>
            </w:r>
          </w:p>
        </w:tc>
        <w:tc>
          <w:tcPr>
            <w:tcW w:w="2050" w:type="dxa"/>
            <w:tcBorders>
              <w:top w:val="double" w:sz="4" w:space="0" w:color="auto"/>
              <w:bottom w:val="double" w:sz="4" w:space="0" w:color="auto"/>
            </w:tcBorders>
            <w:hideMark/>
          </w:tcPr>
          <w:p w14:paraId="39B83815" w14:textId="77777777" w:rsidR="008B0E10" w:rsidRPr="008B0E10" w:rsidRDefault="008B0E10" w:rsidP="008B0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Proportion (%)</w:t>
            </w:r>
          </w:p>
        </w:tc>
        <w:tc>
          <w:tcPr>
            <w:tcW w:w="3449" w:type="dxa"/>
            <w:tcBorders>
              <w:top w:val="double" w:sz="4" w:space="0" w:color="auto"/>
              <w:bottom w:val="double" w:sz="4" w:space="0" w:color="auto"/>
            </w:tcBorders>
            <w:hideMark/>
          </w:tcPr>
          <w:p w14:paraId="6B4C4003" w14:textId="77777777" w:rsidR="008B0E10" w:rsidRPr="008B0E10" w:rsidRDefault="008B0E10" w:rsidP="008B0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Taux de souscription (%)</w:t>
            </w:r>
          </w:p>
        </w:tc>
      </w:tr>
      <w:tr w:rsidR="00C117E4" w:rsidRPr="008B0E10" w14:paraId="48F2F9FD" w14:textId="77777777" w:rsidTr="00327589">
        <w:trPr>
          <w:trHeight w:val="45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hideMark/>
          </w:tcPr>
          <w:p w14:paraId="37C95A64" w14:textId="77777777" w:rsidR="008B0E10" w:rsidRPr="008B0E10" w:rsidRDefault="008B0E10" w:rsidP="008B0E10">
            <w:pPr>
              <w:spacing w:line="360" w:lineRule="auto"/>
              <w:jc w:val="center"/>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1</w:t>
            </w:r>
          </w:p>
        </w:tc>
        <w:tc>
          <w:tcPr>
            <w:tcW w:w="1804" w:type="dxa"/>
            <w:tcBorders>
              <w:top w:val="double" w:sz="4" w:space="0" w:color="auto"/>
            </w:tcBorders>
            <w:hideMark/>
          </w:tcPr>
          <w:p w14:paraId="429D8159"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8 197</w:t>
            </w:r>
          </w:p>
        </w:tc>
        <w:tc>
          <w:tcPr>
            <w:tcW w:w="2050" w:type="dxa"/>
            <w:tcBorders>
              <w:top w:val="double" w:sz="4" w:space="0" w:color="auto"/>
            </w:tcBorders>
            <w:hideMark/>
          </w:tcPr>
          <w:p w14:paraId="2F781710"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18,1</w:t>
            </w:r>
          </w:p>
        </w:tc>
        <w:tc>
          <w:tcPr>
            <w:tcW w:w="3449" w:type="dxa"/>
            <w:tcBorders>
              <w:top w:val="double" w:sz="4" w:space="0" w:color="auto"/>
            </w:tcBorders>
            <w:hideMark/>
          </w:tcPr>
          <w:p w14:paraId="2D199196"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23,1</w:t>
            </w:r>
          </w:p>
        </w:tc>
      </w:tr>
      <w:tr w:rsidR="00C117E4" w:rsidRPr="008B0E10" w14:paraId="20F4BFAF" w14:textId="77777777" w:rsidTr="00327589">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C6D383A" w14:textId="77777777" w:rsidR="008B0E10" w:rsidRPr="008B0E10" w:rsidRDefault="008B0E10" w:rsidP="008B0E10">
            <w:pPr>
              <w:spacing w:line="360" w:lineRule="auto"/>
              <w:jc w:val="center"/>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2</w:t>
            </w:r>
          </w:p>
        </w:tc>
        <w:tc>
          <w:tcPr>
            <w:tcW w:w="1804" w:type="dxa"/>
            <w:hideMark/>
          </w:tcPr>
          <w:p w14:paraId="7512D053"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10 292</w:t>
            </w:r>
          </w:p>
        </w:tc>
        <w:tc>
          <w:tcPr>
            <w:tcW w:w="2050" w:type="dxa"/>
            <w:hideMark/>
          </w:tcPr>
          <w:p w14:paraId="6DCEF663"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22,8</w:t>
            </w:r>
          </w:p>
        </w:tc>
        <w:tc>
          <w:tcPr>
            <w:tcW w:w="3449" w:type="dxa"/>
            <w:hideMark/>
          </w:tcPr>
          <w:p w14:paraId="37CF2615"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11,9</w:t>
            </w:r>
          </w:p>
        </w:tc>
      </w:tr>
      <w:tr w:rsidR="00C117E4" w:rsidRPr="008B0E10" w14:paraId="3CF23650" w14:textId="77777777" w:rsidTr="00327589">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686A5E0F" w14:textId="77777777" w:rsidR="008B0E10" w:rsidRPr="008B0E10" w:rsidRDefault="008B0E10" w:rsidP="008B0E10">
            <w:pPr>
              <w:spacing w:line="360" w:lineRule="auto"/>
              <w:jc w:val="center"/>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3</w:t>
            </w:r>
          </w:p>
        </w:tc>
        <w:tc>
          <w:tcPr>
            <w:tcW w:w="1804" w:type="dxa"/>
            <w:hideMark/>
          </w:tcPr>
          <w:p w14:paraId="53A75C36"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15 892</w:t>
            </w:r>
          </w:p>
        </w:tc>
        <w:tc>
          <w:tcPr>
            <w:tcW w:w="2050" w:type="dxa"/>
            <w:hideMark/>
          </w:tcPr>
          <w:p w14:paraId="568959A2"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35,2</w:t>
            </w:r>
          </w:p>
        </w:tc>
        <w:tc>
          <w:tcPr>
            <w:tcW w:w="3449" w:type="dxa"/>
            <w:hideMark/>
          </w:tcPr>
          <w:p w14:paraId="6E4089C5"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9,1</w:t>
            </w:r>
          </w:p>
        </w:tc>
      </w:tr>
      <w:tr w:rsidR="00C117E4" w:rsidRPr="008B0E10" w14:paraId="67AE2EA9" w14:textId="77777777" w:rsidTr="00327589">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331A7CB2" w14:textId="77777777" w:rsidR="008B0E10" w:rsidRPr="008B0E10" w:rsidRDefault="008B0E10" w:rsidP="008B0E10">
            <w:pPr>
              <w:spacing w:line="360" w:lineRule="auto"/>
              <w:jc w:val="center"/>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4</w:t>
            </w:r>
          </w:p>
        </w:tc>
        <w:tc>
          <w:tcPr>
            <w:tcW w:w="1804" w:type="dxa"/>
            <w:hideMark/>
          </w:tcPr>
          <w:p w14:paraId="1A2E8624"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10 830</w:t>
            </w:r>
          </w:p>
        </w:tc>
        <w:tc>
          <w:tcPr>
            <w:tcW w:w="2050" w:type="dxa"/>
            <w:hideMark/>
          </w:tcPr>
          <w:p w14:paraId="05DCE5E1"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24,0</w:t>
            </w:r>
          </w:p>
        </w:tc>
        <w:tc>
          <w:tcPr>
            <w:tcW w:w="3449" w:type="dxa"/>
            <w:hideMark/>
          </w:tcPr>
          <w:p w14:paraId="066B9134"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6,7</w:t>
            </w:r>
          </w:p>
        </w:tc>
      </w:tr>
      <w:tr w:rsidR="00C117E4" w:rsidRPr="008B0E10" w14:paraId="0AEAA2EA" w14:textId="77777777" w:rsidTr="00327589">
        <w:trPr>
          <w:trHeight w:val="450"/>
        </w:trPr>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auto"/>
            </w:tcBorders>
            <w:hideMark/>
          </w:tcPr>
          <w:p w14:paraId="20410122" w14:textId="77777777" w:rsidR="008B0E10" w:rsidRPr="008B0E10" w:rsidRDefault="008B0E10" w:rsidP="008B0E10">
            <w:pPr>
              <w:spacing w:line="360" w:lineRule="auto"/>
              <w:jc w:val="center"/>
              <w:rPr>
                <w:rFonts w:ascii="Times New Roman" w:eastAsia="Times New Roman" w:hAnsi="Times New Roman" w:cs="Times New Roman"/>
                <w:sz w:val="24"/>
                <w:szCs w:val="24"/>
                <w:lang w:eastAsia="fr-FR"/>
              </w:rPr>
            </w:pPr>
            <w:r w:rsidRPr="008B0E10">
              <w:rPr>
                <w:rFonts w:ascii="Times New Roman" w:eastAsia="Times New Roman" w:hAnsi="Times New Roman" w:cs="Times New Roman"/>
                <w:sz w:val="24"/>
                <w:szCs w:val="24"/>
                <w:lang w:eastAsia="fr-FR"/>
              </w:rPr>
              <w:t>Total</w:t>
            </w:r>
          </w:p>
        </w:tc>
        <w:tc>
          <w:tcPr>
            <w:tcW w:w="1804" w:type="dxa"/>
            <w:tcBorders>
              <w:bottom w:val="double" w:sz="4" w:space="0" w:color="auto"/>
            </w:tcBorders>
            <w:hideMark/>
          </w:tcPr>
          <w:p w14:paraId="78D532DD"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b/>
                <w:bCs/>
                <w:sz w:val="24"/>
                <w:szCs w:val="24"/>
                <w:lang w:eastAsia="fr-FR"/>
              </w:rPr>
              <w:t>45 211</w:t>
            </w:r>
          </w:p>
        </w:tc>
        <w:tc>
          <w:tcPr>
            <w:tcW w:w="2050" w:type="dxa"/>
            <w:tcBorders>
              <w:bottom w:val="double" w:sz="4" w:space="0" w:color="auto"/>
            </w:tcBorders>
            <w:hideMark/>
          </w:tcPr>
          <w:p w14:paraId="260D4D5C"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b/>
                <w:bCs/>
                <w:sz w:val="24"/>
                <w:szCs w:val="24"/>
                <w:lang w:eastAsia="fr-FR"/>
              </w:rPr>
              <w:t>100,0</w:t>
            </w:r>
          </w:p>
        </w:tc>
        <w:tc>
          <w:tcPr>
            <w:tcW w:w="3449" w:type="dxa"/>
            <w:tcBorders>
              <w:bottom w:val="double" w:sz="4" w:space="0" w:color="auto"/>
            </w:tcBorders>
            <w:hideMark/>
          </w:tcPr>
          <w:p w14:paraId="675D8CAC" w14:textId="77777777" w:rsidR="008B0E10" w:rsidRPr="008B0E10" w:rsidRDefault="008B0E10" w:rsidP="008B0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8B0E10">
              <w:rPr>
                <w:rFonts w:ascii="Times New Roman" w:eastAsia="Times New Roman" w:hAnsi="Times New Roman" w:cs="Times New Roman"/>
                <w:b/>
                <w:bCs/>
                <w:sz w:val="24"/>
                <w:szCs w:val="24"/>
                <w:lang w:eastAsia="fr-FR"/>
              </w:rPr>
              <w:t>11,7</w:t>
            </w:r>
            <w:r w:rsidRPr="008B0E10">
              <w:rPr>
                <w:rFonts w:ascii="Times New Roman" w:eastAsia="Times New Roman" w:hAnsi="Times New Roman" w:cs="Times New Roman"/>
                <w:sz w:val="24"/>
                <w:szCs w:val="24"/>
                <w:lang w:eastAsia="fr-FR"/>
              </w:rPr>
              <w:t>*</w:t>
            </w:r>
          </w:p>
        </w:tc>
      </w:tr>
    </w:tbl>
    <w:p w14:paraId="62013B73" w14:textId="77777777" w:rsidR="00CC5BED" w:rsidRPr="008D0AE9" w:rsidRDefault="00CC5BED" w:rsidP="00CC5BED">
      <w:pPr>
        <w:rPr>
          <w:rFonts w:ascii="Times New Roman" w:hAnsi="Times New Roman" w:cs="Times New Roman"/>
          <w:i/>
          <w:iCs/>
          <w:sz w:val="24"/>
          <w:szCs w:val="24"/>
        </w:rPr>
      </w:pPr>
      <w:r w:rsidRPr="008D0AE9">
        <w:rPr>
          <w:rFonts w:ascii="Times New Roman" w:hAnsi="Times New Roman" w:cs="Times New Roman"/>
          <w:i/>
          <w:iCs/>
          <w:sz w:val="24"/>
          <w:szCs w:val="24"/>
        </w:rPr>
        <w:t>Source : auteurs, à partir des données UCI</w:t>
      </w:r>
    </w:p>
    <w:p w14:paraId="1E902D8B" w14:textId="77777777" w:rsidR="004A6C64" w:rsidRDefault="004A6C64" w:rsidP="00A1684C">
      <w:pPr>
        <w:rPr>
          <w:rFonts w:ascii="Times New Roman" w:hAnsi="Times New Roman" w:cs="Times New Roman"/>
          <w:sz w:val="24"/>
          <w:szCs w:val="24"/>
        </w:rPr>
      </w:pPr>
    </w:p>
    <w:p w14:paraId="28228DB3" w14:textId="22DAF478" w:rsidR="00A1684C" w:rsidRPr="004731CA" w:rsidRDefault="00B9324F" w:rsidP="00A1684C">
      <w:pPr>
        <w:spacing w:line="360" w:lineRule="auto"/>
        <w:jc w:val="both"/>
        <w:rPr>
          <w:rFonts w:ascii="Times New Roman" w:hAnsi="Times New Roman" w:cs="Times New Roman"/>
          <w:b/>
          <w:bCs/>
          <w:sz w:val="24"/>
          <w:szCs w:val="24"/>
        </w:rPr>
      </w:pPr>
      <w:r w:rsidRPr="00B9324F">
        <w:rPr>
          <w:rFonts w:ascii="Times New Roman" w:hAnsi="Times New Roman" w:cs="Times New Roman"/>
          <w:b/>
          <w:bCs/>
          <w:sz w:val="24"/>
          <w:szCs w:val="24"/>
        </w:rPr>
        <w:t>Annexe</w:t>
      </w:r>
      <w:r w:rsidR="00A1684C" w:rsidRPr="004731CA">
        <w:rPr>
          <w:rFonts w:ascii="Times New Roman" w:hAnsi="Times New Roman" w:cs="Times New Roman"/>
          <w:b/>
          <w:bCs/>
          <w:sz w:val="24"/>
          <w:szCs w:val="24"/>
        </w:rPr>
        <w:t xml:space="preserve"> 1</w:t>
      </w:r>
      <w:r w:rsidR="004A2B60">
        <w:rPr>
          <w:rFonts w:ascii="Times New Roman" w:hAnsi="Times New Roman" w:cs="Times New Roman"/>
          <w:b/>
          <w:bCs/>
          <w:sz w:val="24"/>
          <w:szCs w:val="24"/>
        </w:rPr>
        <w:t>0</w:t>
      </w:r>
      <w:r w:rsidR="00A1684C" w:rsidRPr="004731CA">
        <w:rPr>
          <w:rFonts w:ascii="Times New Roman" w:hAnsi="Times New Roman" w:cs="Times New Roman"/>
          <w:b/>
          <w:bCs/>
          <w:sz w:val="24"/>
          <w:szCs w:val="24"/>
        </w:rPr>
        <w:t xml:space="preserve"> - Les hyperparamètres retenus pour chaque modèle</w:t>
      </w:r>
    </w:p>
    <w:tbl>
      <w:tblPr>
        <w:tblStyle w:val="Tableausimple2"/>
        <w:tblW w:w="0" w:type="auto"/>
        <w:tblLayout w:type="fixed"/>
        <w:tblLook w:val="06A0" w:firstRow="1" w:lastRow="0" w:firstColumn="1" w:lastColumn="0" w:noHBand="1" w:noVBand="1"/>
      </w:tblPr>
      <w:tblGrid>
        <w:gridCol w:w="2025"/>
        <w:gridCol w:w="2961"/>
        <w:gridCol w:w="1245"/>
      </w:tblGrid>
      <w:tr w:rsidR="00A1684C" w:rsidRPr="00ED19CA" w14:paraId="4B00C544" w14:textId="77777777" w:rsidTr="00327589">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025" w:type="dxa"/>
            <w:tcBorders>
              <w:top w:val="double" w:sz="4" w:space="0" w:color="auto"/>
              <w:bottom w:val="double" w:sz="4" w:space="0" w:color="auto"/>
            </w:tcBorders>
            <w:hideMark/>
          </w:tcPr>
          <w:p w14:paraId="50A2DE99" w14:textId="77777777" w:rsidR="00A1684C" w:rsidRPr="00ED19CA" w:rsidRDefault="00A1684C" w:rsidP="00904AF0">
            <w:pPr>
              <w:spacing w:line="360" w:lineRule="auto"/>
              <w:jc w:val="both"/>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Modèle</w:t>
            </w:r>
          </w:p>
        </w:tc>
        <w:tc>
          <w:tcPr>
            <w:tcW w:w="2961" w:type="dxa"/>
            <w:tcBorders>
              <w:top w:val="double" w:sz="4" w:space="0" w:color="auto"/>
              <w:bottom w:val="double" w:sz="4" w:space="0" w:color="auto"/>
            </w:tcBorders>
            <w:hideMark/>
          </w:tcPr>
          <w:p w14:paraId="134273DE" w14:textId="77777777" w:rsidR="00A1684C" w:rsidRPr="00ED19CA" w:rsidRDefault="00A1684C" w:rsidP="00904A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Hyperparamètre</w:t>
            </w:r>
          </w:p>
        </w:tc>
        <w:tc>
          <w:tcPr>
            <w:tcW w:w="1245" w:type="dxa"/>
            <w:tcBorders>
              <w:top w:val="double" w:sz="4" w:space="0" w:color="auto"/>
              <w:bottom w:val="double" w:sz="4" w:space="0" w:color="auto"/>
            </w:tcBorders>
            <w:hideMark/>
          </w:tcPr>
          <w:p w14:paraId="7763CEC8" w14:textId="77777777" w:rsidR="00A1684C" w:rsidRPr="00ED19CA" w:rsidRDefault="00A1684C" w:rsidP="00904A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Valeur</w:t>
            </w:r>
          </w:p>
        </w:tc>
      </w:tr>
      <w:tr w:rsidR="00A1684C" w:rsidRPr="00ED19CA" w14:paraId="4B9E1505" w14:textId="77777777" w:rsidTr="00327589">
        <w:trPr>
          <w:trHeight w:val="424"/>
        </w:trPr>
        <w:tc>
          <w:tcPr>
            <w:cnfStyle w:val="001000000000" w:firstRow="0" w:lastRow="0" w:firstColumn="1" w:lastColumn="0" w:oddVBand="0" w:evenVBand="0" w:oddHBand="0" w:evenHBand="0" w:firstRowFirstColumn="0" w:firstRowLastColumn="0" w:lastRowFirstColumn="0" w:lastRowLastColumn="0"/>
            <w:tcW w:w="2025" w:type="dxa"/>
            <w:tcBorders>
              <w:top w:val="double" w:sz="4" w:space="0" w:color="auto"/>
            </w:tcBorders>
            <w:hideMark/>
          </w:tcPr>
          <w:p w14:paraId="779CB038" w14:textId="77777777" w:rsidR="00A1684C" w:rsidRPr="00ED19CA" w:rsidRDefault="00A1684C" w:rsidP="00904AF0">
            <w:pPr>
              <w:spacing w:line="360" w:lineRule="auto"/>
              <w:jc w:val="both"/>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RF</w:t>
            </w:r>
          </w:p>
        </w:tc>
        <w:tc>
          <w:tcPr>
            <w:tcW w:w="2961" w:type="dxa"/>
            <w:tcBorders>
              <w:top w:val="double" w:sz="4" w:space="0" w:color="auto"/>
            </w:tcBorders>
            <w:hideMark/>
          </w:tcPr>
          <w:p w14:paraId="51215179"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ntree</w:t>
            </w:r>
          </w:p>
        </w:tc>
        <w:tc>
          <w:tcPr>
            <w:tcW w:w="1245" w:type="dxa"/>
            <w:tcBorders>
              <w:top w:val="double" w:sz="4" w:space="0" w:color="auto"/>
            </w:tcBorders>
            <w:hideMark/>
          </w:tcPr>
          <w:p w14:paraId="063F75FD"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500</w:t>
            </w:r>
          </w:p>
        </w:tc>
      </w:tr>
      <w:tr w:rsidR="00A1684C" w:rsidRPr="00ED19CA" w14:paraId="03FBC967" w14:textId="77777777" w:rsidTr="00327589">
        <w:trPr>
          <w:trHeight w:val="437"/>
        </w:trPr>
        <w:tc>
          <w:tcPr>
            <w:cnfStyle w:val="001000000000" w:firstRow="0" w:lastRow="0" w:firstColumn="1" w:lastColumn="0" w:oddVBand="0" w:evenVBand="0" w:oddHBand="0" w:evenHBand="0" w:firstRowFirstColumn="0" w:firstRowLastColumn="0" w:lastRowFirstColumn="0" w:lastRowLastColumn="0"/>
            <w:tcW w:w="2025" w:type="dxa"/>
            <w:hideMark/>
          </w:tcPr>
          <w:p w14:paraId="0A993DCE" w14:textId="77777777" w:rsidR="00A1684C" w:rsidRPr="00ED19CA" w:rsidRDefault="00A1684C" w:rsidP="00904AF0">
            <w:pPr>
              <w:spacing w:line="360" w:lineRule="auto"/>
              <w:jc w:val="both"/>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RF</w:t>
            </w:r>
          </w:p>
        </w:tc>
        <w:tc>
          <w:tcPr>
            <w:tcW w:w="2961" w:type="dxa"/>
            <w:hideMark/>
          </w:tcPr>
          <w:p w14:paraId="33E4CB46"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mtry</w:t>
            </w:r>
          </w:p>
        </w:tc>
        <w:tc>
          <w:tcPr>
            <w:tcW w:w="1245" w:type="dxa"/>
            <w:hideMark/>
          </w:tcPr>
          <w:p w14:paraId="6B570230"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√p</w:t>
            </w:r>
          </w:p>
        </w:tc>
      </w:tr>
      <w:tr w:rsidR="00A1684C" w:rsidRPr="00ED19CA" w14:paraId="14CC941B" w14:textId="77777777" w:rsidTr="00327589">
        <w:trPr>
          <w:trHeight w:val="424"/>
        </w:trPr>
        <w:tc>
          <w:tcPr>
            <w:cnfStyle w:val="001000000000" w:firstRow="0" w:lastRow="0" w:firstColumn="1" w:lastColumn="0" w:oddVBand="0" w:evenVBand="0" w:oddHBand="0" w:evenHBand="0" w:firstRowFirstColumn="0" w:firstRowLastColumn="0" w:lastRowFirstColumn="0" w:lastRowLastColumn="0"/>
            <w:tcW w:w="2025" w:type="dxa"/>
            <w:hideMark/>
          </w:tcPr>
          <w:p w14:paraId="6D6A1F80" w14:textId="77777777" w:rsidR="00A1684C" w:rsidRPr="00ED19CA" w:rsidRDefault="00A1684C" w:rsidP="00904AF0">
            <w:pPr>
              <w:spacing w:line="360" w:lineRule="auto"/>
              <w:jc w:val="both"/>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XGBoost</w:t>
            </w:r>
          </w:p>
        </w:tc>
        <w:tc>
          <w:tcPr>
            <w:tcW w:w="2961" w:type="dxa"/>
            <w:hideMark/>
          </w:tcPr>
          <w:p w14:paraId="1B475C5A"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learning_rate</w:t>
            </w:r>
          </w:p>
        </w:tc>
        <w:tc>
          <w:tcPr>
            <w:tcW w:w="1245" w:type="dxa"/>
            <w:hideMark/>
          </w:tcPr>
          <w:p w14:paraId="1BAE9D13"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0.1</w:t>
            </w:r>
          </w:p>
        </w:tc>
      </w:tr>
      <w:tr w:rsidR="00A1684C" w:rsidRPr="00ED19CA" w14:paraId="6F65FC9D" w14:textId="77777777" w:rsidTr="00327589">
        <w:trPr>
          <w:trHeight w:val="424"/>
        </w:trPr>
        <w:tc>
          <w:tcPr>
            <w:cnfStyle w:val="001000000000" w:firstRow="0" w:lastRow="0" w:firstColumn="1" w:lastColumn="0" w:oddVBand="0" w:evenVBand="0" w:oddHBand="0" w:evenHBand="0" w:firstRowFirstColumn="0" w:firstRowLastColumn="0" w:lastRowFirstColumn="0" w:lastRowLastColumn="0"/>
            <w:tcW w:w="2025" w:type="dxa"/>
            <w:hideMark/>
          </w:tcPr>
          <w:p w14:paraId="075A9E1D" w14:textId="77777777" w:rsidR="00A1684C" w:rsidRPr="00ED19CA" w:rsidRDefault="00A1684C" w:rsidP="00904AF0">
            <w:pPr>
              <w:spacing w:line="360" w:lineRule="auto"/>
              <w:jc w:val="both"/>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XGBoost</w:t>
            </w:r>
          </w:p>
        </w:tc>
        <w:tc>
          <w:tcPr>
            <w:tcW w:w="2961" w:type="dxa"/>
            <w:hideMark/>
          </w:tcPr>
          <w:p w14:paraId="3A706AE5"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max_depth</w:t>
            </w:r>
          </w:p>
        </w:tc>
        <w:tc>
          <w:tcPr>
            <w:tcW w:w="1245" w:type="dxa"/>
            <w:hideMark/>
          </w:tcPr>
          <w:p w14:paraId="05C19B0D"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6</w:t>
            </w:r>
          </w:p>
        </w:tc>
      </w:tr>
      <w:tr w:rsidR="00A1684C" w:rsidRPr="00ED19CA" w14:paraId="1E92B5C2" w14:textId="77777777" w:rsidTr="00327589">
        <w:trPr>
          <w:trHeight w:val="437"/>
        </w:trPr>
        <w:tc>
          <w:tcPr>
            <w:cnfStyle w:val="001000000000" w:firstRow="0" w:lastRow="0" w:firstColumn="1" w:lastColumn="0" w:oddVBand="0" w:evenVBand="0" w:oddHBand="0" w:evenHBand="0" w:firstRowFirstColumn="0" w:firstRowLastColumn="0" w:lastRowFirstColumn="0" w:lastRowLastColumn="0"/>
            <w:tcW w:w="2025" w:type="dxa"/>
            <w:tcBorders>
              <w:bottom w:val="double" w:sz="4" w:space="0" w:color="auto"/>
            </w:tcBorders>
            <w:hideMark/>
          </w:tcPr>
          <w:p w14:paraId="36990A66" w14:textId="77777777" w:rsidR="00A1684C" w:rsidRPr="00ED19CA" w:rsidRDefault="00A1684C" w:rsidP="00904AF0">
            <w:pPr>
              <w:spacing w:line="360" w:lineRule="auto"/>
              <w:jc w:val="both"/>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XGBoost</w:t>
            </w:r>
          </w:p>
        </w:tc>
        <w:tc>
          <w:tcPr>
            <w:tcW w:w="2961" w:type="dxa"/>
            <w:tcBorders>
              <w:bottom w:val="double" w:sz="4" w:space="0" w:color="auto"/>
            </w:tcBorders>
            <w:hideMark/>
          </w:tcPr>
          <w:p w14:paraId="2830AC2B"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subsample</w:t>
            </w:r>
          </w:p>
        </w:tc>
        <w:tc>
          <w:tcPr>
            <w:tcW w:w="1245" w:type="dxa"/>
            <w:tcBorders>
              <w:bottom w:val="double" w:sz="4" w:space="0" w:color="auto"/>
            </w:tcBorders>
            <w:hideMark/>
          </w:tcPr>
          <w:p w14:paraId="6E49C18A" w14:textId="77777777" w:rsidR="00A1684C" w:rsidRPr="00ED19CA" w:rsidRDefault="00A1684C" w:rsidP="00904A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ED19CA">
              <w:rPr>
                <w:rFonts w:ascii="Times New Roman" w:eastAsia="Times New Roman" w:hAnsi="Times New Roman" w:cs="Times New Roman"/>
                <w:sz w:val="24"/>
                <w:szCs w:val="24"/>
                <w:lang w:eastAsia="fr-FR"/>
              </w:rPr>
              <w:t>0.8</w:t>
            </w:r>
          </w:p>
        </w:tc>
      </w:tr>
    </w:tbl>
    <w:p w14:paraId="700B0F32" w14:textId="504A7493" w:rsidR="008D0AE9" w:rsidRPr="000B130F" w:rsidRDefault="00A1684C" w:rsidP="000B130F">
      <w:pPr>
        <w:spacing w:line="360" w:lineRule="auto"/>
        <w:jc w:val="both"/>
        <w:rPr>
          <w:rFonts w:ascii="Times New Roman" w:hAnsi="Times New Roman" w:cs="Times New Roman"/>
          <w:i/>
          <w:iCs/>
          <w:sz w:val="24"/>
          <w:szCs w:val="24"/>
        </w:rPr>
      </w:pPr>
      <w:r w:rsidRPr="005D3672">
        <w:rPr>
          <w:rFonts w:ascii="Times New Roman" w:hAnsi="Times New Roman" w:cs="Times New Roman"/>
          <w:i/>
          <w:iCs/>
          <w:sz w:val="24"/>
          <w:szCs w:val="24"/>
        </w:rPr>
        <w:t>Source : auteurs, à partir des données UCI</w:t>
      </w:r>
    </w:p>
    <w:p w14:paraId="7FAE828D" w14:textId="45F9DECE" w:rsidR="00454E81" w:rsidRPr="00D3333C" w:rsidRDefault="00B9324F" w:rsidP="00B03E10">
      <w:pPr>
        <w:spacing w:line="360" w:lineRule="auto"/>
        <w:rPr>
          <w:rFonts w:ascii="Times New Roman" w:hAnsi="Times New Roman" w:cs="Times New Roman"/>
          <w:b/>
          <w:bCs/>
          <w:sz w:val="24"/>
          <w:szCs w:val="24"/>
        </w:rPr>
      </w:pPr>
      <w:r w:rsidRPr="00D3333C">
        <w:rPr>
          <w:rFonts w:ascii="Times New Roman" w:hAnsi="Times New Roman" w:cs="Times New Roman"/>
          <w:b/>
          <w:bCs/>
          <w:sz w:val="24"/>
          <w:szCs w:val="24"/>
        </w:rPr>
        <w:lastRenderedPageBreak/>
        <w:t>Annexe</w:t>
      </w:r>
      <w:r w:rsidR="008C4C90" w:rsidRPr="00D3333C">
        <w:rPr>
          <w:rFonts w:ascii="Times New Roman" w:hAnsi="Times New Roman" w:cs="Times New Roman"/>
          <w:b/>
          <w:bCs/>
          <w:sz w:val="24"/>
          <w:szCs w:val="24"/>
        </w:rPr>
        <w:t xml:space="preserve"> </w:t>
      </w:r>
      <w:r w:rsidR="003854CC" w:rsidRPr="00D3333C">
        <w:rPr>
          <w:rFonts w:ascii="Times New Roman" w:hAnsi="Times New Roman" w:cs="Times New Roman"/>
          <w:b/>
          <w:bCs/>
          <w:sz w:val="24"/>
          <w:szCs w:val="24"/>
        </w:rPr>
        <w:t>1</w:t>
      </w:r>
      <w:r w:rsidR="004A2B60" w:rsidRPr="00D3333C">
        <w:rPr>
          <w:rFonts w:ascii="Times New Roman" w:hAnsi="Times New Roman" w:cs="Times New Roman"/>
          <w:b/>
          <w:bCs/>
          <w:sz w:val="24"/>
          <w:szCs w:val="24"/>
        </w:rPr>
        <w:t>1</w:t>
      </w:r>
      <w:r w:rsidR="00FD7347" w:rsidRPr="00D3333C">
        <w:rPr>
          <w:rFonts w:ascii="Times New Roman" w:hAnsi="Times New Roman" w:cs="Times New Roman"/>
          <w:b/>
          <w:bCs/>
          <w:sz w:val="24"/>
          <w:szCs w:val="24"/>
        </w:rPr>
        <w:t xml:space="preserve"> </w:t>
      </w:r>
      <w:r w:rsidR="000A7294" w:rsidRPr="00D3333C">
        <w:rPr>
          <w:rFonts w:ascii="Times New Roman" w:hAnsi="Times New Roman" w:cs="Times New Roman"/>
          <w:b/>
          <w:bCs/>
          <w:sz w:val="24"/>
          <w:szCs w:val="24"/>
        </w:rPr>
        <w:t>-</w:t>
      </w:r>
      <w:r w:rsidR="008C4C90" w:rsidRPr="00D3333C">
        <w:rPr>
          <w:rFonts w:ascii="Times New Roman" w:hAnsi="Times New Roman" w:cs="Times New Roman"/>
          <w:b/>
          <w:bCs/>
          <w:sz w:val="24"/>
          <w:szCs w:val="24"/>
        </w:rPr>
        <w:t xml:space="preserve"> Simulation de profitabilité selon le seuil de probabilité (XGBoost)</w:t>
      </w:r>
    </w:p>
    <w:tbl>
      <w:tblPr>
        <w:tblStyle w:val="Tableausimple2"/>
        <w:tblW w:w="0" w:type="auto"/>
        <w:tblLook w:val="06A0" w:firstRow="1" w:lastRow="0" w:firstColumn="1" w:lastColumn="0" w:noHBand="1" w:noVBand="1"/>
      </w:tblPr>
      <w:tblGrid>
        <w:gridCol w:w="1564"/>
        <w:gridCol w:w="1355"/>
        <w:gridCol w:w="1423"/>
        <w:gridCol w:w="1862"/>
        <w:gridCol w:w="937"/>
        <w:gridCol w:w="937"/>
        <w:gridCol w:w="994"/>
      </w:tblGrid>
      <w:tr w:rsidR="00E00E44" w:rsidRPr="00D3333C" w14:paraId="5964E62B" w14:textId="77777777" w:rsidTr="00D05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hideMark/>
          </w:tcPr>
          <w:p w14:paraId="1ED13F23" w14:textId="34F9789D" w:rsidR="00D05AB5" w:rsidRPr="00D3333C" w:rsidRDefault="00E00E44"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Seuil de probabilité</w:t>
            </w:r>
          </w:p>
        </w:tc>
        <w:tc>
          <w:tcPr>
            <w:tcW w:w="0" w:type="auto"/>
            <w:tcBorders>
              <w:top w:val="double" w:sz="4" w:space="0" w:color="auto"/>
            </w:tcBorders>
            <w:hideMark/>
          </w:tcPr>
          <w:p w14:paraId="5C6FD351" w14:textId="2B3939C1" w:rsidR="00D05AB5" w:rsidRPr="00D3333C" w:rsidRDefault="00E00E44"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Clients contactés</w:t>
            </w:r>
          </w:p>
        </w:tc>
        <w:tc>
          <w:tcPr>
            <w:tcW w:w="0" w:type="auto"/>
            <w:tcBorders>
              <w:top w:val="double" w:sz="4" w:space="0" w:color="auto"/>
            </w:tcBorders>
            <w:hideMark/>
          </w:tcPr>
          <w:p w14:paraId="490AADB5" w14:textId="62203A00" w:rsidR="00D05AB5" w:rsidRPr="00D3333C" w:rsidRDefault="00E00E44"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Taux contactés</w:t>
            </w:r>
            <w:r w:rsidR="00D05AB5" w:rsidRPr="00D3333C">
              <w:rPr>
                <w:rFonts w:ascii="Times New Roman" w:eastAsia="Times New Roman" w:hAnsi="Times New Roman" w:cs="Times New Roman"/>
                <w:sz w:val="24"/>
                <w:szCs w:val="24"/>
                <w:lang w:eastAsia="fr-FR"/>
              </w:rPr>
              <w:t xml:space="preserve"> (%)</w:t>
            </w:r>
          </w:p>
        </w:tc>
        <w:tc>
          <w:tcPr>
            <w:tcW w:w="0" w:type="auto"/>
            <w:tcBorders>
              <w:top w:val="double" w:sz="4" w:space="0" w:color="auto"/>
            </w:tcBorders>
            <w:hideMark/>
          </w:tcPr>
          <w:p w14:paraId="39B6C615" w14:textId="77497971" w:rsidR="00D05AB5" w:rsidRPr="00D3333C" w:rsidRDefault="00E00E44"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Souscriptions attendues</w:t>
            </w:r>
          </w:p>
        </w:tc>
        <w:tc>
          <w:tcPr>
            <w:tcW w:w="0" w:type="auto"/>
            <w:tcBorders>
              <w:top w:val="double" w:sz="4" w:space="0" w:color="auto"/>
            </w:tcBorders>
            <w:hideMark/>
          </w:tcPr>
          <w:p w14:paraId="33D9D87D" w14:textId="12927917" w:rsidR="00D05AB5" w:rsidRPr="00D3333C" w:rsidRDefault="00E00E44"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Coût total</w:t>
            </w:r>
            <w:r w:rsidR="00D05AB5" w:rsidRPr="00D3333C">
              <w:rPr>
                <w:rFonts w:ascii="Times New Roman" w:eastAsia="Times New Roman" w:hAnsi="Times New Roman" w:cs="Times New Roman"/>
                <w:sz w:val="24"/>
                <w:szCs w:val="24"/>
                <w:lang w:eastAsia="fr-FR"/>
              </w:rPr>
              <w:t xml:space="preserve"> (€)</w:t>
            </w:r>
          </w:p>
        </w:tc>
        <w:tc>
          <w:tcPr>
            <w:tcW w:w="0" w:type="auto"/>
            <w:tcBorders>
              <w:top w:val="double" w:sz="4" w:space="0" w:color="auto"/>
            </w:tcBorders>
            <w:hideMark/>
          </w:tcPr>
          <w:p w14:paraId="47530A7A" w14:textId="561D40B2" w:rsidR="00D05AB5" w:rsidRPr="00D3333C" w:rsidRDefault="00E00E44"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Gain total</w:t>
            </w:r>
            <w:r w:rsidR="00D05AB5" w:rsidRPr="00D3333C">
              <w:rPr>
                <w:rFonts w:ascii="Times New Roman" w:eastAsia="Times New Roman" w:hAnsi="Times New Roman" w:cs="Times New Roman"/>
                <w:sz w:val="24"/>
                <w:szCs w:val="24"/>
                <w:lang w:eastAsia="fr-FR"/>
              </w:rPr>
              <w:t xml:space="preserve"> (€)</w:t>
            </w:r>
          </w:p>
        </w:tc>
        <w:tc>
          <w:tcPr>
            <w:tcW w:w="0" w:type="auto"/>
            <w:tcBorders>
              <w:top w:val="double" w:sz="4" w:space="0" w:color="auto"/>
            </w:tcBorders>
            <w:hideMark/>
          </w:tcPr>
          <w:p w14:paraId="57C5C6B5" w14:textId="4BF5F044" w:rsidR="00D05AB5" w:rsidRPr="00D3333C" w:rsidRDefault="00E00E44"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Profit net</w:t>
            </w:r>
            <w:r w:rsidR="00D05AB5" w:rsidRPr="00D3333C">
              <w:rPr>
                <w:rFonts w:ascii="Times New Roman" w:eastAsia="Times New Roman" w:hAnsi="Times New Roman" w:cs="Times New Roman"/>
                <w:sz w:val="24"/>
                <w:szCs w:val="24"/>
                <w:lang w:eastAsia="fr-FR"/>
              </w:rPr>
              <w:t xml:space="preserve"> (€)</w:t>
            </w:r>
          </w:p>
        </w:tc>
      </w:tr>
      <w:tr w:rsidR="00E00E44" w:rsidRPr="00D3333C" w14:paraId="66DB9CDB" w14:textId="77777777" w:rsidTr="00D05AB5">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hideMark/>
          </w:tcPr>
          <w:p w14:paraId="0EDEE65A"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0.50</w:t>
            </w:r>
          </w:p>
        </w:tc>
        <w:tc>
          <w:tcPr>
            <w:tcW w:w="0" w:type="auto"/>
            <w:tcBorders>
              <w:top w:val="double" w:sz="4" w:space="0" w:color="auto"/>
            </w:tcBorders>
            <w:hideMark/>
          </w:tcPr>
          <w:p w14:paraId="1837BF4C"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345</w:t>
            </w:r>
          </w:p>
        </w:tc>
        <w:tc>
          <w:tcPr>
            <w:tcW w:w="0" w:type="auto"/>
            <w:tcBorders>
              <w:top w:val="double" w:sz="4" w:space="0" w:color="auto"/>
            </w:tcBorders>
            <w:hideMark/>
          </w:tcPr>
          <w:p w14:paraId="2DB28DB8"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2.5</w:t>
            </w:r>
          </w:p>
        </w:tc>
        <w:tc>
          <w:tcPr>
            <w:tcW w:w="0" w:type="auto"/>
            <w:tcBorders>
              <w:top w:val="double" w:sz="4" w:space="0" w:color="auto"/>
            </w:tcBorders>
            <w:hideMark/>
          </w:tcPr>
          <w:p w14:paraId="35F38DC8"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198</w:t>
            </w:r>
          </w:p>
        </w:tc>
        <w:tc>
          <w:tcPr>
            <w:tcW w:w="0" w:type="auto"/>
            <w:tcBorders>
              <w:top w:val="double" w:sz="4" w:space="0" w:color="auto"/>
            </w:tcBorders>
            <w:hideMark/>
          </w:tcPr>
          <w:p w14:paraId="5B930580"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690</w:t>
            </w:r>
          </w:p>
        </w:tc>
        <w:tc>
          <w:tcPr>
            <w:tcW w:w="0" w:type="auto"/>
            <w:tcBorders>
              <w:top w:val="double" w:sz="4" w:space="0" w:color="auto"/>
            </w:tcBorders>
            <w:hideMark/>
          </w:tcPr>
          <w:p w14:paraId="3246E328"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11 880</w:t>
            </w:r>
          </w:p>
        </w:tc>
        <w:tc>
          <w:tcPr>
            <w:tcW w:w="0" w:type="auto"/>
            <w:tcBorders>
              <w:top w:val="double" w:sz="4" w:space="0" w:color="auto"/>
            </w:tcBorders>
            <w:hideMark/>
          </w:tcPr>
          <w:p w14:paraId="64853F55"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11 190</w:t>
            </w:r>
          </w:p>
        </w:tc>
      </w:tr>
      <w:tr w:rsidR="00E00E44" w:rsidRPr="00D3333C" w14:paraId="07EE9054"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121D7CDD"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0.45</w:t>
            </w:r>
          </w:p>
        </w:tc>
        <w:tc>
          <w:tcPr>
            <w:tcW w:w="0" w:type="auto"/>
            <w:hideMark/>
          </w:tcPr>
          <w:p w14:paraId="104BF511"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390</w:t>
            </w:r>
          </w:p>
        </w:tc>
        <w:tc>
          <w:tcPr>
            <w:tcW w:w="0" w:type="auto"/>
            <w:hideMark/>
          </w:tcPr>
          <w:p w14:paraId="4D054B4A"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2.9</w:t>
            </w:r>
          </w:p>
        </w:tc>
        <w:tc>
          <w:tcPr>
            <w:tcW w:w="0" w:type="auto"/>
            <w:hideMark/>
          </w:tcPr>
          <w:p w14:paraId="5F2645F9"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216</w:t>
            </w:r>
          </w:p>
        </w:tc>
        <w:tc>
          <w:tcPr>
            <w:tcW w:w="0" w:type="auto"/>
            <w:hideMark/>
          </w:tcPr>
          <w:p w14:paraId="5A575778"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780</w:t>
            </w:r>
          </w:p>
        </w:tc>
        <w:tc>
          <w:tcPr>
            <w:tcW w:w="0" w:type="auto"/>
            <w:hideMark/>
          </w:tcPr>
          <w:p w14:paraId="63C373A7"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12 960</w:t>
            </w:r>
          </w:p>
        </w:tc>
        <w:tc>
          <w:tcPr>
            <w:tcW w:w="0" w:type="auto"/>
            <w:hideMark/>
          </w:tcPr>
          <w:p w14:paraId="5C38BE6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12 180</w:t>
            </w:r>
          </w:p>
        </w:tc>
      </w:tr>
      <w:tr w:rsidR="00E00E44" w:rsidRPr="00D3333C" w14:paraId="02B16FDF"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66239E7C"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0.40</w:t>
            </w:r>
          </w:p>
        </w:tc>
        <w:tc>
          <w:tcPr>
            <w:tcW w:w="0" w:type="auto"/>
            <w:hideMark/>
          </w:tcPr>
          <w:p w14:paraId="7F83EF2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425</w:t>
            </w:r>
          </w:p>
        </w:tc>
        <w:tc>
          <w:tcPr>
            <w:tcW w:w="0" w:type="auto"/>
            <w:hideMark/>
          </w:tcPr>
          <w:p w14:paraId="037BCCB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3.1</w:t>
            </w:r>
          </w:p>
        </w:tc>
        <w:tc>
          <w:tcPr>
            <w:tcW w:w="0" w:type="auto"/>
            <w:hideMark/>
          </w:tcPr>
          <w:p w14:paraId="3F6A79CD"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229</w:t>
            </w:r>
          </w:p>
        </w:tc>
        <w:tc>
          <w:tcPr>
            <w:tcW w:w="0" w:type="auto"/>
            <w:hideMark/>
          </w:tcPr>
          <w:p w14:paraId="72CF9313"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850</w:t>
            </w:r>
          </w:p>
        </w:tc>
        <w:tc>
          <w:tcPr>
            <w:tcW w:w="0" w:type="auto"/>
            <w:hideMark/>
          </w:tcPr>
          <w:p w14:paraId="204A256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13 740</w:t>
            </w:r>
          </w:p>
        </w:tc>
        <w:tc>
          <w:tcPr>
            <w:tcW w:w="0" w:type="auto"/>
            <w:hideMark/>
          </w:tcPr>
          <w:p w14:paraId="578ACB98"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12 890</w:t>
            </w:r>
          </w:p>
        </w:tc>
      </w:tr>
      <w:tr w:rsidR="00E00E44" w:rsidRPr="00D3333C" w14:paraId="2E75BC63"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6C1D75D5"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0.35</w:t>
            </w:r>
          </w:p>
        </w:tc>
        <w:tc>
          <w:tcPr>
            <w:tcW w:w="0" w:type="auto"/>
            <w:hideMark/>
          </w:tcPr>
          <w:p w14:paraId="413E5295"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471</w:t>
            </w:r>
          </w:p>
        </w:tc>
        <w:tc>
          <w:tcPr>
            <w:tcW w:w="0" w:type="auto"/>
            <w:hideMark/>
          </w:tcPr>
          <w:p w14:paraId="0EF305C2"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3.5</w:t>
            </w:r>
          </w:p>
        </w:tc>
        <w:tc>
          <w:tcPr>
            <w:tcW w:w="0" w:type="auto"/>
            <w:hideMark/>
          </w:tcPr>
          <w:p w14:paraId="1C309EF9"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251</w:t>
            </w:r>
          </w:p>
        </w:tc>
        <w:tc>
          <w:tcPr>
            <w:tcW w:w="0" w:type="auto"/>
            <w:hideMark/>
          </w:tcPr>
          <w:p w14:paraId="104F727A"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942</w:t>
            </w:r>
          </w:p>
        </w:tc>
        <w:tc>
          <w:tcPr>
            <w:tcW w:w="0" w:type="auto"/>
            <w:hideMark/>
          </w:tcPr>
          <w:p w14:paraId="52E778C1"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15 060</w:t>
            </w:r>
          </w:p>
        </w:tc>
        <w:tc>
          <w:tcPr>
            <w:tcW w:w="0" w:type="auto"/>
            <w:hideMark/>
          </w:tcPr>
          <w:p w14:paraId="15105411"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14 118</w:t>
            </w:r>
          </w:p>
        </w:tc>
      </w:tr>
      <w:tr w:rsidR="00E00E44" w:rsidRPr="00D3333C" w14:paraId="060BA624"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75C8DBE2"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0.30</w:t>
            </w:r>
          </w:p>
        </w:tc>
        <w:tc>
          <w:tcPr>
            <w:tcW w:w="0" w:type="auto"/>
            <w:hideMark/>
          </w:tcPr>
          <w:p w14:paraId="35A8569A"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530</w:t>
            </w:r>
          </w:p>
        </w:tc>
        <w:tc>
          <w:tcPr>
            <w:tcW w:w="0" w:type="auto"/>
            <w:hideMark/>
          </w:tcPr>
          <w:p w14:paraId="160F2232"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3.9</w:t>
            </w:r>
          </w:p>
        </w:tc>
        <w:tc>
          <w:tcPr>
            <w:tcW w:w="0" w:type="auto"/>
            <w:hideMark/>
          </w:tcPr>
          <w:p w14:paraId="5D9FA03E"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280</w:t>
            </w:r>
          </w:p>
        </w:tc>
        <w:tc>
          <w:tcPr>
            <w:tcW w:w="0" w:type="auto"/>
            <w:hideMark/>
          </w:tcPr>
          <w:p w14:paraId="4FD360A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1 060</w:t>
            </w:r>
          </w:p>
        </w:tc>
        <w:tc>
          <w:tcPr>
            <w:tcW w:w="0" w:type="auto"/>
            <w:hideMark/>
          </w:tcPr>
          <w:p w14:paraId="7B310492"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16 800</w:t>
            </w:r>
          </w:p>
        </w:tc>
        <w:tc>
          <w:tcPr>
            <w:tcW w:w="0" w:type="auto"/>
            <w:hideMark/>
          </w:tcPr>
          <w:p w14:paraId="22893D91"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15 740</w:t>
            </w:r>
          </w:p>
        </w:tc>
      </w:tr>
      <w:tr w:rsidR="00E00E44" w:rsidRPr="00D3333C" w14:paraId="544C93CB"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07F16AFA"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0.25</w:t>
            </w:r>
          </w:p>
        </w:tc>
        <w:tc>
          <w:tcPr>
            <w:tcW w:w="0" w:type="auto"/>
            <w:hideMark/>
          </w:tcPr>
          <w:p w14:paraId="53A1BFA0"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590</w:t>
            </w:r>
          </w:p>
        </w:tc>
        <w:tc>
          <w:tcPr>
            <w:tcW w:w="0" w:type="auto"/>
            <w:hideMark/>
          </w:tcPr>
          <w:p w14:paraId="7F414FE9"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4.3</w:t>
            </w:r>
          </w:p>
        </w:tc>
        <w:tc>
          <w:tcPr>
            <w:tcW w:w="0" w:type="auto"/>
            <w:hideMark/>
          </w:tcPr>
          <w:p w14:paraId="07A3A857"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299</w:t>
            </w:r>
          </w:p>
        </w:tc>
        <w:tc>
          <w:tcPr>
            <w:tcW w:w="0" w:type="auto"/>
            <w:hideMark/>
          </w:tcPr>
          <w:p w14:paraId="2C7DCD7A"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1 180</w:t>
            </w:r>
          </w:p>
        </w:tc>
        <w:tc>
          <w:tcPr>
            <w:tcW w:w="0" w:type="auto"/>
            <w:hideMark/>
          </w:tcPr>
          <w:p w14:paraId="714079D0"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17 940</w:t>
            </w:r>
          </w:p>
        </w:tc>
        <w:tc>
          <w:tcPr>
            <w:tcW w:w="0" w:type="auto"/>
            <w:hideMark/>
          </w:tcPr>
          <w:p w14:paraId="518E1F1E"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16 760</w:t>
            </w:r>
          </w:p>
        </w:tc>
      </w:tr>
      <w:tr w:rsidR="00E00E44" w:rsidRPr="00D3333C" w14:paraId="06DE07B9"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18CEC10B"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0.20</w:t>
            </w:r>
          </w:p>
        </w:tc>
        <w:tc>
          <w:tcPr>
            <w:tcW w:w="0" w:type="auto"/>
            <w:hideMark/>
          </w:tcPr>
          <w:p w14:paraId="4ED084DC"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681</w:t>
            </w:r>
          </w:p>
        </w:tc>
        <w:tc>
          <w:tcPr>
            <w:tcW w:w="0" w:type="auto"/>
            <w:hideMark/>
          </w:tcPr>
          <w:p w14:paraId="3085B8CD"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5.0</w:t>
            </w:r>
          </w:p>
        </w:tc>
        <w:tc>
          <w:tcPr>
            <w:tcW w:w="0" w:type="auto"/>
            <w:hideMark/>
          </w:tcPr>
          <w:p w14:paraId="150F51E3"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329</w:t>
            </w:r>
          </w:p>
        </w:tc>
        <w:tc>
          <w:tcPr>
            <w:tcW w:w="0" w:type="auto"/>
            <w:hideMark/>
          </w:tcPr>
          <w:p w14:paraId="07C53AE6"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1 362</w:t>
            </w:r>
          </w:p>
        </w:tc>
        <w:tc>
          <w:tcPr>
            <w:tcW w:w="0" w:type="auto"/>
            <w:hideMark/>
          </w:tcPr>
          <w:p w14:paraId="34713D55"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19 740</w:t>
            </w:r>
          </w:p>
        </w:tc>
        <w:tc>
          <w:tcPr>
            <w:tcW w:w="0" w:type="auto"/>
            <w:hideMark/>
          </w:tcPr>
          <w:p w14:paraId="774AAD0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18 378</w:t>
            </w:r>
          </w:p>
        </w:tc>
      </w:tr>
      <w:tr w:rsidR="00E00E44" w:rsidRPr="00D3333C" w14:paraId="3F41D36F"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0EDAEDA5"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0.15</w:t>
            </w:r>
          </w:p>
        </w:tc>
        <w:tc>
          <w:tcPr>
            <w:tcW w:w="0" w:type="auto"/>
            <w:hideMark/>
          </w:tcPr>
          <w:p w14:paraId="7FDB9792"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828</w:t>
            </w:r>
          </w:p>
        </w:tc>
        <w:tc>
          <w:tcPr>
            <w:tcW w:w="0" w:type="auto"/>
            <w:hideMark/>
          </w:tcPr>
          <w:p w14:paraId="2652CAEE"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6.1</w:t>
            </w:r>
          </w:p>
        </w:tc>
        <w:tc>
          <w:tcPr>
            <w:tcW w:w="0" w:type="auto"/>
            <w:hideMark/>
          </w:tcPr>
          <w:p w14:paraId="513FCEEC"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390</w:t>
            </w:r>
          </w:p>
        </w:tc>
        <w:tc>
          <w:tcPr>
            <w:tcW w:w="0" w:type="auto"/>
            <w:hideMark/>
          </w:tcPr>
          <w:p w14:paraId="17F211F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1 656</w:t>
            </w:r>
          </w:p>
        </w:tc>
        <w:tc>
          <w:tcPr>
            <w:tcW w:w="0" w:type="auto"/>
            <w:hideMark/>
          </w:tcPr>
          <w:p w14:paraId="3CA92A72"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23 400</w:t>
            </w:r>
          </w:p>
        </w:tc>
        <w:tc>
          <w:tcPr>
            <w:tcW w:w="0" w:type="auto"/>
            <w:hideMark/>
          </w:tcPr>
          <w:p w14:paraId="40CE23D7"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21 744</w:t>
            </w:r>
          </w:p>
        </w:tc>
      </w:tr>
      <w:tr w:rsidR="00E00E44" w:rsidRPr="00D3333C" w14:paraId="34E60051" w14:textId="77777777" w:rsidTr="00D05AB5">
        <w:tc>
          <w:tcPr>
            <w:cnfStyle w:val="001000000000" w:firstRow="0" w:lastRow="0" w:firstColumn="1" w:lastColumn="0" w:oddVBand="0" w:evenVBand="0" w:oddHBand="0" w:evenHBand="0" w:firstRowFirstColumn="0" w:firstRowLastColumn="0" w:lastRowFirstColumn="0" w:lastRowLastColumn="0"/>
            <w:tcW w:w="0" w:type="auto"/>
            <w:hideMark/>
          </w:tcPr>
          <w:p w14:paraId="5B592B7B"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0.10</w:t>
            </w:r>
          </w:p>
        </w:tc>
        <w:tc>
          <w:tcPr>
            <w:tcW w:w="0" w:type="auto"/>
            <w:hideMark/>
          </w:tcPr>
          <w:p w14:paraId="06E5E594"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1 065</w:t>
            </w:r>
          </w:p>
        </w:tc>
        <w:tc>
          <w:tcPr>
            <w:tcW w:w="0" w:type="auto"/>
            <w:hideMark/>
          </w:tcPr>
          <w:p w14:paraId="3CA514B7"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7.9</w:t>
            </w:r>
          </w:p>
        </w:tc>
        <w:tc>
          <w:tcPr>
            <w:tcW w:w="0" w:type="auto"/>
            <w:hideMark/>
          </w:tcPr>
          <w:p w14:paraId="241881EE"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466</w:t>
            </w:r>
          </w:p>
        </w:tc>
        <w:tc>
          <w:tcPr>
            <w:tcW w:w="0" w:type="auto"/>
            <w:hideMark/>
          </w:tcPr>
          <w:p w14:paraId="5B3D4BF2"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2 130</w:t>
            </w:r>
          </w:p>
        </w:tc>
        <w:tc>
          <w:tcPr>
            <w:tcW w:w="0" w:type="auto"/>
            <w:hideMark/>
          </w:tcPr>
          <w:p w14:paraId="59975D80"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27 960</w:t>
            </w:r>
          </w:p>
        </w:tc>
        <w:tc>
          <w:tcPr>
            <w:tcW w:w="0" w:type="auto"/>
            <w:hideMark/>
          </w:tcPr>
          <w:p w14:paraId="1EEAE87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25 830</w:t>
            </w:r>
          </w:p>
        </w:tc>
      </w:tr>
      <w:tr w:rsidR="00E00E44" w:rsidRPr="00D3333C" w14:paraId="29641D7C" w14:textId="77777777" w:rsidTr="00D05AB5">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auto"/>
            </w:tcBorders>
            <w:hideMark/>
          </w:tcPr>
          <w:p w14:paraId="76A6F565" w14:textId="77777777" w:rsidR="00D05AB5" w:rsidRPr="00D3333C" w:rsidRDefault="00D05AB5"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0.05</w:t>
            </w:r>
          </w:p>
        </w:tc>
        <w:tc>
          <w:tcPr>
            <w:tcW w:w="0" w:type="auto"/>
            <w:tcBorders>
              <w:bottom w:val="double" w:sz="4" w:space="0" w:color="auto"/>
            </w:tcBorders>
            <w:hideMark/>
          </w:tcPr>
          <w:p w14:paraId="7E2118F3"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1 663</w:t>
            </w:r>
          </w:p>
        </w:tc>
        <w:tc>
          <w:tcPr>
            <w:tcW w:w="0" w:type="auto"/>
            <w:tcBorders>
              <w:bottom w:val="double" w:sz="4" w:space="0" w:color="auto"/>
            </w:tcBorders>
            <w:hideMark/>
          </w:tcPr>
          <w:p w14:paraId="56C72CD2"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12.3</w:t>
            </w:r>
          </w:p>
        </w:tc>
        <w:tc>
          <w:tcPr>
            <w:tcW w:w="0" w:type="auto"/>
            <w:tcBorders>
              <w:bottom w:val="double" w:sz="4" w:space="0" w:color="auto"/>
            </w:tcBorders>
            <w:hideMark/>
          </w:tcPr>
          <w:p w14:paraId="320F4896"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640</w:t>
            </w:r>
          </w:p>
        </w:tc>
        <w:tc>
          <w:tcPr>
            <w:tcW w:w="0" w:type="auto"/>
            <w:tcBorders>
              <w:bottom w:val="double" w:sz="4" w:space="0" w:color="auto"/>
            </w:tcBorders>
            <w:hideMark/>
          </w:tcPr>
          <w:p w14:paraId="0F60633C"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3 326</w:t>
            </w:r>
          </w:p>
        </w:tc>
        <w:tc>
          <w:tcPr>
            <w:tcW w:w="0" w:type="auto"/>
            <w:tcBorders>
              <w:bottom w:val="double" w:sz="4" w:space="0" w:color="auto"/>
            </w:tcBorders>
            <w:hideMark/>
          </w:tcPr>
          <w:p w14:paraId="7FCBA5DF"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38 400</w:t>
            </w:r>
          </w:p>
        </w:tc>
        <w:tc>
          <w:tcPr>
            <w:tcW w:w="0" w:type="auto"/>
            <w:tcBorders>
              <w:bottom w:val="double" w:sz="4" w:space="0" w:color="auto"/>
            </w:tcBorders>
            <w:hideMark/>
          </w:tcPr>
          <w:p w14:paraId="42A75B3D" w14:textId="77777777" w:rsidR="00D05AB5" w:rsidRPr="00D3333C" w:rsidRDefault="00D05AB5"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35 074</w:t>
            </w:r>
          </w:p>
        </w:tc>
      </w:tr>
    </w:tbl>
    <w:p w14:paraId="17FF12BB" w14:textId="0E12266E" w:rsidR="0056212A" w:rsidRPr="00D3333C" w:rsidRDefault="008D0AE9" w:rsidP="00B03E10">
      <w:pPr>
        <w:spacing w:line="360" w:lineRule="auto"/>
        <w:rPr>
          <w:rFonts w:ascii="Times New Roman" w:hAnsi="Times New Roman" w:cs="Times New Roman"/>
          <w:i/>
          <w:iCs/>
          <w:sz w:val="24"/>
          <w:szCs w:val="24"/>
        </w:rPr>
      </w:pPr>
      <w:bookmarkStart w:id="69" w:name="OLE_LINK30"/>
      <w:r w:rsidRPr="00D3333C">
        <w:rPr>
          <w:rFonts w:ascii="Times New Roman" w:hAnsi="Times New Roman" w:cs="Times New Roman"/>
          <w:i/>
          <w:iCs/>
          <w:sz w:val="24"/>
          <w:szCs w:val="24"/>
        </w:rPr>
        <w:t>Source : auteurs, à partir des données UCI</w:t>
      </w:r>
    </w:p>
    <w:bookmarkEnd w:id="69"/>
    <w:p w14:paraId="1D50FDC3" w14:textId="77777777" w:rsidR="0056212A" w:rsidRPr="00D3333C" w:rsidRDefault="0056212A" w:rsidP="00B03E10">
      <w:pPr>
        <w:spacing w:line="360" w:lineRule="auto"/>
        <w:rPr>
          <w:rFonts w:ascii="Times New Roman" w:hAnsi="Times New Roman" w:cs="Times New Roman"/>
          <w:sz w:val="24"/>
          <w:szCs w:val="24"/>
        </w:rPr>
      </w:pPr>
    </w:p>
    <w:p w14:paraId="68E99783" w14:textId="137348C2" w:rsidR="00D11BF1" w:rsidRPr="00D3333C" w:rsidRDefault="00B9324F" w:rsidP="00B03E10">
      <w:pPr>
        <w:spacing w:line="360" w:lineRule="auto"/>
        <w:rPr>
          <w:rFonts w:ascii="Times New Roman" w:hAnsi="Times New Roman" w:cs="Times New Roman"/>
          <w:b/>
          <w:bCs/>
          <w:sz w:val="24"/>
          <w:szCs w:val="24"/>
        </w:rPr>
      </w:pPr>
      <w:r w:rsidRPr="00D3333C">
        <w:rPr>
          <w:rFonts w:ascii="Times New Roman" w:hAnsi="Times New Roman" w:cs="Times New Roman"/>
          <w:b/>
          <w:bCs/>
          <w:sz w:val="24"/>
          <w:szCs w:val="24"/>
        </w:rPr>
        <w:t xml:space="preserve">Annexe </w:t>
      </w:r>
      <w:r w:rsidR="00E41CD3" w:rsidRPr="00D3333C">
        <w:rPr>
          <w:rFonts w:ascii="Times New Roman" w:hAnsi="Times New Roman" w:cs="Times New Roman"/>
          <w:b/>
          <w:bCs/>
          <w:sz w:val="24"/>
          <w:szCs w:val="24"/>
        </w:rPr>
        <w:t>1</w:t>
      </w:r>
      <w:r w:rsidR="004A2B60" w:rsidRPr="00D3333C">
        <w:rPr>
          <w:rFonts w:ascii="Times New Roman" w:hAnsi="Times New Roman" w:cs="Times New Roman"/>
          <w:b/>
          <w:bCs/>
          <w:sz w:val="24"/>
          <w:szCs w:val="24"/>
        </w:rPr>
        <w:t>2</w:t>
      </w:r>
      <w:r w:rsidR="00D11BF1" w:rsidRPr="00D3333C">
        <w:rPr>
          <w:rFonts w:ascii="Times New Roman" w:hAnsi="Times New Roman" w:cs="Times New Roman"/>
          <w:b/>
          <w:bCs/>
          <w:sz w:val="24"/>
          <w:szCs w:val="24"/>
        </w:rPr>
        <w:t xml:space="preserve"> </w:t>
      </w:r>
      <w:r w:rsidR="000A7294" w:rsidRPr="00D3333C">
        <w:rPr>
          <w:rFonts w:ascii="Times New Roman" w:hAnsi="Times New Roman" w:cs="Times New Roman"/>
          <w:b/>
          <w:bCs/>
          <w:sz w:val="24"/>
          <w:szCs w:val="24"/>
        </w:rPr>
        <w:t>-</w:t>
      </w:r>
      <w:r w:rsidR="00D11BF1" w:rsidRPr="00D3333C">
        <w:rPr>
          <w:rFonts w:ascii="Times New Roman" w:hAnsi="Times New Roman" w:cs="Times New Roman"/>
          <w:b/>
          <w:bCs/>
          <w:sz w:val="24"/>
          <w:szCs w:val="24"/>
        </w:rPr>
        <w:t xml:space="preserve"> Simulation de profitabilité selon le seuil de probabilité (Random Forest)</w:t>
      </w:r>
    </w:p>
    <w:tbl>
      <w:tblPr>
        <w:tblStyle w:val="Tableausimple2"/>
        <w:tblW w:w="0" w:type="auto"/>
        <w:tblLook w:val="06A0" w:firstRow="1" w:lastRow="0" w:firstColumn="1" w:lastColumn="0" w:noHBand="1" w:noVBand="1"/>
      </w:tblPr>
      <w:tblGrid>
        <w:gridCol w:w="1564"/>
        <w:gridCol w:w="1355"/>
        <w:gridCol w:w="1423"/>
        <w:gridCol w:w="1862"/>
        <w:gridCol w:w="937"/>
        <w:gridCol w:w="937"/>
        <w:gridCol w:w="994"/>
      </w:tblGrid>
      <w:tr w:rsidR="0056212A" w:rsidRPr="00D3333C" w14:paraId="421E57D9" w14:textId="77777777" w:rsidTr="005621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hideMark/>
          </w:tcPr>
          <w:p w14:paraId="4C0F8CD3" w14:textId="2C0C810C" w:rsidR="0056212A" w:rsidRPr="00D3333C" w:rsidRDefault="00442AF6"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Seuil de</w:t>
            </w:r>
            <w:r w:rsidR="0056212A" w:rsidRPr="00D3333C">
              <w:rPr>
                <w:rFonts w:ascii="Times New Roman" w:eastAsia="Times New Roman" w:hAnsi="Times New Roman" w:cs="Times New Roman"/>
                <w:sz w:val="24"/>
                <w:szCs w:val="24"/>
                <w:lang w:eastAsia="fr-FR"/>
              </w:rPr>
              <w:t xml:space="preserve"> probabilité</w:t>
            </w:r>
          </w:p>
        </w:tc>
        <w:tc>
          <w:tcPr>
            <w:tcW w:w="0" w:type="auto"/>
            <w:tcBorders>
              <w:top w:val="double" w:sz="4" w:space="0" w:color="auto"/>
            </w:tcBorders>
            <w:hideMark/>
          </w:tcPr>
          <w:p w14:paraId="0B9A571E" w14:textId="08A0EBF7" w:rsidR="0056212A" w:rsidRPr="00D3333C" w:rsidRDefault="0056212A"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Clients contactés</w:t>
            </w:r>
          </w:p>
        </w:tc>
        <w:tc>
          <w:tcPr>
            <w:tcW w:w="0" w:type="auto"/>
            <w:tcBorders>
              <w:top w:val="double" w:sz="4" w:space="0" w:color="auto"/>
            </w:tcBorders>
            <w:hideMark/>
          </w:tcPr>
          <w:p w14:paraId="3B0CD2EB" w14:textId="457948AF" w:rsidR="0056212A" w:rsidRPr="00D3333C" w:rsidRDefault="0056212A"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Taux contactés (%)</w:t>
            </w:r>
          </w:p>
        </w:tc>
        <w:tc>
          <w:tcPr>
            <w:tcW w:w="0" w:type="auto"/>
            <w:tcBorders>
              <w:top w:val="double" w:sz="4" w:space="0" w:color="auto"/>
            </w:tcBorders>
            <w:hideMark/>
          </w:tcPr>
          <w:p w14:paraId="760463F9" w14:textId="16004679" w:rsidR="0056212A" w:rsidRPr="00D3333C" w:rsidRDefault="0056212A"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Souscriptions attendues</w:t>
            </w:r>
          </w:p>
        </w:tc>
        <w:tc>
          <w:tcPr>
            <w:tcW w:w="0" w:type="auto"/>
            <w:tcBorders>
              <w:top w:val="double" w:sz="4" w:space="0" w:color="auto"/>
            </w:tcBorders>
            <w:hideMark/>
          </w:tcPr>
          <w:p w14:paraId="217C4929" w14:textId="3DA2C1AF" w:rsidR="0056212A" w:rsidRPr="00D3333C" w:rsidRDefault="0056212A"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Coût total (€)</w:t>
            </w:r>
          </w:p>
        </w:tc>
        <w:tc>
          <w:tcPr>
            <w:tcW w:w="0" w:type="auto"/>
            <w:tcBorders>
              <w:top w:val="double" w:sz="4" w:space="0" w:color="auto"/>
            </w:tcBorders>
            <w:hideMark/>
          </w:tcPr>
          <w:p w14:paraId="380F6D8E" w14:textId="52DCD35E" w:rsidR="0056212A" w:rsidRPr="00D3333C" w:rsidRDefault="0056212A"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Gain total (€)</w:t>
            </w:r>
          </w:p>
        </w:tc>
        <w:tc>
          <w:tcPr>
            <w:tcW w:w="0" w:type="auto"/>
            <w:tcBorders>
              <w:top w:val="double" w:sz="4" w:space="0" w:color="auto"/>
            </w:tcBorders>
            <w:hideMark/>
          </w:tcPr>
          <w:p w14:paraId="42EABB40" w14:textId="77C0B807" w:rsidR="0056212A" w:rsidRPr="00D3333C" w:rsidRDefault="0056212A" w:rsidP="00B03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Profit net (€)</w:t>
            </w:r>
          </w:p>
        </w:tc>
      </w:tr>
      <w:tr w:rsidR="0056212A" w:rsidRPr="00D3333C" w14:paraId="6A916BBC" w14:textId="77777777" w:rsidTr="0056212A">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hideMark/>
          </w:tcPr>
          <w:p w14:paraId="211CF241"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0.50</w:t>
            </w:r>
          </w:p>
        </w:tc>
        <w:tc>
          <w:tcPr>
            <w:tcW w:w="0" w:type="auto"/>
            <w:tcBorders>
              <w:top w:val="double" w:sz="4" w:space="0" w:color="auto"/>
            </w:tcBorders>
            <w:hideMark/>
          </w:tcPr>
          <w:p w14:paraId="6E8679F5"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336</w:t>
            </w:r>
          </w:p>
        </w:tc>
        <w:tc>
          <w:tcPr>
            <w:tcW w:w="0" w:type="auto"/>
            <w:tcBorders>
              <w:top w:val="double" w:sz="4" w:space="0" w:color="auto"/>
            </w:tcBorders>
            <w:hideMark/>
          </w:tcPr>
          <w:p w14:paraId="38019DBF"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2.5</w:t>
            </w:r>
          </w:p>
        </w:tc>
        <w:tc>
          <w:tcPr>
            <w:tcW w:w="0" w:type="auto"/>
            <w:tcBorders>
              <w:top w:val="double" w:sz="4" w:space="0" w:color="auto"/>
            </w:tcBorders>
            <w:hideMark/>
          </w:tcPr>
          <w:p w14:paraId="310D7809"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232</w:t>
            </w:r>
          </w:p>
        </w:tc>
        <w:tc>
          <w:tcPr>
            <w:tcW w:w="0" w:type="auto"/>
            <w:tcBorders>
              <w:top w:val="double" w:sz="4" w:space="0" w:color="auto"/>
            </w:tcBorders>
            <w:hideMark/>
          </w:tcPr>
          <w:p w14:paraId="6CC2CE54"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672</w:t>
            </w:r>
          </w:p>
        </w:tc>
        <w:tc>
          <w:tcPr>
            <w:tcW w:w="0" w:type="auto"/>
            <w:tcBorders>
              <w:top w:val="double" w:sz="4" w:space="0" w:color="auto"/>
            </w:tcBorders>
            <w:hideMark/>
          </w:tcPr>
          <w:p w14:paraId="08725D49"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13 920</w:t>
            </w:r>
          </w:p>
        </w:tc>
        <w:tc>
          <w:tcPr>
            <w:tcW w:w="0" w:type="auto"/>
            <w:tcBorders>
              <w:top w:val="double" w:sz="4" w:space="0" w:color="auto"/>
            </w:tcBorders>
            <w:hideMark/>
          </w:tcPr>
          <w:p w14:paraId="26717B3C"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13 248</w:t>
            </w:r>
          </w:p>
        </w:tc>
      </w:tr>
      <w:tr w:rsidR="0056212A" w:rsidRPr="00D3333C" w14:paraId="252F8F09"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67DEFB50"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0.45</w:t>
            </w:r>
          </w:p>
        </w:tc>
        <w:tc>
          <w:tcPr>
            <w:tcW w:w="0" w:type="auto"/>
            <w:hideMark/>
          </w:tcPr>
          <w:p w14:paraId="705C1B1B" w14:textId="4723EA4C"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394c</w:t>
            </w:r>
          </w:p>
        </w:tc>
        <w:tc>
          <w:tcPr>
            <w:tcW w:w="0" w:type="auto"/>
            <w:hideMark/>
          </w:tcPr>
          <w:p w14:paraId="1888BBFE"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2.9</w:t>
            </w:r>
          </w:p>
        </w:tc>
        <w:tc>
          <w:tcPr>
            <w:tcW w:w="0" w:type="auto"/>
            <w:hideMark/>
          </w:tcPr>
          <w:p w14:paraId="50A0C960"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269</w:t>
            </w:r>
          </w:p>
        </w:tc>
        <w:tc>
          <w:tcPr>
            <w:tcW w:w="0" w:type="auto"/>
            <w:hideMark/>
          </w:tcPr>
          <w:p w14:paraId="435A5A5E"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788</w:t>
            </w:r>
          </w:p>
        </w:tc>
        <w:tc>
          <w:tcPr>
            <w:tcW w:w="0" w:type="auto"/>
            <w:hideMark/>
          </w:tcPr>
          <w:p w14:paraId="7C49909A"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16 140</w:t>
            </w:r>
          </w:p>
        </w:tc>
        <w:tc>
          <w:tcPr>
            <w:tcW w:w="0" w:type="auto"/>
            <w:hideMark/>
          </w:tcPr>
          <w:p w14:paraId="2D3D5696"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15 352</w:t>
            </w:r>
          </w:p>
        </w:tc>
      </w:tr>
      <w:tr w:rsidR="0056212A" w:rsidRPr="00D3333C" w14:paraId="6F0304C6"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2C8F1E3E"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0.40</w:t>
            </w:r>
          </w:p>
        </w:tc>
        <w:tc>
          <w:tcPr>
            <w:tcW w:w="0" w:type="auto"/>
            <w:hideMark/>
          </w:tcPr>
          <w:p w14:paraId="0987FF6D" w14:textId="478547A9"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478cc</w:t>
            </w:r>
          </w:p>
        </w:tc>
        <w:tc>
          <w:tcPr>
            <w:tcW w:w="0" w:type="auto"/>
            <w:hideMark/>
          </w:tcPr>
          <w:p w14:paraId="415EB657"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3.5</w:t>
            </w:r>
          </w:p>
        </w:tc>
        <w:tc>
          <w:tcPr>
            <w:tcW w:w="0" w:type="auto"/>
            <w:hideMark/>
          </w:tcPr>
          <w:p w14:paraId="6985F4DB"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302</w:t>
            </w:r>
          </w:p>
        </w:tc>
        <w:tc>
          <w:tcPr>
            <w:tcW w:w="0" w:type="auto"/>
            <w:hideMark/>
          </w:tcPr>
          <w:p w14:paraId="530F59D0"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956</w:t>
            </w:r>
          </w:p>
        </w:tc>
        <w:tc>
          <w:tcPr>
            <w:tcW w:w="0" w:type="auto"/>
            <w:hideMark/>
          </w:tcPr>
          <w:p w14:paraId="0EF55BC1"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18 120</w:t>
            </w:r>
          </w:p>
        </w:tc>
        <w:tc>
          <w:tcPr>
            <w:tcW w:w="0" w:type="auto"/>
            <w:hideMark/>
          </w:tcPr>
          <w:p w14:paraId="75CDB0C2"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17 164</w:t>
            </w:r>
          </w:p>
        </w:tc>
      </w:tr>
      <w:tr w:rsidR="0056212A" w:rsidRPr="00D3333C" w14:paraId="39FDD345"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61DB1B56"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0.35</w:t>
            </w:r>
          </w:p>
        </w:tc>
        <w:tc>
          <w:tcPr>
            <w:tcW w:w="0" w:type="auto"/>
            <w:hideMark/>
          </w:tcPr>
          <w:p w14:paraId="2DB49260"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685</w:t>
            </w:r>
          </w:p>
        </w:tc>
        <w:tc>
          <w:tcPr>
            <w:tcW w:w="0" w:type="auto"/>
            <w:hideMark/>
          </w:tcPr>
          <w:p w14:paraId="03604871"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5.1</w:t>
            </w:r>
          </w:p>
        </w:tc>
        <w:tc>
          <w:tcPr>
            <w:tcW w:w="0" w:type="auto"/>
            <w:hideMark/>
          </w:tcPr>
          <w:p w14:paraId="1FC7C92E"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379</w:t>
            </w:r>
          </w:p>
        </w:tc>
        <w:tc>
          <w:tcPr>
            <w:tcW w:w="0" w:type="auto"/>
            <w:hideMark/>
          </w:tcPr>
          <w:p w14:paraId="4E7DB10B"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1 370</w:t>
            </w:r>
          </w:p>
        </w:tc>
        <w:tc>
          <w:tcPr>
            <w:tcW w:w="0" w:type="auto"/>
            <w:hideMark/>
          </w:tcPr>
          <w:p w14:paraId="46FDC9D6"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22 740</w:t>
            </w:r>
          </w:p>
        </w:tc>
        <w:tc>
          <w:tcPr>
            <w:tcW w:w="0" w:type="auto"/>
            <w:hideMark/>
          </w:tcPr>
          <w:p w14:paraId="11350497"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21 370</w:t>
            </w:r>
          </w:p>
        </w:tc>
      </w:tr>
      <w:tr w:rsidR="0056212A" w:rsidRPr="00D3333C" w14:paraId="5D38683C"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599EE3AB"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0.30</w:t>
            </w:r>
          </w:p>
        </w:tc>
        <w:tc>
          <w:tcPr>
            <w:tcW w:w="0" w:type="auto"/>
            <w:hideMark/>
          </w:tcPr>
          <w:p w14:paraId="3F90FCA6"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1 003</w:t>
            </w:r>
          </w:p>
        </w:tc>
        <w:tc>
          <w:tcPr>
            <w:tcW w:w="0" w:type="auto"/>
            <w:hideMark/>
          </w:tcPr>
          <w:p w14:paraId="38394ADD"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7.4</w:t>
            </w:r>
          </w:p>
        </w:tc>
        <w:tc>
          <w:tcPr>
            <w:tcW w:w="0" w:type="auto"/>
            <w:hideMark/>
          </w:tcPr>
          <w:p w14:paraId="08F9E2F8"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494</w:t>
            </w:r>
          </w:p>
        </w:tc>
        <w:tc>
          <w:tcPr>
            <w:tcW w:w="0" w:type="auto"/>
            <w:hideMark/>
          </w:tcPr>
          <w:p w14:paraId="75850009"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2 006</w:t>
            </w:r>
          </w:p>
        </w:tc>
        <w:tc>
          <w:tcPr>
            <w:tcW w:w="0" w:type="auto"/>
            <w:hideMark/>
          </w:tcPr>
          <w:p w14:paraId="0A5F3F1A"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29 640</w:t>
            </w:r>
          </w:p>
        </w:tc>
        <w:tc>
          <w:tcPr>
            <w:tcW w:w="0" w:type="auto"/>
            <w:hideMark/>
          </w:tcPr>
          <w:p w14:paraId="0304763B"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27 634</w:t>
            </w:r>
          </w:p>
        </w:tc>
      </w:tr>
      <w:tr w:rsidR="0056212A" w:rsidRPr="00D3333C" w14:paraId="15AB9212"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5803A57B"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0.25</w:t>
            </w:r>
          </w:p>
        </w:tc>
        <w:tc>
          <w:tcPr>
            <w:tcW w:w="0" w:type="auto"/>
            <w:hideMark/>
          </w:tcPr>
          <w:p w14:paraId="1EF04ECE"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1 334</w:t>
            </w:r>
          </w:p>
        </w:tc>
        <w:tc>
          <w:tcPr>
            <w:tcW w:w="0" w:type="auto"/>
            <w:hideMark/>
          </w:tcPr>
          <w:p w14:paraId="040BF6A1"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9.8</w:t>
            </w:r>
          </w:p>
        </w:tc>
        <w:tc>
          <w:tcPr>
            <w:tcW w:w="0" w:type="auto"/>
            <w:hideMark/>
          </w:tcPr>
          <w:p w14:paraId="5A011E08"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604</w:t>
            </w:r>
          </w:p>
        </w:tc>
        <w:tc>
          <w:tcPr>
            <w:tcW w:w="0" w:type="auto"/>
            <w:hideMark/>
          </w:tcPr>
          <w:p w14:paraId="77EA04CD"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2 668</w:t>
            </w:r>
          </w:p>
        </w:tc>
        <w:tc>
          <w:tcPr>
            <w:tcW w:w="0" w:type="auto"/>
            <w:hideMark/>
          </w:tcPr>
          <w:p w14:paraId="67C71BE4"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36 240</w:t>
            </w:r>
          </w:p>
        </w:tc>
        <w:tc>
          <w:tcPr>
            <w:tcW w:w="0" w:type="auto"/>
            <w:hideMark/>
          </w:tcPr>
          <w:p w14:paraId="5C85D790"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33 572</w:t>
            </w:r>
          </w:p>
        </w:tc>
      </w:tr>
      <w:tr w:rsidR="0056212A" w:rsidRPr="00D3333C" w14:paraId="0562BFE6"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720F7F73"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0.20</w:t>
            </w:r>
          </w:p>
        </w:tc>
        <w:tc>
          <w:tcPr>
            <w:tcW w:w="0" w:type="auto"/>
            <w:hideMark/>
          </w:tcPr>
          <w:p w14:paraId="5799407C"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1 764</w:t>
            </w:r>
          </w:p>
        </w:tc>
        <w:tc>
          <w:tcPr>
            <w:tcW w:w="0" w:type="auto"/>
            <w:hideMark/>
          </w:tcPr>
          <w:p w14:paraId="2D4BA97E"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13.0</w:t>
            </w:r>
          </w:p>
        </w:tc>
        <w:tc>
          <w:tcPr>
            <w:tcW w:w="0" w:type="auto"/>
            <w:hideMark/>
          </w:tcPr>
          <w:p w14:paraId="4AB21573"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707</w:t>
            </w:r>
          </w:p>
        </w:tc>
        <w:tc>
          <w:tcPr>
            <w:tcW w:w="0" w:type="auto"/>
            <w:hideMark/>
          </w:tcPr>
          <w:p w14:paraId="2CEDABFA"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3 528</w:t>
            </w:r>
          </w:p>
        </w:tc>
        <w:tc>
          <w:tcPr>
            <w:tcW w:w="0" w:type="auto"/>
            <w:hideMark/>
          </w:tcPr>
          <w:p w14:paraId="34EB6F70"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42 420</w:t>
            </w:r>
          </w:p>
        </w:tc>
        <w:tc>
          <w:tcPr>
            <w:tcW w:w="0" w:type="auto"/>
            <w:hideMark/>
          </w:tcPr>
          <w:p w14:paraId="471ED874"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38 892</w:t>
            </w:r>
          </w:p>
        </w:tc>
      </w:tr>
      <w:tr w:rsidR="0056212A" w:rsidRPr="00D3333C" w14:paraId="31EF7723"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3868814B"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0.15</w:t>
            </w:r>
          </w:p>
        </w:tc>
        <w:tc>
          <w:tcPr>
            <w:tcW w:w="0" w:type="auto"/>
            <w:hideMark/>
          </w:tcPr>
          <w:p w14:paraId="1C34F091"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2 616</w:t>
            </w:r>
          </w:p>
        </w:tc>
        <w:tc>
          <w:tcPr>
            <w:tcW w:w="0" w:type="auto"/>
            <w:hideMark/>
          </w:tcPr>
          <w:p w14:paraId="35FDA7BE"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19.3</w:t>
            </w:r>
          </w:p>
        </w:tc>
        <w:tc>
          <w:tcPr>
            <w:tcW w:w="0" w:type="auto"/>
            <w:hideMark/>
          </w:tcPr>
          <w:p w14:paraId="5F18FF49"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875</w:t>
            </w:r>
          </w:p>
        </w:tc>
        <w:tc>
          <w:tcPr>
            <w:tcW w:w="0" w:type="auto"/>
            <w:hideMark/>
          </w:tcPr>
          <w:p w14:paraId="5D067680"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5 232</w:t>
            </w:r>
          </w:p>
        </w:tc>
        <w:tc>
          <w:tcPr>
            <w:tcW w:w="0" w:type="auto"/>
            <w:hideMark/>
          </w:tcPr>
          <w:p w14:paraId="5BFCE451"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52 500</w:t>
            </w:r>
          </w:p>
        </w:tc>
        <w:tc>
          <w:tcPr>
            <w:tcW w:w="0" w:type="auto"/>
            <w:hideMark/>
          </w:tcPr>
          <w:p w14:paraId="0FCFCCC6"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47 268</w:t>
            </w:r>
          </w:p>
        </w:tc>
      </w:tr>
      <w:tr w:rsidR="0056212A" w:rsidRPr="00D3333C" w14:paraId="783FF65A" w14:textId="77777777" w:rsidTr="0056212A">
        <w:tc>
          <w:tcPr>
            <w:cnfStyle w:val="001000000000" w:firstRow="0" w:lastRow="0" w:firstColumn="1" w:lastColumn="0" w:oddVBand="0" w:evenVBand="0" w:oddHBand="0" w:evenHBand="0" w:firstRowFirstColumn="0" w:firstRowLastColumn="0" w:lastRowFirstColumn="0" w:lastRowLastColumn="0"/>
            <w:tcW w:w="0" w:type="auto"/>
            <w:hideMark/>
          </w:tcPr>
          <w:p w14:paraId="4ABA3DD3"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0.10</w:t>
            </w:r>
          </w:p>
        </w:tc>
        <w:tc>
          <w:tcPr>
            <w:tcW w:w="0" w:type="auto"/>
            <w:hideMark/>
          </w:tcPr>
          <w:p w14:paraId="65E2A5C3"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4 920</w:t>
            </w:r>
          </w:p>
        </w:tc>
        <w:tc>
          <w:tcPr>
            <w:tcW w:w="0" w:type="auto"/>
            <w:hideMark/>
          </w:tcPr>
          <w:p w14:paraId="42FE0913"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36.3</w:t>
            </w:r>
          </w:p>
        </w:tc>
        <w:tc>
          <w:tcPr>
            <w:tcW w:w="0" w:type="auto"/>
            <w:hideMark/>
          </w:tcPr>
          <w:p w14:paraId="26AEF293"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1 140</w:t>
            </w:r>
          </w:p>
        </w:tc>
        <w:tc>
          <w:tcPr>
            <w:tcW w:w="0" w:type="auto"/>
            <w:hideMark/>
          </w:tcPr>
          <w:p w14:paraId="209CAE9F"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9 840</w:t>
            </w:r>
          </w:p>
        </w:tc>
        <w:tc>
          <w:tcPr>
            <w:tcW w:w="0" w:type="auto"/>
            <w:hideMark/>
          </w:tcPr>
          <w:p w14:paraId="35E3CC99"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68 400</w:t>
            </w:r>
          </w:p>
        </w:tc>
        <w:tc>
          <w:tcPr>
            <w:tcW w:w="0" w:type="auto"/>
            <w:hideMark/>
          </w:tcPr>
          <w:p w14:paraId="7F2CE451"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58 560</w:t>
            </w:r>
          </w:p>
        </w:tc>
      </w:tr>
      <w:tr w:rsidR="0056212A" w:rsidRPr="00D3333C" w14:paraId="13838052" w14:textId="77777777" w:rsidTr="0056212A">
        <w:tc>
          <w:tcPr>
            <w:cnfStyle w:val="001000000000" w:firstRow="0" w:lastRow="0" w:firstColumn="1" w:lastColumn="0" w:oddVBand="0" w:evenVBand="0" w:oddHBand="0" w:evenHBand="0" w:firstRowFirstColumn="0" w:firstRowLastColumn="0" w:lastRowFirstColumn="0" w:lastRowLastColumn="0"/>
            <w:tcW w:w="0" w:type="auto"/>
            <w:tcBorders>
              <w:bottom w:val="double" w:sz="4" w:space="0" w:color="auto"/>
            </w:tcBorders>
            <w:hideMark/>
          </w:tcPr>
          <w:p w14:paraId="48DACF82" w14:textId="77777777" w:rsidR="0056212A" w:rsidRPr="00D3333C" w:rsidRDefault="0056212A" w:rsidP="00B03E10">
            <w:pPr>
              <w:spacing w:line="360" w:lineRule="auto"/>
              <w:jc w:val="center"/>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0.05</w:t>
            </w:r>
          </w:p>
        </w:tc>
        <w:tc>
          <w:tcPr>
            <w:tcW w:w="0" w:type="auto"/>
            <w:tcBorders>
              <w:bottom w:val="double" w:sz="4" w:space="0" w:color="auto"/>
            </w:tcBorders>
            <w:hideMark/>
          </w:tcPr>
          <w:p w14:paraId="0D578EF6"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11 404</w:t>
            </w:r>
          </w:p>
        </w:tc>
        <w:tc>
          <w:tcPr>
            <w:tcW w:w="0" w:type="auto"/>
            <w:tcBorders>
              <w:bottom w:val="double" w:sz="4" w:space="0" w:color="auto"/>
            </w:tcBorders>
            <w:hideMark/>
          </w:tcPr>
          <w:p w14:paraId="731439F2"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84.1</w:t>
            </w:r>
          </w:p>
        </w:tc>
        <w:tc>
          <w:tcPr>
            <w:tcW w:w="0" w:type="auto"/>
            <w:tcBorders>
              <w:bottom w:val="double" w:sz="4" w:space="0" w:color="auto"/>
            </w:tcBorders>
            <w:hideMark/>
          </w:tcPr>
          <w:p w14:paraId="69FFFD29"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1 519</w:t>
            </w:r>
          </w:p>
        </w:tc>
        <w:tc>
          <w:tcPr>
            <w:tcW w:w="0" w:type="auto"/>
            <w:tcBorders>
              <w:bottom w:val="double" w:sz="4" w:space="0" w:color="auto"/>
            </w:tcBorders>
            <w:hideMark/>
          </w:tcPr>
          <w:p w14:paraId="1C9FFEAA"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22 808</w:t>
            </w:r>
          </w:p>
        </w:tc>
        <w:tc>
          <w:tcPr>
            <w:tcW w:w="0" w:type="auto"/>
            <w:tcBorders>
              <w:bottom w:val="double" w:sz="4" w:space="0" w:color="auto"/>
            </w:tcBorders>
            <w:hideMark/>
          </w:tcPr>
          <w:p w14:paraId="40F98165"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91 140</w:t>
            </w:r>
          </w:p>
        </w:tc>
        <w:tc>
          <w:tcPr>
            <w:tcW w:w="0" w:type="auto"/>
            <w:tcBorders>
              <w:bottom w:val="double" w:sz="4" w:space="0" w:color="auto"/>
            </w:tcBorders>
            <w:hideMark/>
          </w:tcPr>
          <w:p w14:paraId="3EE5DE07" w14:textId="77777777" w:rsidR="0056212A" w:rsidRPr="00D3333C" w:rsidRDefault="0056212A" w:rsidP="00B03E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D3333C">
              <w:rPr>
                <w:rFonts w:ascii="Times New Roman" w:eastAsia="Times New Roman" w:hAnsi="Times New Roman" w:cs="Times New Roman"/>
                <w:sz w:val="24"/>
                <w:szCs w:val="24"/>
                <w:lang w:eastAsia="fr-FR"/>
              </w:rPr>
              <w:t>68 332</w:t>
            </w:r>
          </w:p>
        </w:tc>
      </w:tr>
    </w:tbl>
    <w:p w14:paraId="7E62FE5B" w14:textId="5093CCEA" w:rsidR="0056212A" w:rsidRPr="00D3333C" w:rsidRDefault="008D0AE9" w:rsidP="00B03E10">
      <w:pPr>
        <w:spacing w:line="360" w:lineRule="auto"/>
        <w:rPr>
          <w:rFonts w:ascii="Times New Roman" w:hAnsi="Times New Roman" w:cs="Times New Roman"/>
          <w:i/>
          <w:iCs/>
          <w:sz w:val="24"/>
          <w:szCs w:val="24"/>
        </w:rPr>
      </w:pPr>
      <w:r w:rsidRPr="00D3333C">
        <w:rPr>
          <w:rFonts w:ascii="Times New Roman" w:hAnsi="Times New Roman" w:cs="Times New Roman"/>
          <w:i/>
          <w:iCs/>
          <w:sz w:val="24"/>
          <w:szCs w:val="24"/>
        </w:rPr>
        <w:t>Source : auteurs, à partir des données UCI</w:t>
      </w:r>
    </w:p>
    <w:sectPr w:rsidR="0056212A" w:rsidRPr="00D3333C" w:rsidSect="0055335B">
      <w:footerReference w:type="default" r:id="rId26"/>
      <w:pgSz w:w="11906" w:h="16838"/>
      <w:pgMar w:top="1417" w:right="1417" w:bottom="1417" w:left="1417"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B25F5" w14:textId="77777777" w:rsidR="0041611F" w:rsidRDefault="0041611F" w:rsidP="00B374A7">
      <w:pPr>
        <w:spacing w:after="0" w:line="240" w:lineRule="auto"/>
      </w:pPr>
      <w:r>
        <w:separator/>
      </w:r>
    </w:p>
  </w:endnote>
  <w:endnote w:type="continuationSeparator" w:id="0">
    <w:p w14:paraId="07FB10F4" w14:textId="77777777" w:rsidR="0041611F" w:rsidRDefault="0041611F" w:rsidP="00B37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8585" w14:textId="77777777" w:rsidR="00291F07" w:rsidRDefault="00291F07">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F813B19" w14:textId="77777777" w:rsidR="00291F07" w:rsidRDefault="00291F0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D757" w14:textId="77777777" w:rsidR="0055335B" w:rsidRDefault="0055335B">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A732316" w14:textId="77777777" w:rsidR="0055335B" w:rsidRDefault="005533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CD5E" w14:textId="77777777" w:rsidR="0041611F" w:rsidRDefault="0041611F" w:rsidP="00B374A7">
      <w:pPr>
        <w:spacing w:after="0" w:line="240" w:lineRule="auto"/>
      </w:pPr>
      <w:r>
        <w:separator/>
      </w:r>
    </w:p>
  </w:footnote>
  <w:footnote w:type="continuationSeparator" w:id="0">
    <w:p w14:paraId="34ADDEBE" w14:textId="77777777" w:rsidR="0041611F" w:rsidRDefault="0041611F" w:rsidP="00B374A7">
      <w:pPr>
        <w:spacing w:after="0" w:line="240" w:lineRule="auto"/>
      </w:pPr>
      <w:r>
        <w:continuationSeparator/>
      </w:r>
    </w:p>
  </w:footnote>
  <w:footnote w:id="1">
    <w:p w14:paraId="30BAE6F9" w14:textId="536BF903" w:rsidR="00B374A7" w:rsidRPr="00B374A7" w:rsidRDefault="00B374A7">
      <w:pPr>
        <w:pStyle w:val="Notedebasdepage"/>
        <w:rPr>
          <w:rFonts w:ascii="Times New Roman" w:hAnsi="Times New Roman" w:cs="Times New Roman"/>
        </w:rPr>
      </w:pPr>
      <w:r>
        <w:rPr>
          <w:rStyle w:val="Appelnotedebasdep"/>
        </w:rPr>
        <w:footnoteRef/>
      </w:r>
      <w:r>
        <w:t xml:space="preserve"> </w:t>
      </w:r>
      <w:r w:rsidRPr="00B374A7">
        <w:rPr>
          <w:rFonts w:ascii="Times New Roman" w:hAnsi="Times New Roman" w:cs="Times New Roman"/>
        </w:rPr>
        <w:t>Objectif : comparer la capacité des modèles à détecter les souscripteurs lorsque l’on adopte une stratégie commerciale plus offensive (seuil = 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242"/>
    <w:multiLevelType w:val="multilevel"/>
    <w:tmpl w:val="F1AC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6DB"/>
    <w:multiLevelType w:val="multilevel"/>
    <w:tmpl w:val="1F6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629F"/>
    <w:multiLevelType w:val="multilevel"/>
    <w:tmpl w:val="57AA6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A0749"/>
    <w:multiLevelType w:val="hybridMultilevel"/>
    <w:tmpl w:val="578ACCB6"/>
    <w:lvl w:ilvl="0" w:tplc="80607CE2">
      <w:start w:val="3"/>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DD17B1"/>
    <w:multiLevelType w:val="multilevel"/>
    <w:tmpl w:val="2EDA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00C72"/>
    <w:multiLevelType w:val="multilevel"/>
    <w:tmpl w:val="602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74F0D"/>
    <w:multiLevelType w:val="multilevel"/>
    <w:tmpl w:val="D6D8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D0F71"/>
    <w:multiLevelType w:val="hybridMultilevel"/>
    <w:tmpl w:val="41769B96"/>
    <w:lvl w:ilvl="0" w:tplc="34028522">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75F15D6"/>
    <w:multiLevelType w:val="multilevel"/>
    <w:tmpl w:val="F062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82863"/>
    <w:multiLevelType w:val="multilevel"/>
    <w:tmpl w:val="4EE0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D6804"/>
    <w:multiLevelType w:val="multilevel"/>
    <w:tmpl w:val="41EE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14251"/>
    <w:multiLevelType w:val="multilevel"/>
    <w:tmpl w:val="B8F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811BE"/>
    <w:multiLevelType w:val="multilevel"/>
    <w:tmpl w:val="BFE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836DF"/>
    <w:multiLevelType w:val="multilevel"/>
    <w:tmpl w:val="6B4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4485"/>
    <w:multiLevelType w:val="multilevel"/>
    <w:tmpl w:val="E7D8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E5FE2"/>
    <w:multiLevelType w:val="multilevel"/>
    <w:tmpl w:val="3860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A333F"/>
    <w:multiLevelType w:val="hybridMultilevel"/>
    <w:tmpl w:val="79FE94C2"/>
    <w:lvl w:ilvl="0" w:tplc="4D567596">
      <w:start w:val="1"/>
      <w:numFmt w:val="decimal"/>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1222489"/>
    <w:multiLevelType w:val="multilevel"/>
    <w:tmpl w:val="9A2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F1B85"/>
    <w:multiLevelType w:val="hybridMultilevel"/>
    <w:tmpl w:val="8CAE863E"/>
    <w:lvl w:ilvl="0" w:tplc="9EA24FD4">
      <w:start w:val="1"/>
      <w:numFmt w:val="lowerLetter"/>
      <w:pStyle w:val="Titr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F2F2875"/>
    <w:multiLevelType w:val="multilevel"/>
    <w:tmpl w:val="7448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27572"/>
    <w:multiLevelType w:val="multilevel"/>
    <w:tmpl w:val="B2B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196763">
    <w:abstractNumId w:val="13"/>
  </w:num>
  <w:num w:numId="2" w16cid:durableId="510990758">
    <w:abstractNumId w:val="20"/>
  </w:num>
  <w:num w:numId="3" w16cid:durableId="336923823">
    <w:abstractNumId w:val="6"/>
  </w:num>
  <w:num w:numId="4" w16cid:durableId="1266185147">
    <w:abstractNumId w:val="12"/>
  </w:num>
  <w:num w:numId="5" w16cid:durableId="2076708332">
    <w:abstractNumId w:val="4"/>
  </w:num>
  <w:num w:numId="6" w16cid:durableId="922837218">
    <w:abstractNumId w:val="19"/>
  </w:num>
  <w:num w:numId="7" w16cid:durableId="1923710450">
    <w:abstractNumId w:val="0"/>
  </w:num>
  <w:num w:numId="8" w16cid:durableId="1094478952">
    <w:abstractNumId w:val="2"/>
  </w:num>
  <w:num w:numId="9" w16cid:durableId="894048052">
    <w:abstractNumId w:val="8"/>
  </w:num>
  <w:num w:numId="10" w16cid:durableId="821702321">
    <w:abstractNumId w:val="15"/>
  </w:num>
  <w:num w:numId="11" w16cid:durableId="1779904340">
    <w:abstractNumId w:val="1"/>
  </w:num>
  <w:num w:numId="12" w16cid:durableId="1892883334">
    <w:abstractNumId w:val="3"/>
  </w:num>
  <w:num w:numId="13" w16cid:durableId="658507539">
    <w:abstractNumId w:val="9"/>
  </w:num>
  <w:num w:numId="14" w16cid:durableId="299727502">
    <w:abstractNumId w:val="14"/>
  </w:num>
  <w:num w:numId="15" w16cid:durableId="115635885">
    <w:abstractNumId w:val="17"/>
  </w:num>
  <w:num w:numId="16" w16cid:durableId="129060686">
    <w:abstractNumId w:val="5"/>
  </w:num>
  <w:num w:numId="17" w16cid:durableId="1316570483">
    <w:abstractNumId w:val="10"/>
  </w:num>
  <w:num w:numId="18" w16cid:durableId="582759317">
    <w:abstractNumId w:val="11"/>
  </w:num>
  <w:num w:numId="19" w16cid:durableId="814105027">
    <w:abstractNumId w:val="7"/>
  </w:num>
  <w:num w:numId="20" w16cid:durableId="538319979">
    <w:abstractNumId w:val="16"/>
  </w:num>
  <w:num w:numId="21" w16cid:durableId="403645071">
    <w:abstractNumId w:val="16"/>
    <w:lvlOverride w:ilvl="0">
      <w:startOverride w:val="1"/>
    </w:lvlOverride>
  </w:num>
  <w:num w:numId="22" w16cid:durableId="516306950">
    <w:abstractNumId w:val="18"/>
  </w:num>
  <w:num w:numId="23" w16cid:durableId="740517702">
    <w:abstractNumId w:val="18"/>
    <w:lvlOverride w:ilvl="0">
      <w:startOverride w:val="1"/>
    </w:lvlOverride>
  </w:num>
  <w:num w:numId="24" w16cid:durableId="1912890106">
    <w:abstractNumId w:val="16"/>
    <w:lvlOverride w:ilvl="0">
      <w:startOverride w:val="1"/>
    </w:lvlOverride>
  </w:num>
  <w:num w:numId="25" w16cid:durableId="233660278">
    <w:abstractNumId w:val="16"/>
    <w:lvlOverride w:ilvl="0">
      <w:startOverride w:val="1"/>
    </w:lvlOverride>
  </w:num>
  <w:num w:numId="26" w16cid:durableId="223641419">
    <w:abstractNumId w:val="18"/>
    <w:lvlOverride w:ilvl="0">
      <w:startOverride w:val="1"/>
    </w:lvlOverride>
  </w:num>
  <w:num w:numId="27" w16cid:durableId="708378887">
    <w:abstractNumId w:val="7"/>
    <w:lvlOverride w:ilvl="0">
      <w:startOverride w:val="1"/>
    </w:lvlOverride>
  </w:num>
  <w:num w:numId="28" w16cid:durableId="1655256202">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D8"/>
    <w:rsid w:val="0000346F"/>
    <w:rsid w:val="00014193"/>
    <w:rsid w:val="00026B42"/>
    <w:rsid w:val="00027A8B"/>
    <w:rsid w:val="00036963"/>
    <w:rsid w:val="0004041E"/>
    <w:rsid w:val="00054ABE"/>
    <w:rsid w:val="0006120A"/>
    <w:rsid w:val="00076FA3"/>
    <w:rsid w:val="0007766F"/>
    <w:rsid w:val="00083AEB"/>
    <w:rsid w:val="00083E36"/>
    <w:rsid w:val="00085435"/>
    <w:rsid w:val="00086D1D"/>
    <w:rsid w:val="00086F91"/>
    <w:rsid w:val="00087022"/>
    <w:rsid w:val="00087EB5"/>
    <w:rsid w:val="00090271"/>
    <w:rsid w:val="000A31CF"/>
    <w:rsid w:val="000A5041"/>
    <w:rsid w:val="000A5FA4"/>
    <w:rsid w:val="000A7294"/>
    <w:rsid w:val="000B130F"/>
    <w:rsid w:val="000B7ADB"/>
    <w:rsid w:val="000C2BC6"/>
    <w:rsid w:val="000C66B2"/>
    <w:rsid w:val="000D0CA4"/>
    <w:rsid w:val="000D2C9D"/>
    <w:rsid w:val="000D34E9"/>
    <w:rsid w:val="000D5A97"/>
    <w:rsid w:val="000E07E6"/>
    <w:rsid w:val="000E6ECB"/>
    <w:rsid w:val="000F763A"/>
    <w:rsid w:val="00101017"/>
    <w:rsid w:val="00105621"/>
    <w:rsid w:val="00126944"/>
    <w:rsid w:val="00127A23"/>
    <w:rsid w:val="00131ED8"/>
    <w:rsid w:val="001351EA"/>
    <w:rsid w:val="00137D7D"/>
    <w:rsid w:val="0014068F"/>
    <w:rsid w:val="00143B86"/>
    <w:rsid w:val="00146C07"/>
    <w:rsid w:val="00152AAF"/>
    <w:rsid w:val="001542B3"/>
    <w:rsid w:val="00157472"/>
    <w:rsid w:val="00191499"/>
    <w:rsid w:val="00191610"/>
    <w:rsid w:val="001A5DFE"/>
    <w:rsid w:val="001B0118"/>
    <w:rsid w:val="001C375E"/>
    <w:rsid w:val="001D0337"/>
    <w:rsid w:val="001E79E3"/>
    <w:rsid w:val="001E7C9D"/>
    <w:rsid w:val="00200D15"/>
    <w:rsid w:val="0021093C"/>
    <w:rsid w:val="0023383A"/>
    <w:rsid w:val="002469F2"/>
    <w:rsid w:val="00253EC3"/>
    <w:rsid w:val="00256D15"/>
    <w:rsid w:val="00265580"/>
    <w:rsid w:val="0026565C"/>
    <w:rsid w:val="00272B66"/>
    <w:rsid w:val="002738D0"/>
    <w:rsid w:val="002758DA"/>
    <w:rsid w:val="002809E4"/>
    <w:rsid w:val="00285C8D"/>
    <w:rsid w:val="00286B3B"/>
    <w:rsid w:val="002907D2"/>
    <w:rsid w:val="00291F07"/>
    <w:rsid w:val="00292D0C"/>
    <w:rsid w:val="002A4EC5"/>
    <w:rsid w:val="002B29EF"/>
    <w:rsid w:val="002B5190"/>
    <w:rsid w:val="002D05DD"/>
    <w:rsid w:val="002D43F3"/>
    <w:rsid w:val="002E1310"/>
    <w:rsid w:val="002E36F1"/>
    <w:rsid w:val="002E555A"/>
    <w:rsid w:val="002F0D0B"/>
    <w:rsid w:val="00304C35"/>
    <w:rsid w:val="00304D98"/>
    <w:rsid w:val="00304E86"/>
    <w:rsid w:val="003111E8"/>
    <w:rsid w:val="00315257"/>
    <w:rsid w:val="003153DD"/>
    <w:rsid w:val="00316246"/>
    <w:rsid w:val="00323F01"/>
    <w:rsid w:val="0032461B"/>
    <w:rsid w:val="00327589"/>
    <w:rsid w:val="0034411B"/>
    <w:rsid w:val="00352CD7"/>
    <w:rsid w:val="00355A78"/>
    <w:rsid w:val="00356A48"/>
    <w:rsid w:val="003612A8"/>
    <w:rsid w:val="0036145B"/>
    <w:rsid w:val="00380057"/>
    <w:rsid w:val="00384BCF"/>
    <w:rsid w:val="003854CC"/>
    <w:rsid w:val="00390A54"/>
    <w:rsid w:val="0039553D"/>
    <w:rsid w:val="003A28EA"/>
    <w:rsid w:val="003B2131"/>
    <w:rsid w:val="003E0DAB"/>
    <w:rsid w:val="003E206A"/>
    <w:rsid w:val="003E50A3"/>
    <w:rsid w:val="003E5AA6"/>
    <w:rsid w:val="003F182D"/>
    <w:rsid w:val="00404DE9"/>
    <w:rsid w:val="00415949"/>
    <w:rsid w:val="0041611F"/>
    <w:rsid w:val="00425198"/>
    <w:rsid w:val="004273F3"/>
    <w:rsid w:val="00434C73"/>
    <w:rsid w:val="00436FC5"/>
    <w:rsid w:val="00440933"/>
    <w:rsid w:val="00442AF6"/>
    <w:rsid w:val="0045313D"/>
    <w:rsid w:val="00454E81"/>
    <w:rsid w:val="00456695"/>
    <w:rsid w:val="00456C48"/>
    <w:rsid w:val="004731CA"/>
    <w:rsid w:val="00484B5D"/>
    <w:rsid w:val="00493A67"/>
    <w:rsid w:val="004A2B60"/>
    <w:rsid w:val="004A6C64"/>
    <w:rsid w:val="004B4774"/>
    <w:rsid w:val="004B7E31"/>
    <w:rsid w:val="004C15D2"/>
    <w:rsid w:val="004C4D00"/>
    <w:rsid w:val="004C5964"/>
    <w:rsid w:val="004D255B"/>
    <w:rsid w:val="004D50DC"/>
    <w:rsid w:val="004D5B7A"/>
    <w:rsid w:val="004E2855"/>
    <w:rsid w:val="004E4658"/>
    <w:rsid w:val="004F218A"/>
    <w:rsid w:val="004F79CD"/>
    <w:rsid w:val="00505EA7"/>
    <w:rsid w:val="00506EB1"/>
    <w:rsid w:val="00507C55"/>
    <w:rsid w:val="00516126"/>
    <w:rsid w:val="00516BD4"/>
    <w:rsid w:val="00517959"/>
    <w:rsid w:val="00522A3A"/>
    <w:rsid w:val="00524198"/>
    <w:rsid w:val="00536684"/>
    <w:rsid w:val="0053689A"/>
    <w:rsid w:val="005407CF"/>
    <w:rsid w:val="005479B8"/>
    <w:rsid w:val="00552259"/>
    <w:rsid w:val="0055335B"/>
    <w:rsid w:val="005533D1"/>
    <w:rsid w:val="00555D8C"/>
    <w:rsid w:val="0056212A"/>
    <w:rsid w:val="00565597"/>
    <w:rsid w:val="00566481"/>
    <w:rsid w:val="005927C3"/>
    <w:rsid w:val="005B59BC"/>
    <w:rsid w:val="005B62B6"/>
    <w:rsid w:val="005C68FE"/>
    <w:rsid w:val="005C739F"/>
    <w:rsid w:val="005D08BC"/>
    <w:rsid w:val="005D1158"/>
    <w:rsid w:val="005D3672"/>
    <w:rsid w:val="005D5827"/>
    <w:rsid w:val="005E29ED"/>
    <w:rsid w:val="005F09DE"/>
    <w:rsid w:val="005F765E"/>
    <w:rsid w:val="00600478"/>
    <w:rsid w:val="00627CE4"/>
    <w:rsid w:val="0063313D"/>
    <w:rsid w:val="00634734"/>
    <w:rsid w:val="00636867"/>
    <w:rsid w:val="006413BE"/>
    <w:rsid w:val="006419C8"/>
    <w:rsid w:val="006436F4"/>
    <w:rsid w:val="00644BFA"/>
    <w:rsid w:val="00646595"/>
    <w:rsid w:val="006515E8"/>
    <w:rsid w:val="00651899"/>
    <w:rsid w:val="006518DB"/>
    <w:rsid w:val="00656794"/>
    <w:rsid w:val="006571DE"/>
    <w:rsid w:val="0066389F"/>
    <w:rsid w:val="006643D6"/>
    <w:rsid w:val="00664D9F"/>
    <w:rsid w:val="0067115A"/>
    <w:rsid w:val="00673837"/>
    <w:rsid w:val="00674227"/>
    <w:rsid w:val="006900AD"/>
    <w:rsid w:val="006A324E"/>
    <w:rsid w:val="006A3B63"/>
    <w:rsid w:val="006A53B9"/>
    <w:rsid w:val="006B2962"/>
    <w:rsid w:val="006C100B"/>
    <w:rsid w:val="006C27BB"/>
    <w:rsid w:val="006C2880"/>
    <w:rsid w:val="006D1653"/>
    <w:rsid w:val="006D71AA"/>
    <w:rsid w:val="006D7E97"/>
    <w:rsid w:val="006E6BD6"/>
    <w:rsid w:val="006E73B7"/>
    <w:rsid w:val="006F34A8"/>
    <w:rsid w:val="006F5FDF"/>
    <w:rsid w:val="0070064D"/>
    <w:rsid w:val="00705AD9"/>
    <w:rsid w:val="00707076"/>
    <w:rsid w:val="00707D1D"/>
    <w:rsid w:val="00711D1E"/>
    <w:rsid w:val="00712980"/>
    <w:rsid w:val="007230D7"/>
    <w:rsid w:val="00724714"/>
    <w:rsid w:val="007345E5"/>
    <w:rsid w:val="00744F74"/>
    <w:rsid w:val="00747A1B"/>
    <w:rsid w:val="00783905"/>
    <w:rsid w:val="00783E4E"/>
    <w:rsid w:val="00785096"/>
    <w:rsid w:val="007904F5"/>
    <w:rsid w:val="00795420"/>
    <w:rsid w:val="00797821"/>
    <w:rsid w:val="007A7A0E"/>
    <w:rsid w:val="007B1396"/>
    <w:rsid w:val="007C08F0"/>
    <w:rsid w:val="007C216D"/>
    <w:rsid w:val="007C7606"/>
    <w:rsid w:val="007E69D0"/>
    <w:rsid w:val="007F1920"/>
    <w:rsid w:val="00801925"/>
    <w:rsid w:val="008032A3"/>
    <w:rsid w:val="0080712A"/>
    <w:rsid w:val="00813728"/>
    <w:rsid w:val="008147A4"/>
    <w:rsid w:val="0082482F"/>
    <w:rsid w:val="008415CC"/>
    <w:rsid w:val="008460B3"/>
    <w:rsid w:val="00854E20"/>
    <w:rsid w:val="00857C08"/>
    <w:rsid w:val="00874A27"/>
    <w:rsid w:val="0088411D"/>
    <w:rsid w:val="00887C29"/>
    <w:rsid w:val="008A4EEE"/>
    <w:rsid w:val="008B0E10"/>
    <w:rsid w:val="008B118A"/>
    <w:rsid w:val="008B4D55"/>
    <w:rsid w:val="008B6480"/>
    <w:rsid w:val="008C0D84"/>
    <w:rsid w:val="008C4A75"/>
    <w:rsid w:val="008C4C90"/>
    <w:rsid w:val="008D0AE9"/>
    <w:rsid w:val="008E5B8D"/>
    <w:rsid w:val="008E67E1"/>
    <w:rsid w:val="008F06C2"/>
    <w:rsid w:val="00904621"/>
    <w:rsid w:val="009133E1"/>
    <w:rsid w:val="00922977"/>
    <w:rsid w:val="00923A40"/>
    <w:rsid w:val="00927767"/>
    <w:rsid w:val="00931B88"/>
    <w:rsid w:val="009335A6"/>
    <w:rsid w:val="00933C16"/>
    <w:rsid w:val="009342D9"/>
    <w:rsid w:val="00944452"/>
    <w:rsid w:val="00944C3A"/>
    <w:rsid w:val="00946B82"/>
    <w:rsid w:val="00951455"/>
    <w:rsid w:val="00951F6C"/>
    <w:rsid w:val="009563BB"/>
    <w:rsid w:val="00957B1B"/>
    <w:rsid w:val="00965238"/>
    <w:rsid w:val="00966B80"/>
    <w:rsid w:val="009725D8"/>
    <w:rsid w:val="009804DC"/>
    <w:rsid w:val="00981A0D"/>
    <w:rsid w:val="00981A94"/>
    <w:rsid w:val="00984C61"/>
    <w:rsid w:val="00986205"/>
    <w:rsid w:val="009A38A5"/>
    <w:rsid w:val="009A48EB"/>
    <w:rsid w:val="009A64B5"/>
    <w:rsid w:val="009B41FC"/>
    <w:rsid w:val="009B49D0"/>
    <w:rsid w:val="009B5238"/>
    <w:rsid w:val="009B6EA4"/>
    <w:rsid w:val="009C58F7"/>
    <w:rsid w:val="009D15AA"/>
    <w:rsid w:val="009D1B6C"/>
    <w:rsid w:val="009D6D16"/>
    <w:rsid w:val="009E1289"/>
    <w:rsid w:val="009E5005"/>
    <w:rsid w:val="00A13D99"/>
    <w:rsid w:val="00A1684C"/>
    <w:rsid w:val="00A16F01"/>
    <w:rsid w:val="00A22149"/>
    <w:rsid w:val="00A2708A"/>
    <w:rsid w:val="00A3064E"/>
    <w:rsid w:val="00A35B8D"/>
    <w:rsid w:val="00A55BDF"/>
    <w:rsid w:val="00A609EC"/>
    <w:rsid w:val="00A64CFF"/>
    <w:rsid w:val="00A7169D"/>
    <w:rsid w:val="00A728BC"/>
    <w:rsid w:val="00A74179"/>
    <w:rsid w:val="00A747B0"/>
    <w:rsid w:val="00A84E9F"/>
    <w:rsid w:val="00A8508E"/>
    <w:rsid w:val="00A87296"/>
    <w:rsid w:val="00A91687"/>
    <w:rsid w:val="00A9377E"/>
    <w:rsid w:val="00A97979"/>
    <w:rsid w:val="00AA5911"/>
    <w:rsid w:val="00AB0299"/>
    <w:rsid w:val="00AB296F"/>
    <w:rsid w:val="00AB4487"/>
    <w:rsid w:val="00AB758A"/>
    <w:rsid w:val="00AC1160"/>
    <w:rsid w:val="00AD2864"/>
    <w:rsid w:val="00AD50AC"/>
    <w:rsid w:val="00AD5122"/>
    <w:rsid w:val="00AF180B"/>
    <w:rsid w:val="00AF1BC1"/>
    <w:rsid w:val="00B001DC"/>
    <w:rsid w:val="00B0074F"/>
    <w:rsid w:val="00B021FF"/>
    <w:rsid w:val="00B03341"/>
    <w:rsid w:val="00B03E10"/>
    <w:rsid w:val="00B115B9"/>
    <w:rsid w:val="00B11FD2"/>
    <w:rsid w:val="00B15CF0"/>
    <w:rsid w:val="00B16B9F"/>
    <w:rsid w:val="00B23D15"/>
    <w:rsid w:val="00B272B0"/>
    <w:rsid w:val="00B32BD4"/>
    <w:rsid w:val="00B366CB"/>
    <w:rsid w:val="00B374A7"/>
    <w:rsid w:val="00B433E8"/>
    <w:rsid w:val="00B46417"/>
    <w:rsid w:val="00B47EBD"/>
    <w:rsid w:val="00B509A3"/>
    <w:rsid w:val="00B530A3"/>
    <w:rsid w:val="00B54A5E"/>
    <w:rsid w:val="00B56516"/>
    <w:rsid w:val="00B60D75"/>
    <w:rsid w:val="00B7607F"/>
    <w:rsid w:val="00B80B56"/>
    <w:rsid w:val="00B824AE"/>
    <w:rsid w:val="00B82D7C"/>
    <w:rsid w:val="00B9324F"/>
    <w:rsid w:val="00B933DE"/>
    <w:rsid w:val="00B9543D"/>
    <w:rsid w:val="00BA0D75"/>
    <w:rsid w:val="00BA34CA"/>
    <w:rsid w:val="00BC3F65"/>
    <w:rsid w:val="00BC59F3"/>
    <w:rsid w:val="00BD0CB3"/>
    <w:rsid w:val="00BD1614"/>
    <w:rsid w:val="00BD5380"/>
    <w:rsid w:val="00BD6CF3"/>
    <w:rsid w:val="00BD7A11"/>
    <w:rsid w:val="00BF09E0"/>
    <w:rsid w:val="00C1083C"/>
    <w:rsid w:val="00C1135D"/>
    <w:rsid w:val="00C117E4"/>
    <w:rsid w:val="00C11CBC"/>
    <w:rsid w:val="00C20C47"/>
    <w:rsid w:val="00C273C2"/>
    <w:rsid w:val="00C30752"/>
    <w:rsid w:val="00C35CEB"/>
    <w:rsid w:val="00C54825"/>
    <w:rsid w:val="00C54905"/>
    <w:rsid w:val="00C752DE"/>
    <w:rsid w:val="00C80AF4"/>
    <w:rsid w:val="00C81BB4"/>
    <w:rsid w:val="00C826F7"/>
    <w:rsid w:val="00C85D76"/>
    <w:rsid w:val="00C93EA4"/>
    <w:rsid w:val="00CA1F0D"/>
    <w:rsid w:val="00CC1239"/>
    <w:rsid w:val="00CC157F"/>
    <w:rsid w:val="00CC5BED"/>
    <w:rsid w:val="00CC7F25"/>
    <w:rsid w:val="00CE6EB9"/>
    <w:rsid w:val="00CF04C6"/>
    <w:rsid w:val="00CF39A4"/>
    <w:rsid w:val="00CF6EB0"/>
    <w:rsid w:val="00D05AB5"/>
    <w:rsid w:val="00D06116"/>
    <w:rsid w:val="00D06866"/>
    <w:rsid w:val="00D11571"/>
    <w:rsid w:val="00D11BF1"/>
    <w:rsid w:val="00D12908"/>
    <w:rsid w:val="00D136BE"/>
    <w:rsid w:val="00D1486F"/>
    <w:rsid w:val="00D15E7E"/>
    <w:rsid w:val="00D22214"/>
    <w:rsid w:val="00D22594"/>
    <w:rsid w:val="00D323F7"/>
    <w:rsid w:val="00D3333C"/>
    <w:rsid w:val="00D34A2B"/>
    <w:rsid w:val="00D44F5D"/>
    <w:rsid w:val="00D45715"/>
    <w:rsid w:val="00D506E1"/>
    <w:rsid w:val="00D5552B"/>
    <w:rsid w:val="00D55A44"/>
    <w:rsid w:val="00D60EB6"/>
    <w:rsid w:val="00D641A2"/>
    <w:rsid w:val="00D74436"/>
    <w:rsid w:val="00D774A1"/>
    <w:rsid w:val="00D82A58"/>
    <w:rsid w:val="00D90DF9"/>
    <w:rsid w:val="00D95BF0"/>
    <w:rsid w:val="00DB6DD2"/>
    <w:rsid w:val="00DC2B5A"/>
    <w:rsid w:val="00DC54AF"/>
    <w:rsid w:val="00DC763F"/>
    <w:rsid w:val="00DD0238"/>
    <w:rsid w:val="00DD1BEB"/>
    <w:rsid w:val="00DE07B9"/>
    <w:rsid w:val="00E0099B"/>
    <w:rsid w:val="00E00E44"/>
    <w:rsid w:val="00E10748"/>
    <w:rsid w:val="00E13179"/>
    <w:rsid w:val="00E27DE7"/>
    <w:rsid w:val="00E371FF"/>
    <w:rsid w:val="00E37D0C"/>
    <w:rsid w:val="00E41CD3"/>
    <w:rsid w:val="00E4462D"/>
    <w:rsid w:val="00E44A5D"/>
    <w:rsid w:val="00E557B0"/>
    <w:rsid w:val="00E574BD"/>
    <w:rsid w:val="00E6006A"/>
    <w:rsid w:val="00E66C2D"/>
    <w:rsid w:val="00E824E9"/>
    <w:rsid w:val="00E8305D"/>
    <w:rsid w:val="00E831BC"/>
    <w:rsid w:val="00E84CEE"/>
    <w:rsid w:val="00E93E59"/>
    <w:rsid w:val="00E977FE"/>
    <w:rsid w:val="00EA350A"/>
    <w:rsid w:val="00EB05B8"/>
    <w:rsid w:val="00EB13FC"/>
    <w:rsid w:val="00EB60B9"/>
    <w:rsid w:val="00EB7E44"/>
    <w:rsid w:val="00EC0C58"/>
    <w:rsid w:val="00EC0D61"/>
    <w:rsid w:val="00EC67A9"/>
    <w:rsid w:val="00ED0FA6"/>
    <w:rsid w:val="00ED19CA"/>
    <w:rsid w:val="00ED5B3B"/>
    <w:rsid w:val="00ED7F2A"/>
    <w:rsid w:val="00EE0249"/>
    <w:rsid w:val="00EF64CD"/>
    <w:rsid w:val="00EF6AD5"/>
    <w:rsid w:val="00F044E3"/>
    <w:rsid w:val="00F343A7"/>
    <w:rsid w:val="00F36202"/>
    <w:rsid w:val="00F502F4"/>
    <w:rsid w:val="00F56B21"/>
    <w:rsid w:val="00F57A53"/>
    <w:rsid w:val="00F63764"/>
    <w:rsid w:val="00F662EC"/>
    <w:rsid w:val="00F82C41"/>
    <w:rsid w:val="00F86F9C"/>
    <w:rsid w:val="00F90575"/>
    <w:rsid w:val="00F93DC9"/>
    <w:rsid w:val="00F94AA9"/>
    <w:rsid w:val="00F9602F"/>
    <w:rsid w:val="00FA38E9"/>
    <w:rsid w:val="00FC1DA5"/>
    <w:rsid w:val="00FD0266"/>
    <w:rsid w:val="00FD0AF9"/>
    <w:rsid w:val="00FD7347"/>
    <w:rsid w:val="00FE1B8E"/>
    <w:rsid w:val="00FE5A86"/>
    <w:rsid w:val="00FE5DEE"/>
    <w:rsid w:val="00FF6A99"/>
    <w:rsid w:val="00FF6F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8A60"/>
  <w15:chartTrackingRefBased/>
  <w15:docId w15:val="{6AFC83B0-7813-4D80-BA5C-DF86C4532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F0D"/>
  </w:style>
  <w:style w:type="paragraph" w:styleId="Titre1">
    <w:name w:val="heading 1"/>
    <w:basedOn w:val="Normal"/>
    <w:next w:val="Normal"/>
    <w:link w:val="Titre1Car"/>
    <w:autoRedefine/>
    <w:uiPriority w:val="9"/>
    <w:qFormat/>
    <w:rsid w:val="005407CF"/>
    <w:pPr>
      <w:keepNext/>
      <w:keepLines/>
      <w:numPr>
        <w:numId w:val="19"/>
      </w:numPr>
      <w:spacing w:before="360" w:after="80" w:line="360" w:lineRule="auto"/>
      <w:outlineLvl w:val="0"/>
    </w:pPr>
    <w:rPr>
      <w:rFonts w:ascii="Times New Roman" w:eastAsiaTheme="majorEastAsia" w:hAnsi="Times New Roman" w:cstheme="majorBidi"/>
      <w:b/>
      <w:sz w:val="40"/>
      <w:szCs w:val="40"/>
    </w:rPr>
  </w:style>
  <w:style w:type="paragraph" w:styleId="Titre2">
    <w:name w:val="heading 2"/>
    <w:aliases w:val="Titre 0"/>
    <w:basedOn w:val="Normal"/>
    <w:next w:val="Normal"/>
    <w:link w:val="Titre2Car"/>
    <w:autoRedefine/>
    <w:uiPriority w:val="9"/>
    <w:unhideWhenUsed/>
    <w:qFormat/>
    <w:rsid w:val="001542B3"/>
    <w:pPr>
      <w:keepNext/>
      <w:keepLines/>
      <w:spacing w:before="160" w:after="80" w:line="360" w:lineRule="auto"/>
      <w:jc w:val="center"/>
      <w:outlineLvl w:val="1"/>
    </w:pPr>
    <w:rPr>
      <w:rFonts w:ascii="Times New Roman" w:eastAsiaTheme="majorEastAsia" w:hAnsi="Times New Roman" w:cstheme="majorBidi"/>
      <w:b/>
      <w:sz w:val="40"/>
      <w:szCs w:val="32"/>
    </w:rPr>
  </w:style>
  <w:style w:type="paragraph" w:styleId="Titre3">
    <w:name w:val="heading 3"/>
    <w:basedOn w:val="Normal"/>
    <w:next w:val="Normal"/>
    <w:link w:val="Titre3Car"/>
    <w:autoRedefine/>
    <w:uiPriority w:val="9"/>
    <w:unhideWhenUsed/>
    <w:qFormat/>
    <w:rsid w:val="00083AEB"/>
    <w:pPr>
      <w:keepNext/>
      <w:keepLines/>
      <w:numPr>
        <w:numId w:val="20"/>
      </w:numPr>
      <w:spacing w:before="160" w:after="80"/>
      <w:outlineLvl w:val="2"/>
    </w:pPr>
    <w:rPr>
      <w:rFonts w:ascii="Times New Roman" w:eastAsiaTheme="majorEastAsia" w:hAnsi="Times New Roman" w:cstheme="majorBidi"/>
      <w:b/>
      <w:color w:val="000000" w:themeColor="text1"/>
      <w:sz w:val="32"/>
      <w:szCs w:val="28"/>
    </w:rPr>
  </w:style>
  <w:style w:type="paragraph" w:styleId="Titre4">
    <w:name w:val="heading 4"/>
    <w:basedOn w:val="Normal"/>
    <w:next w:val="Normal"/>
    <w:link w:val="Titre4Car"/>
    <w:autoRedefine/>
    <w:uiPriority w:val="9"/>
    <w:unhideWhenUsed/>
    <w:qFormat/>
    <w:rsid w:val="004E2855"/>
    <w:pPr>
      <w:keepNext/>
      <w:keepLines/>
      <w:numPr>
        <w:numId w:val="22"/>
      </w:numPr>
      <w:spacing w:before="80" w:after="40" w:line="360" w:lineRule="auto"/>
      <w:outlineLvl w:val="3"/>
    </w:pPr>
    <w:rPr>
      <w:rFonts w:ascii="Times New Roman" w:eastAsiaTheme="majorEastAsia" w:hAnsi="Times New Roman" w:cstheme="majorBidi"/>
      <w:b/>
      <w:iCs/>
      <w:color w:val="000000" w:themeColor="text1"/>
      <w:sz w:val="24"/>
    </w:rPr>
  </w:style>
  <w:style w:type="paragraph" w:styleId="Titre5">
    <w:name w:val="heading 5"/>
    <w:basedOn w:val="Normal"/>
    <w:next w:val="Normal"/>
    <w:link w:val="Titre5Car"/>
    <w:uiPriority w:val="9"/>
    <w:semiHidden/>
    <w:unhideWhenUsed/>
    <w:qFormat/>
    <w:rsid w:val="009725D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725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25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25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25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07CF"/>
    <w:rPr>
      <w:rFonts w:ascii="Times New Roman" w:eastAsiaTheme="majorEastAsia" w:hAnsi="Times New Roman" w:cstheme="majorBidi"/>
      <w:b/>
      <w:sz w:val="40"/>
      <w:szCs w:val="40"/>
    </w:rPr>
  </w:style>
  <w:style w:type="character" w:customStyle="1" w:styleId="Titre2Car">
    <w:name w:val="Titre 2 Car"/>
    <w:aliases w:val="Titre 0 Car"/>
    <w:basedOn w:val="Policepardfaut"/>
    <w:link w:val="Titre2"/>
    <w:uiPriority w:val="9"/>
    <w:rsid w:val="001542B3"/>
    <w:rPr>
      <w:rFonts w:ascii="Times New Roman" w:eastAsiaTheme="majorEastAsia" w:hAnsi="Times New Roman" w:cstheme="majorBidi"/>
      <w:b/>
      <w:sz w:val="40"/>
      <w:szCs w:val="32"/>
    </w:rPr>
  </w:style>
  <w:style w:type="character" w:customStyle="1" w:styleId="Titre3Car">
    <w:name w:val="Titre 3 Car"/>
    <w:basedOn w:val="Policepardfaut"/>
    <w:link w:val="Titre3"/>
    <w:uiPriority w:val="9"/>
    <w:rsid w:val="00083AEB"/>
    <w:rPr>
      <w:rFonts w:ascii="Times New Roman" w:eastAsiaTheme="majorEastAsia" w:hAnsi="Times New Roman" w:cstheme="majorBidi"/>
      <w:b/>
      <w:color w:val="000000" w:themeColor="text1"/>
      <w:sz w:val="32"/>
      <w:szCs w:val="28"/>
    </w:rPr>
  </w:style>
  <w:style w:type="character" w:customStyle="1" w:styleId="Titre4Car">
    <w:name w:val="Titre 4 Car"/>
    <w:basedOn w:val="Policepardfaut"/>
    <w:link w:val="Titre4"/>
    <w:uiPriority w:val="9"/>
    <w:rsid w:val="004E2855"/>
    <w:rPr>
      <w:rFonts w:ascii="Times New Roman" w:eastAsiaTheme="majorEastAsia" w:hAnsi="Times New Roman" w:cstheme="majorBidi"/>
      <w:b/>
      <w:iCs/>
      <w:color w:val="000000" w:themeColor="text1"/>
      <w:sz w:val="24"/>
    </w:rPr>
  </w:style>
  <w:style w:type="character" w:customStyle="1" w:styleId="Titre5Car">
    <w:name w:val="Titre 5 Car"/>
    <w:basedOn w:val="Policepardfaut"/>
    <w:link w:val="Titre5"/>
    <w:uiPriority w:val="9"/>
    <w:semiHidden/>
    <w:rsid w:val="009725D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725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25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25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25D8"/>
    <w:rPr>
      <w:rFonts w:eastAsiaTheme="majorEastAsia" w:cstheme="majorBidi"/>
      <w:color w:val="272727" w:themeColor="text1" w:themeTint="D8"/>
    </w:rPr>
  </w:style>
  <w:style w:type="paragraph" w:styleId="Titre">
    <w:name w:val="Title"/>
    <w:basedOn w:val="Normal"/>
    <w:next w:val="Normal"/>
    <w:link w:val="TitreCar"/>
    <w:uiPriority w:val="10"/>
    <w:qFormat/>
    <w:rsid w:val="00972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25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25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25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25D8"/>
    <w:pPr>
      <w:spacing w:before="160"/>
      <w:jc w:val="center"/>
    </w:pPr>
    <w:rPr>
      <w:i/>
      <w:iCs/>
      <w:color w:val="404040" w:themeColor="text1" w:themeTint="BF"/>
    </w:rPr>
  </w:style>
  <w:style w:type="character" w:customStyle="1" w:styleId="CitationCar">
    <w:name w:val="Citation Car"/>
    <w:basedOn w:val="Policepardfaut"/>
    <w:link w:val="Citation"/>
    <w:uiPriority w:val="29"/>
    <w:rsid w:val="009725D8"/>
    <w:rPr>
      <w:i/>
      <w:iCs/>
      <w:color w:val="404040" w:themeColor="text1" w:themeTint="BF"/>
    </w:rPr>
  </w:style>
  <w:style w:type="paragraph" w:styleId="Paragraphedeliste">
    <w:name w:val="List Paragraph"/>
    <w:basedOn w:val="Normal"/>
    <w:uiPriority w:val="34"/>
    <w:qFormat/>
    <w:rsid w:val="009725D8"/>
    <w:pPr>
      <w:ind w:left="720"/>
      <w:contextualSpacing/>
    </w:pPr>
  </w:style>
  <w:style w:type="character" w:styleId="Accentuationintense">
    <w:name w:val="Intense Emphasis"/>
    <w:basedOn w:val="Policepardfaut"/>
    <w:uiPriority w:val="21"/>
    <w:qFormat/>
    <w:rsid w:val="009725D8"/>
    <w:rPr>
      <w:i/>
      <w:iCs/>
      <w:color w:val="2F5496" w:themeColor="accent1" w:themeShade="BF"/>
    </w:rPr>
  </w:style>
  <w:style w:type="paragraph" w:styleId="Citationintense">
    <w:name w:val="Intense Quote"/>
    <w:basedOn w:val="Normal"/>
    <w:next w:val="Normal"/>
    <w:link w:val="CitationintenseCar"/>
    <w:uiPriority w:val="30"/>
    <w:qFormat/>
    <w:rsid w:val="00972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725D8"/>
    <w:rPr>
      <w:i/>
      <w:iCs/>
      <w:color w:val="2F5496" w:themeColor="accent1" w:themeShade="BF"/>
    </w:rPr>
  </w:style>
  <w:style w:type="character" w:styleId="Rfrenceintense">
    <w:name w:val="Intense Reference"/>
    <w:basedOn w:val="Policepardfaut"/>
    <w:uiPriority w:val="32"/>
    <w:qFormat/>
    <w:rsid w:val="009725D8"/>
    <w:rPr>
      <w:b/>
      <w:bCs/>
      <w:smallCaps/>
      <w:color w:val="2F5496" w:themeColor="accent1" w:themeShade="BF"/>
      <w:spacing w:val="5"/>
    </w:rPr>
  </w:style>
  <w:style w:type="paragraph" w:styleId="Lgende">
    <w:name w:val="caption"/>
    <w:basedOn w:val="Normal"/>
    <w:next w:val="Normal"/>
    <w:uiPriority w:val="35"/>
    <w:unhideWhenUsed/>
    <w:qFormat/>
    <w:rsid w:val="006F34A8"/>
    <w:pPr>
      <w:spacing w:after="200" w:line="240" w:lineRule="auto"/>
    </w:pPr>
    <w:rPr>
      <w:i/>
      <w:iCs/>
      <w:color w:val="44546A" w:themeColor="text2"/>
      <w:sz w:val="18"/>
      <w:szCs w:val="18"/>
    </w:rPr>
  </w:style>
  <w:style w:type="table" w:styleId="Tableausimple2">
    <w:name w:val="Plain Table 2"/>
    <w:basedOn w:val="TableauNormal"/>
    <w:uiPriority w:val="42"/>
    <w:rsid w:val="00A850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utableau">
    <w:name w:val="Table Grid"/>
    <w:basedOn w:val="TableauNormal"/>
    <w:uiPriority w:val="39"/>
    <w:rsid w:val="00F50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E37D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tedebasdepage">
    <w:name w:val="footnote text"/>
    <w:basedOn w:val="Normal"/>
    <w:link w:val="NotedebasdepageCar"/>
    <w:uiPriority w:val="99"/>
    <w:semiHidden/>
    <w:unhideWhenUsed/>
    <w:rsid w:val="00B374A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374A7"/>
    <w:rPr>
      <w:sz w:val="20"/>
      <w:szCs w:val="20"/>
    </w:rPr>
  </w:style>
  <w:style w:type="character" w:styleId="Appelnotedebasdep">
    <w:name w:val="footnote reference"/>
    <w:basedOn w:val="Policepardfaut"/>
    <w:uiPriority w:val="99"/>
    <w:semiHidden/>
    <w:unhideWhenUsed/>
    <w:rsid w:val="00B374A7"/>
    <w:rPr>
      <w:vertAlign w:val="superscript"/>
    </w:rPr>
  </w:style>
  <w:style w:type="paragraph" w:styleId="NormalWeb">
    <w:name w:val="Normal (Web)"/>
    <w:basedOn w:val="Normal"/>
    <w:uiPriority w:val="99"/>
    <w:unhideWhenUsed/>
    <w:rsid w:val="00356A4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356A48"/>
    <w:rPr>
      <w:i/>
      <w:iCs/>
    </w:rPr>
  </w:style>
  <w:style w:type="paragraph" w:styleId="En-tte">
    <w:name w:val="header"/>
    <w:basedOn w:val="Normal"/>
    <w:link w:val="En-tteCar"/>
    <w:uiPriority w:val="99"/>
    <w:unhideWhenUsed/>
    <w:rsid w:val="00783905"/>
    <w:pPr>
      <w:tabs>
        <w:tab w:val="center" w:pos="4536"/>
        <w:tab w:val="right" w:pos="9072"/>
      </w:tabs>
      <w:spacing w:after="0" w:line="240" w:lineRule="auto"/>
    </w:pPr>
  </w:style>
  <w:style w:type="character" w:customStyle="1" w:styleId="En-tteCar">
    <w:name w:val="En-tête Car"/>
    <w:basedOn w:val="Policepardfaut"/>
    <w:link w:val="En-tte"/>
    <w:uiPriority w:val="99"/>
    <w:rsid w:val="00783905"/>
  </w:style>
  <w:style w:type="paragraph" w:styleId="Pieddepage">
    <w:name w:val="footer"/>
    <w:basedOn w:val="Normal"/>
    <w:link w:val="PieddepageCar"/>
    <w:uiPriority w:val="99"/>
    <w:unhideWhenUsed/>
    <w:rsid w:val="007839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3905"/>
  </w:style>
  <w:style w:type="paragraph" w:styleId="TM2">
    <w:name w:val="toc 2"/>
    <w:basedOn w:val="Normal"/>
    <w:next w:val="Normal"/>
    <w:autoRedefine/>
    <w:uiPriority w:val="39"/>
    <w:unhideWhenUsed/>
    <w:rsid w:val="00B23D15"/>
    <w:pPr>
      <w:tabs>
        <w:tab w:val="right" w:leader="dot" w:pos="9062"/>
      </w:tabs>
      <w:spacing w:after="100" w:line="360" w:lineRule="auto"/>
      <w:ind w:left="220"/>
      <w:jc w:val="center"/>
    </w:pPr>
  </w:style>
  <w:style w:type="paragraph" w:styleId="TM1">
    <w:name w:val="toc 1"/>
    <w:basedOn w:val="Normal"/>
    <w:next w:val="Normal"/>
    <w:autoRedefine/>
    <w:uiPriority w:val="39"/>
    <w:unhideWhenUsed/>
    <w:rsid w:val="00783905"/>
    <w:pPr>
      <w:spacing w:after="100"/>
    </w:pPr>
  </w:style>
  <w:style w:type="paragraph" w:styleId="TM3">
    <w:name w:val="toc 3"/>
    <w:basedOn w:val="Normal"/>
    <w:next w:val="Normal"/>
    <w:autoRedefine/>
    <w:uiPriority w:val="39"/>
    <w:unhideWhenUsed/>
    <w:rsid w:val="00783905"/>
    <w:pPr>
      <w:spacing w:after="100"/>
      <w:ind w:left="440"/>
    </w:pPr>
  </w:style>
  <w:style w:type="character" w:styleId="Lienhypertexte">
    <w:name w:val="Hyperlink"/>
    <w:basedOn w:val="Policepardfaut"/>
    <w:uiPriority w:val="99"/>
    <w:unhideWhenUsed/>
    <w:rsid w:val="00783905"/>
    <w:rPr>
      <w:color w:val="0563C1" w:themeColor="hyperlink"/>
      <w:u w:val="single"/>
    </w:rPr>
  </w:style>
  <w:style w:type="paragraph" w:styleId="Sansinterligne">
    <w:name w:val="No Spacing"/>
    <w:link w:val="SansinterligneCar"/>
    <w:uiPriority w:val="1"/>
    <w:qFormat/>
    <w:rsid w:val="008B6480"/>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B6480"/>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DCD6A-212B-4AE3-AEF2-1206FAB63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9510</Words>
  <Characters>52311</Characters>
  <Application>Microsoft Office Word</Application>
  <DocSecurity>0</DocSecurity>
  <Lines>435</Lines>
  <Paragraphs>123</Paragraphs>
  <ScaleCrop>false</ScaleCrop>
  <Company/>
  <LinksUpToDate>false</LinksUpToDate>
  <CharactersWithSpaces>61698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KOURAOGO</dc:creator>
  <cp:keywords/>
  <dc:description/>
  <cp:lastModifiedBy>Emmanuel KOURAOGO</cp:lastModifiedBy>
  <cp:revision>7</cp:revision>
  <dcterms:created xsi:type="dcterms:W3CDTF">2026-02-15T18:19:00Z</dcterms:created>
  <dcterms:modified xsi:type="dcterms:W3CDTF">2026-06-09T00:10:00Z</dcterms:modified>
</cp:coreProperties>
</file>