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BB4" w:rsidRDefault="00116BB4" w:rsidP="00116BB4">
      <w:pPr>
        <w:pStyle w:val="Default"/>
        <w:jc w:val="center"/>
        <w:rPr>
          <w:color w:val="2D5295"/>
          <w:sz w:val="32"/>
          <w:szCs w:val="32"/>
        </w:rPr>
      </w:pPr>
      <w:r>
        <w:rPr>
          <w:color w:val="2D5295"/>
          <w:sz w:val="32"/>
          <w:szCs w:val="32"/>
        </w:rPr>
        <w:t>A8 – CS4300 Lab Report –11/30/17</w:t>
      </w:r>
    </w:p>
    <w:p w:rsidR="00116BB4" w:rsidRDefault="004E20FC" w:rsidP="00116BB4">
      <w:pPr>
        <w:jc w:val="center"/>
        <w:rPr>
          <w:color w:val="2D5295"/>
          <w:sz w:val="32"/>
          <w:szCs w:val="32"/>
        </w:rPr>
      </w:pPr>
      <w:r>
        <w:rPr>
          <w:color w:val="2D5295"/>
          <w:sz w:val="32"/>
          <w:szCs w:val="32"/>
        </w:rPr>
        <w:t xml:space="preserve">Modified </w:t>
      </w:r>
      <w:r w:rsidR="00116BB4">
        <w:rPr>
          <w:color w:val="2D5295"/>
          <w:sz w:val="32"/>
          <w:szCs w:val="32"/>
        </w:rPr>
        <w:t xml:space="preserve">Policy </w:t>
      </w:r>
      <w:r>
        <w:rPr>
          <w:color w:val="2D5295"/>
          <w:sz w:val="32"/>
          <w:szCs w:val="32"/>
        </w:rPr>
        <w:t>Iteration</w:t>
      </w:r>
      <w:r w:rsidR="00116BB4">
        <w:rPr>
          <w:color w:val="2D5295"/>
          <w:sz w:val="32"/>
          <w:szCs w:val="32"/>
        </w:rPr>
        <w:t xml:space="preserve"> and </w:t>
      </w:r>
      <w:r>
        <w:rPr>
          <w:color w:val="2D5295"/>
          <w:sz w:val="32"/>
          <w:szCs w:val="32"/>
        </w:rPr>
        <w:t>Policy Evaluation</w:t>
      </w:r>
    </w:p>
    <w:p w:rsidR="00116BB4" w:rsidRDefault="00116BB4" w:rsidP="00116BB4">
      <w:pPr>
        <w:pStyle w:val="Heading2"/>
        <w:numPr>
          <w:ilvl w:val="0"/>
          <w:numId w:val="1"/>
        </w:numPr>
      </w:pPr>
      <w:r>
        <w:t>Introduction</w:t>
      </w:r>
    </w:p>
    <w:p w:rsidR="00116BB4" w:rsidRPr="00116BB4" w:rsidRDefault="00116BB4" w:rsidP="00116BB4">
      <w:r>
        <w:t xml:space="preserve">For this assignment, I implemented the </w:t>
      </w:r>
      <w:r w:rsidR="004E20FC">
        <w:t>M</w:t>
      </w:r>
      <w:r>
        <w:t xml:space="preserve">odified Policy Iteration algorithm which is used to find an optimal policy to traverse a world by iterating over and improving bad policies until a good one is found. This algorithm, like the Value Iteration algorithm, takes in an MDP as its parameter and returns a policy once it is completed (unlike the Value Iteration algorithm which only returns a vector of utilities). My implementation of the algorithm was tested on Wumpus World as were previous algorithms/agents. That is, it had to find an optimal policy which would take into account the -1000 </w:t>
      </w:r>
      <w:proofErr w:type="gramStart"/>
      <w:r>
        <w:t>reward</w:t>
      </w:r>
      <w:proofErr w:type="gramEnd"/>
      <w:r>
        <w:t xml:space="preserve"> for dying, the +1000 reward for finding gold, and the -1 reward for taking an action.</w:t>
      </w:r>
      <w:r w:rsidR="00F73814">
        <w:t xml:space="preserve"> The board, shown below in Fig 1, was fixed.</w:t>
      </w:r>
      <w:r>
        <w:t xml:space="preserve"> It also ran on the board shown in Russell &amp; </w:t>
      </w:r>
      <w:proofErr w:type="spellStart"/>
      <w:r>
        <w:t>Norvig’s</w:t>
      </w:r>
      <w:proofErr w:type="spellEnd"/>
      <w:r>
        <w:t xml:space="preserve"> </w:t>
      </w:r>
      <w:r>
        <w:rPr>
          <w:i/>
        </w:rPr>
        <w:t>Artificial Intelligence: A Modern Approach</w:t>
      </w:r>
      <w:r>
        <w:t xml:space="preserve"> 2</w:t>
      </w:r>
      <w:r w:rsidRPr="00116BB4">
        <w:rPr>
          <w:vertAlign w:val="superscript"/>
        </w:rPr>
        <w:t>nd</w:t>
      </w:r>
      <w:r>
        <w:t xml:space="preserve"> edition on page 646</w:t>
      </w:r>
      <w:r w:rsidR="00DB3286">
        <w:t xml:space="preserve"> (Fig 2)</w:t>
      </w:r>
      <w:r>
        <w:t>.</w:t>
      </w:r>
      <w:r w:rsidR="00490D5B">
        <w:t xml:space="preserve"> This board has two fixed reward states of -1 and +1 as well as an unreachable state. It is also set up to make it easy to adjust the living reward and consequently change the policy.</w:t>
      </w:r>
    </w:p>
    <w:tbl>
      <w:tblPr>
        <w:tblStyle w:val="TableGrid"/>
        <w:tblpPr w:leftFromText="187" w:rightFromText="187" w:vertAnchor="text" w:tblpY="1"/>
        <w:tblW w:w="0" w:type="auto"/>
        <w:tblLook w:val="04A0" w:firstRow="1" w:lastRow="0" w:firstColumn="1" w:lastColumn="0" w:noHBand="0" w:noVBand="1"/>
      </w:tblPr>
      <w:tblGrid>
        <w:gridCol w:w="404"/>
        <w:gridCol w:w="404"/>
        <w:gridCol w:w="412"/>
        <w:gridCol w:w="404"/>
      </w:tblGrid>
      <w:tr w:rsidR="00F73814" w:rsidRPr="00115CC5" w:rsidTr="00086CCE">
        <w:trPr>
          <w:trHeight w:val="340"/>
        </w:trPr>
        <w:tc>
          <w:tcPr>
            <w:tcW w:w="404" w:type="dxa"/>
          </w:tcPr>
          <w:p w:rsidR="00F73814" w:rsidRPr="00115CC5" w:rsidRDefault="00F73814" w:rsidP="00086CCE">
            <w:r w:rsidRPr="00115CC5">
              <w:t>0</w:t>
            </w:r>
          </w:p>
        </w:tc>
        <w:tc>
          <w:tcPr>
            <w:tcW w:w="404" w:type="dxa"/>
          </w:tcPr>
          <w:p w:rsidR="00F73814" w:rsidRPr="00115CC5" w:rsidRDefault="00F73814" w:rsidP="00086CCE">
            <w:r w:rsidRPr="00115CC5">
              <w:t>0</w:t>
            </w:r>
          </w:p>
        </w:tc>
        <w:tc>
          <w:tcPr>
            <w:tcW w:w="404" w:type="dxa"/>
          </w:tcPr>
          <w:p w:rsidR="00F73814" w:rsidRPr="00115CC5" w:rsidRDefault="00F73814" w:rsidP="00086CCE">
            <w:r w:rsidRPr="00115CC5">
              <w:t>0</w:t>
            </w:r>
          </w:p>
        </w:tc>
        <w:tc>
          <w:tcPr>
            <w:tcW w:w="404" w:type="dxa"/>
          </w:tcPr>
          <w:p w:rsidR="00F73814" w:rsidRPr="00115CC5" w:rsidRDefault="00F73814" w:rsidP="00086CCE">
            <w:r w:rsidRPr="00115CC5">
              <w:t xml:space="preserve">G </w:t>
            </w:r>
          </w:p>
        </w:tc>
      </w:tr>
      <w:tr w:rsidR="00F73814" w:rsidRPr="00115CC5" w:rsidTr="00086CCE">
        <w:trPr>
          <w:trHeight w:val="340"/>
        </w:trPr>
        <w:tc>
          <w:tcPr>
            <w:tcW w:w="404" w:type="dxa"/>
          </w:tcPr>
          <w:p w:rsidR="00F73814" w:rsidRPr="00115CC5" w:rsidRDefault="00F73814" w:rsidP="00086CCE">
            <w:r w:rsidRPr="00115CC5">
              <w:t>0</w:t>
            </w:r>
          </w:p>
        </w:tc>
        <w:tc>
          <w:tcPr>
            <w:tcW w:w="404" w:type="dxa"/>
          </w:tcPr>
          <w:p w:rsidR="00F73814" w:rsidRPr="00115CC5" w:rsidRDefault="00F73814" w:rsidP="00086CCE">
            <w:r w:rsidRPr="00115CC5">
              <w:t>0</w:t>
            </w:r>
          </w:p>
        </w:tc>
        <w:tc>
          <w:tcPr>
            <w:tcW w:w="404" w:type="dxa"/>
          </w:tcPr>
          <w:p w:rsidR="00F73814" w:rsidRPr="00115CC5" w:rsidRDefault="00F73814" w:rsidP="00086CCE">
            <w:r w:rsidRPr="00115CC5">
              <w:t>P</w:t>
            </w:r>
          </w:p>
        </w:tc>
        <w:tc>
          <w:tcPr>
            <w:tcW w:w="404" w:type="dxa"/>
          </w:tcPr>
          <w:p w:rsidR="00F73814" w:rsidRPr="00115CC5" w:rsidRDefault="00F73814" w:rsidP="00086CCE">
            <w:r w:rsidRPr="00115CC5">
              <w:t xml:space="preserve">0 </w:t>
            </w:r>
          </w:p>
        </w:tc>
      </w:tr>
      <w:tr w:rsidR="00F73814" w:rsidRPr="00115CC5" w:rsidTr="00086CCE">
        <w:trPr>
          <w:trHeight w:val="356"/>
        </w:trPr>
        <w:tc>
          <w:tcPr>
            <w:tcW w:w="404" w:type="dxa"/>
          </w:tcPr>
          <w:p w:rsidR="00F73814" w:rsidRPr="00115CC5" w:rsidRDefault="00F73814" w:rsidP="00086CCE">
            <w:r w:rsidRPr="00115CC5">
              <w:t>0</w:t>
            </w:r>
          </w:p>
        </w:tc>
        <w:tc>
          <w:tcPr>
            <w:tcW w:w="404" w:type="dxa"/>
          </w:tcPr>
          <w:p w:rsidR="00F73814" w:rsidRPr="00115CC5" w:rsidRDefault="00F73814" w:rsidP="00086CCE">
            <w:r w:rsidRPr="00115CC5">
              <w:t>0</w:t>
            </w:r>
          </w:p>
        </w:tc>
        <w:tc>
          <w:tcPr>
            <w:tcW w:w="404" w:type="dxa"/>
          </w:tcPr>
          <w:p w:rsidR="00F73814" w:rsidRPr="00115CC5" w:rsidRDefault="00F73814" w:rsidP="00086CCE">
            <w:r w:rsidRPr="00115CC5">
              <w:t>W</w:t>
            </w:r>
          </w:p>
        </w:tc>
        <w:tc>
          <w:tcPr>
            <w:tcW w:w="404" w:type="dxa"/>
          </w:tcPr>
          <w:p w:rsidR="00F73814" w:rsidRPr="00115CC5" w:rsidRDefault="00F73814" w:rsidP="00086CCE">
            <w:r w:rsidRPr="00115CC5">
              <w:t xml:space="preserve">0 </w:t>
            </w:r>
          </w:p>
        </w:tc>
      </w:tr>
      <w:tr w:rsidR="00F73814" w:rsidRPr="00EF4652" w:rsidTr="00086CCE">
        <w:trPr>
          <w:trHeight w:val="340"/>
        </w:trPr>
        <w:tc>
          <w:tcPr>
            <w:tcW w:w="404" w:type="dxa"/>
          </w:tcPr>
          <w:p w:rsidR="00F73814" w:rsidRPr="00115CC5" w:rsidRDefault="00F73814" w:rsidP="00086CCE">
            <w:r w:rsidRPr="00115CC5">
              <w:t>0</w:t>
            </w:r>
          </w:p>
        </w:tc>
        <w:tc>
          <w:tcPr>
            <w:tcW w:w="404" w:type="dxa"/>
          </w:tcPr>
          <w:p w:rsidR="00F73814" w:rsidRPr="00115CC5" w:rsidRDefault="00F73814" w:rsidP="00086CCE">
            <w:r w:rsidRPr="00115CC5">
              <w:t>0</w:t>
            </w:r>
          </w:p>
        </w:tc>
        <w:tc>
          <w:tcPr>
            <w:tcW w:w="404" w:type="dxa"/>
          </w:tcPr>
          <w:p w:rsidR="00F73814" w:rsidRPr="00115CC5" w:rsidRDefault="00F73814" w:rsidP="00086CCE">
            <w:r w:rsidRPr="00115CC5">
              <w:t>P</w:t>
            </w:r>
          </w:p>
        </w:tc>
        <w:tc>
          <w:tcPr>
            <w:tcW w:w="404" w:type="dxa"/>
          </w:tcPr>
          <w:p w:rsidR="00F73814" w:rsidRPr="00EF4652" w:rsidRDefault="00F73814" w:rsidP="00086CCE">
            <w:r w:rsidRPr="00115CC5">
              <w:t>0</w:t>
            </w:r>
          </w:p>
        </w:tc>
      </w:tr>
    </w:tbl>
    <w:p w:rsidR="00067DEF" w:rsidRDefault="00DB3286">
      <w:r>
        <w:rPr>
          <w:noProof/>
        </w:rPr>
        <w:drawing>
          <wp:anchor distT="0" distB="0" distL="114300" distR="114300" simplePos="0" relativeHeight="251659264" behindDoc="1" locked="0" layoutInCell="1" allowOverlap="1" wp14:anchorId="4C2064A8" wp14:editId="11C25DDF">
            <wp:simplePos x="0" y="0"/>
            <wp:positionH relativeFrom="margin">
              <wp:posOffset>2278380</wp:posOffset>
            </wp:positionH>
            <wp:positionV relativeFrom="paragraph">
              <wp:posOffset>4445</wp:posOffset>
            </wp:positionV>
            <wp:extent cx="1249680" cy="944880"/>
            <wp:effectExtent l="0" t="0" r="7620" b="7620"/>
            <wp:wrapTight wrapText="bothSides">
              <wp:wrapPolygon edited="0">
                <wp:start x="0" y="0"/>
                <wp:lineTo x="0" y="21339"/>
                <wp:lineTo x="21402" y="21339"/>
                <wp:lineTo x="214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49680" cy="944880"/>
                    </a:xfrm>
                    <a:prstGeom prst="rect">
                      <a:avLst/>
                    </a:prstGeom>
                  </pic:spPr>
                </pic:pic>
              </a:graphicData>
            </a:graphic>
            <wp14:sizeRelH relativeFrom="margin">
              <wp14:pctWidth>0</wp14:pctWidth>
            </wp14:sizeRelH>
            <wp14:sizeRelV relativeFrom="margin">
              <wp14:pctHeight>0</wp14:pctHeight>
            </wp14:sizeRelV>
          </wp:anchor>
        </w:drawing>
      </w:r>
      <w:r w:rsidR="00F73814">
        <w:t xml:space="preserve">Fig 1. </w:t>
      </w:r>
      <w:r>
        <w:tab/>
        <w:t xml:space="preserve">      Fig 2.</w:t>
      </w:r>
    </w:p>
    <w:p w:rsidR="00F73814" w:rsidRDefault="00F73814">
      <w:r>
        <w:t>Wumpus Board</w:t>
      </w:r>
      <w:r w:rsidR="00DB3286">
        <w:t xml:space="preserve">          R&amp;N board</w:t>
      </w:r>
    </w:p>
    <w:p w:rsidR="00DB3286" w:rsidRDefault="00DB3286"/>
    <w:p w:rsidR="00DB3286" w:rsidRDefault="00DB3286"/>
    <w:p w:rsidR="00DB3286" w:rsidRDefault="00DB3286">
      <w:r>
        <w:t xml:space="preserve">The Modified Policy Iteration algorithm is also similar to the Value Iteration algorithm in that policies it generates can be radically different based on the living rewards. I aimed to prove that it could produce similar results to that of Value Iteration in this regard. However, if it essentially serves the same purpose as Value Iteration, the question of which algorithm is quicker still remains. I aimed to </w:t>
      </w:r>
      <w:r w:rsidR="00096354">
        <w:t>test the running time of each algorithm to see which consistently ran quicker.</w:t>
      </w:r>
    </w:p>
    <w:p w:rsidR="00096354" w:rsidRDefault="00096354" w:rsidP="00096354">
      <w:pPr>
        <w:pStyle w:val="Heading2"/>
        <w:numPr>
          <w:ilvl w:val="0"/>
          <w:numId w:val="1"/>
        </w:numPr>
      </w:pPr>
      <w:r>
        <w:t>Method</w:t>
      </w:r>
    </w:p>
    <w:p w:rsidR="00096354" w:rsidRDefault="00096354" w:rsidP="00096354">
      <w:r>
        <w:t>The parameters for the</w:t>
      </w:r>
      <w:r w:rsidR="004E20FC">
        <w:t xml:space="preserve"> Modified</w:t>
      </w:r>
      <w:r>
        <w:t xml:space="preserve"> Policy Iteration algorithm are as follows:</w:t>
      </w:r>
    </w:p>
    <w:p w:rsidR="00096354" w:rsidRDefault="00096354" w:rsidP="00096354">
      <w:pPr>
        <w:pStyle w:val="ListParagraph"/>
        <w:numPr>
          <w:ilvl w:val="0"/>
          <w:numId w:val="2"/>
        </w:numPr>
      </w:pPr>
      <w:r>
        <w:t>S: A vector of all the states in the MDP</w:t>
      </w:r>
    </w:p>
    <w:p w:rsidR="00096354" w:rsidRDefault="00096354" w:rsidP="00096354">
      <w:pPr>
        <w:pStyle w:val="ListParagraph"/>
        <w:numPr>
          <w:ilvl w:val="0"/>
          <w:numId w:val="2"/>
        </w:numPr>
      </w:pPr>
      <w:r>
        <w:t>A: A vector of all the actions in the MDP</w:t>
      </w:r>
    </w:p>
    <w:p w:rsidR="00096354" w:rsidRDefault="00096354" w:rsidP="00096354">
      <w:pPr>
        <w:pStyle w:val="ListParagraph"/>
        <w:numPr>
          <w:ilvl w:val="0"/>
          <w:numId w:val="2"/>
        </w:numPr>
      </w:pPr>
      <w:r>
        <w:t>P: A transition model</w:t>
      </w:r>
    </w:p>
    <w:p w:rsidR="00096354" w:rsidRDefault="00096354" w:rsidP="00096354">
      <w:pPr>
        <w:pStyle w:val="ListParagraph"/>
        <w:numPr>
          <w:ilvl w:val="0"/>
          <w:numId w:val="2"/>
        </w:numPr>
      </w:pPr>
      <w:r>
        <w:t>R: A vector of the rewards for each state in the MDP</w:t>
      </w:r>
    </w:p>
    <w:p w:rsidR="00096354" w:rsidRDefault="00096354" w:rsidP="00096354">
      <w:pPr>
        <w:pStyle w:val="ListParagraph"/>
        <w:numPr>
          <w:ilvl w:val="0"/>
          <w:numId w:val="2"/>
        </w:numPr>
      </w:pPr>
      <w:r>
        <w:t>k: The number of iterations to use for Policy Evaluation (explained later)</w:t>
      </w:r>
    </w:p>
    <w:p w:rsidR="00096354" w:rsidRDefault="00096354" w:rsidP="00096354">
      <w:pPr>
        <w:pStyle w:val="ListParagraph"/>
        <w:numPr>
          <w:ilvl w:val="0"/>
          <w:numId w:val="2"/>
        </w:numPr>
      </w:pPr>
      <w:r>
        <w:t>gamma: the discount factor applied to the rewards for potential future states</w:t>
      </w:r>
    </w:p>
    <w:p w:rsidR="0091742B" w:rsidRDefault="0091742B" w:rsidP="0091742B">
      <w:r>
        <w:t xml:space="preserve">The pseudocode for the </w:t>
      </w:r>
      <w:r w:rsidR="004E20FC">
        <w:t xml:space="preserve">Modified </w:t>
      </w:r>
      <w:r>
        <w:t>Policy Iteration algorithm is as follows:</w:t>
      </w:r>
    </w:p>
    <w:p w:rsidR="0091742B" w:rsidRDefault="0091742B" w:rsidP="0091742B">
      <w:r>
        <w:rPr>
          <w:b/>
        </w:rPr>
        <w:t xml:space="preserve">function </w:t>
      </w:r>
      <w:r>
        <w:t>CS4300_Policy_Iteration(</w:t>
      </w:r>
      <w:proofErr w:type="spellStart"/>
      <w:r>
        <w:t>mdp</w:t>
      </w:r>
      <w:proofErr w:type="spellEnd"/>
      <w:r>
        <w:t xml:space="preserve">) </w:t>
      </w:r>
      <w:r>
        <w:rPr>
          <w:b/>
        </w:rPr>
        <w:t>returns</w:t>
      </w:r>
      <w:r>
        <w:t xml:space="preserve"> a policy</w:t>
      </w:r>
    </w:p>
    <w:p w:rsidR="0091742B" w:rsidRDefault="0091742B" w:rsidP="0091742B">
      <w:r>
        <w:tab/>
      </w:r>
      <w:r>
        <w:rPr>
          <w:b/>
        </w:rPr>
        <w:t xml:space="preserve">inputs: </w:t>
      </w:r>
      <w:proofErr w:type="spellStart"/>
      <w:r>
        <w:t>mdp</w:t>
      </w:r>
      <w:proofErr w:type="spellEnd"/>
      <w:r>
        <w:t>, an MDP with states S, actions A, a transition model P, and rewards R</w:t>
      </w:r>
    </w:p>
    <w:p w:rsidR="0091742B" w:rsidRDefault="0091742B" w:rsidP="0091742B">
      <w:r>
        <w:tab/>
      </w:r>
      <w:r>
        <w:rPr>
          <w:b/>
        </w:rPr>
        <w:t>locals:</w:t>
      </w:r>
      <w:r>
        <w:t xml:space="preserve"> U, a vector of utilities for states in S, initially 0</w:t>
      </w:r>
    </w:p>
    <w:p w:rsidR="0091742B" w:rsidRDefault="0091742B" w:rsidP="0091742B">
      <w:r>
        <w:tab/>
        <w:t xml:space="preserve">             pi, a vector of policies for states in S, initially random</w:t>
      </w:r>
    </w:p>
    <w:p w:rsidR="0091742B" w:rsidRDefault="000F5F17" w:rsidP="0091742B">
      <w:r>
        <w:lastRenderedPageBreak/>
        <w:tab/>
      </w:r>
      <w:r>
        <w:rPr>
          <w:b/>
        </w:rPr>
        <w:t>repeat</w:t>
      </w:r>
    </w:p>
    <w:p w:rsidR="000F5F17" w:rsidRDefault="000F5F17" w:rsidP="0091742B">
      <w:r>
        <w:tab/>
      </w:r>
      <w:r>
        <w:tab/>
        <w:t>U = CS4300_Policy_</w:t>
      </w:r>
      <w:proofErr w:type="gramStart"/>
      <w:r>
        <w:t>Evaluation(</w:t>
      </w:r>
      <w:proofErr w:type="gramEnd"/>
      <w:r>
        <w:t xml:space="preserve">pi, U, </w:t>
      </w:r>
      <w:proofErr w:type="spellStart"/>
      <w:r>
        <w:t>mdp</w:t>
      </w:r>
      <w:proofErr w:type="spellEnd"/>
      <w:r>
        <w:t>)</w:t>
      </w:r>
    </w:p>
    <w:p w:rsidR="000F5F17" w:rsidRDefault="000F5F17" w:rsidP="0091742B">
      <w:r>
        <w:tab/>
      </w:r>
      <w:r>
        <w:tab/>
        <w:t>unchanged = true</w:t>
      </w:r>
    </w:p>
    <w:p w:rsidR="000F5F17" w:rsidRDefault="000F5F17" w:rsidP="0091742B">
      <w:pPr>
        <w:rPr>
          <w:b/>
        </w:rPr>
      </w:pPr>
      <w:r>
        <w:tab/>
      </w:r>
      <w:r>
        <w:tab/>
      </w:r>
      <w:r>
        <w:rPr>
          <w:b/>
        </w:rPr>
        <w:t>for each</w:t>
      </w:r>
      <w:r>
        <w:t xml:space="preserve"> </w:t>
      </w:r>
      <w:proofErr w:type="spellStart"/>
      <w:r>
        <w:t>state s</w:t>
      </w:r>
      <w:proofErr w:type="spellEnd"/>
      <w:r>
        <w:t xml:space="preserve"> </w:t>
      </w:r>
      <w:r>
        <w:rPr>
          <w:b/>
        </w:rPr>
        <w:t>in</w:t>
      </w:r>
      <w:r>
        <w:t xml:space="preserve"> S </w:t>
      </w:r>
      <w:r>
        <w:rPr>
          <w:b/>
        </w:rPr>
        <w:t>do</w:t>
      </w:r>
    </w:p>
    <w:p w:rsidR="000F5F17" w:rsidRDefault="000F5F17" w:rsidP="0091742B">
      <w:r>
        <w:tab/>
      </w:r>
      <w:r>
        <w:tab/>
      </w:r>
      <w:r>
        <w:tab/>
      </w:r>
      <w:r>
        <w:rPr>
          <w:b/>
        </w:rPr>
        <w:t>if</w:t>
      </w:r>
      <w:r>
        <w:t xml:space="preserve"> </w:t>
      </w:r>
      <w:proofErr w:type="spellStart"/>
      <w:r>
        <w:t>max</w:t>
      </w:r>
      <w:r>
        <w:rPr>
          <w:vertAlign w:val="subscript"/>
        </w:rPr>
        <w:t>a</w:t>
      </w:r>
      <w:proofErr w:type="spellEnd"/>
      <w:r w:rsidRPr="000F5F17">
        <w:rPr>
          <w:rFonts w:hint="eastAsia"/>
          <w:vertAlign w:val="subscript"/>
        </w:rPr>
        <w:t>∈</w:t>
      </w:r>
      <w:r>
        <w:rPr>
          <w:rFonts w:hint="eastAsia"/>
          <w:vertAlign w:val="subscript"/>
        </w:rPr>
        <w:t>A</w:t>
      </w:r>
      <w:r>
        <w:rPr>
          <w:vertAlign w:val="subscript"/>
        </w:rPr>
        <w:t>(s)</w:t>
      </w:r>
      <w:proofErr w:type="spellStart"/>
      <w:r>
        <w:rPr>
          <w:rFonts w:cstheme="minorHAnsi"/>
        </w:rPr>
        <w:t>Σ</w:t>
      </w:r>
      <w:r>
        <w:rPr>
          <w:vertAlign w:val="subscript"/>
        </w:rPr>
        <w:t>s’</w:t>
      </w:r>
      <w:r>
        <w:t>P</w:t>
      </w:r>
      <w:proofErr w:type="spellEnd"/>
      <w:r>
        <w:t>(s’|</w:t>
      </w:r>
      <w:proofErr w:type="spellStart"/>
      <w:proofErr w:type="gramStart"/>
      <w:r>
        <w:t>s,a</w:t>
      </w:r>
      <w:proofErr w:type="spellEnd"/>
      <w:proofErr w:type="gramEnd"/>
      <w:r>
        <w:t xml:space="preserve">) U[s’] &gt; </w:t>
      </w:r>
      <w:proofErr w:type="spellStart"/>
      <w:r>
        <w:rPr>
          <w:rFonts w:cstheme="minorHAnsi"/>
        </w:rPr>
        <w:t>Σ</w:t>
      </w:r>
      <w:r>
        <w:rPr>
          <w:vertAlign w:val="subscript"/>
        </w:rPr>
        <w:t>s’</w:t>
      </w:r>
      <w:r>
        <w:t>P</w:t>
      </w:r>
      <w:proofErr w:type="spellEnd"/>
      <w:r>
        <w:t>(s’|</w:t>
      </w:r>
      <w:proofErr w:type="spellStart"/>
      <w:r>
        <w:t>s,pi</w:t>
      </w:r>
      <w:proofErr w:type="spellEnd"/>
      <w:r>
        <w:t xml:space="preserve">[s]) U[s’] </w:t>
      </w:r>
      <w:r>
        <w:rPr>
          <w:b/>
        </w:rPr>
        <w:t>then do</w:t>
      </w:r>
    </w:p>
    <w:p w:rsidR="000F5F17" w:rsidRDefault="000F5F17" w:rsidP="0091742B">
      <w:r>
        <w:tab/>
      </w:r>
      <w:r>
        <w:tab/>
      </w:r>
      <w:r>
        <w:tab/>
      </w:r>
      <w:r>
        <w:tab/>
        <w:t xml:space="preserve">pi[s] = </w:t>
      </w:r>
      <w:proofErr w:type="spellStart"/>
      <w:r>
        <w:t>argmax</w:t>
      </w:r>
      <w:r>
        <w:rPr>
          <w:vertAlign w:val="subscript"/>
        </w:rPr>
        <w:t>a</w:t>
      </w:r>
      <w:proofErr w:type="spellEnd"/>
      <w:r w:rsidRPr="000F5F17">
        <w:rPr>
          <w:rFonts w:hint="eastAsia"/>
          <w:vertAlign w:val="subscript"/>
        </w:rPr>
        <w:t>∈</w:t>
      </w:r>
      <w:r>
        <w:rPr>
          <w:rFonts w:hint="eastAsia"/>
          <w:vertAlign w:val="subscript"/>
        </w:rPr>
        <w:t>A</w:t>
      </w:r>
      <w:r>
        <w:rPr>
          <w:vertAlign w:val="subscript"/>
        </w:rPr>
        <w:t>(s)</w:t>
      </w:r>
      <w:r w:rsidRPr="000F5F17">
        <w:rPr>
          <w:rFonts w:cstheme="minorHAnsi"/>
        </w:rPr>
        <w:t xml:space="preserve"> </w:t>
      </w:r>
      <w:proofErr w:type="spellStart"/>
      <w:r>
        <w:rPr>
          <w:rFonts w:cstheme="minorHAnsi"/>
        </w:rPr>
        <w:t>Σ</w:t>
      </w:r>
      <w:r>
        <w:rPr>
          <w:vertAlign w:val="subscript"/>
        </w:rPr>
        <w:t>s’</w:t>
      </w:r>
      <w:r>
        <w:t>P</w:t>
      </w:r>
      <w:proofErr w:type="spellEnd"/>
      <w:r>
        <w:t>(s’|</w:t>
      </w:r>
      <w:proofErr w:type="spellStart"/>
      <w:proofErr w:type="gramStart"/>
      <w:r>
        <w:t>s,a</w:t>
      </w:r>
      <w:proofErr w:type="spellEnd"/>
      <w:proofErr w:type="gramEnd"/>
      <w:r>
        <w:t>) U[s’]</w:t>
      </w:r>
    </w:p>
    <w:p w:rsidR="000F5F17" w:rsidRDefault="000F5F17" w:rsidP="0091742B">
      <w:r>
        <w:tab/>
      </w:r>
      <w:r>
        <w:tab/>
      </w:r>
      <w:r>
        <w:tab/>
      </w:r>
      <w:r>
        <w:tab/>
        <w:t>unchanged = false</w:t>
      </w:r>
    </w:p>
    <w:p w:rsidR="000F5F17" w:rsidRDefault="000F5F17" w:rsidP="0091742B">
      <w:r>
        <w:tab/>
      </w:r>
      <w:r>
        <w:rPr>
          <w:b/>
        </w:rPr>
        <w:t xml:space="preserve">until </w:t>
      </w:r>
      <w:r>
        <w:t>unchanged == true</w:t>
      </w:r>
    </w:p>
    <w:p w:rsidR="000F5F17" w:rsidRDefault="000F5F17" w:rsidP="0091742B">
      <w:r>
        <w:tab/>
      </w:r>
      <w:r>
        <w:rPr>
          <w:b/>
        </w:rPr>
        <w:t>return</w:t>
      </w:r>
      <w:r>
        <w:t xml:space="preserve"> pi</w:t>
      </w:r>
    </w:p>
    <w:p w:rsidR="000F5F17" w:rsidRDefault="000F5F17" w:rsidP="0091742B">
      <w:r>
        <w:t xml:space="preserve">That is, the algorithm performs a loop, potentially changing its policy each iteration until it doesn’t change its policy and then returns. Within the loop, it performs a Policy Evaluation to get utilities based on its current policy. It will then evaluate each state to see if there’s an action that will yield a higher potential reward than the current policy’s given action, based on the utilities given from Policy Evaluation. Once the policy isn’t changed in a loop, this means that an optimal policy has been found! What is Policy Evaluation though? Policy Evaluation takes in </w:t>
      </w:r>
      <w:r w:rsidR="00373314">
        <w:t xml:space="preserve">a policy and calculates the utility of each state if the policy were to be executed </w:t>
      </w:r>
      <w:r w:rsidR="007C4B6D">
        <w:t>for each of those states</w:t>
      </w:r>
      <w:r w:rsidR="00373314">
        <w:t>.</w:t>
      </w:r>
      <w:r w:rsidR="00467F3E">
        <w:t xml:space="preserve"> Overall, this method was much simpler in terms of the amount of code. The pseudocode is shown below:</w:t>
      </w:r>
    </w:p>
    <w:p w:rsidR="00467F3E" w:rsidRDefault="00467F3E" w:rsidP="00467F3E">
      <w:r>
        <w:rPr>
          <w:b/>
        </w:rPr>
        <w:t xml:space="preserve">function </w:t>
      </w:r>
      <w:r>
        <w:t>CS4300_Policy_Evaluation(</w:t>
      </w:r>
      <w:proofErr w:type="spellStart"/>
      <w:r>
        <w:t>mdp</w:t>
      </w:r>
      <w:proofErr w:type="spellEnd"/>
      <w:r>
        <w:t xml:space="preserve">) </w:t>
      </w:r>
      <w:r>
        <w:rPr>
          <w:b/>
        </w:rPr>
        <w:t>returns</w:t>
      </w:r>
      <w:r>
        <w:t xml:space="preserve"> a vector of utilities, U</w:t>
      </w:r>
    </w:p>
    <w:p w:rsidR="00467F3E" w:rsidRDefault="00467F3E" w:rsidP="00467F3E">
      <w:r>
        <w:tab/>
      </w:r>
      <w:r>
        <w:rPr>
          <w:b/>
        </w:rPr>
        <w:t xml:space="preserve">inputs: </w:t>
      </w:r>
      <w:proofErr w:type="spellStart"/>
      <w:r>
        <w:t>mdp</w:t>
      </w:r>
      <w:proofErr w:type="spellEnd"/>
      <w:r>
        <w:t xml:space="preserve">, an MDP with </w:t>
      </w:r>
      <w:proofErr w:type="spellStart"/>
      <w:r>
        <w:t>states</w:t>
      </w:r>
      <w:proofErr w:type="spellEnd"/>
      <w:r>
        <w:t xml:space="preserve"> S, actions A, a transition model P, and rewards R</w:t>
      </w:r>
    </w:p>
    <w:p w:rsidR="00467F3E" w:rsidRDefault="00467F3E" w:rsidP="00467F3E">
      <w:r>
        <w:tab/>
      </w:r>
      <w:r>
        <w:tab/>
        <w:t>policy, a vector of actions to take for each state S</w:t>
      </w:r>
    </w:p>
    <w:p w:rsidR="00467F3E" w:rsidRDefault="00467F3E" w:rsidP="00467F3E">
      <w:r>
        <w:tab/>
      </w:r>
      <w:r>
        <w:tab/>
        <w:t>K, number of iterations to run</w:t>
      </w:r>
    </w:p>
    <w:p w:rsidR="00467F3E" w:rsidRDefault="00467F3E" w:rsidP="00467F3E">
      <w:r>
        <w:tab/>
      </w:r>
      <w:r>
        <w:rPr>
          <w:b/>
        </w:rPr>
        <w:t>locals:</w:t>
      </w:r>
      <w:r>
        <w:t xml:space="preserve"> U, a vector of utilities for states in S, initially 0</w:t>
      </w:r>
    </w:p>
    <w:p w:rsidR="00467F3E" w:rsidRPr="00467F3E" w:rsidRDefault="00467F3E" w:rsidP="00467F3E">
      <w:pPr>
        <w:rPr>
          <w:b/>
        </w:rPr>
      </w:pPr>
      <w:r>
        <w:tab/>
      </w:r>
      <w:r>
        <w:rPr>
          <w:b/>
        </w:rPr>
        <w:t>repeat</w:t>
      </w:r>
    </w:p>
    <w:p w:rsidR="00467F3E" w:rsidRDefault="00467F3E" w:rsidP="00467F3E">
      <w:pPr>
        <w:rPr>
          <w:b/>
        </w:rPr>
      </w:pPr>
      <w:r>
        <w:tab/>
      </w:r>
      <w:r>
        <w:tab/>
      </w:r>
      <w:r>
        <w:rPr>
          <w:b/>
        </w:rPr>
        <w:t>for each</w:t>
      </w:r>
      <w:r>
        <w:t xml:space="preserve"> </w:t>
      </w:r>
      <w:proofErr w:type="spellStart"/>
      <w:r>
        <w:t>state s</w:t>
      </w:r>
      <w:proofErr w:type="spellEnd"/>
      <w:r>
        <w:t xml:space="preserve"> </w:t>
      </w:r>
      <w:r>
        <w:rPr>
          <w:b/>
        </w:rPr>
        <w:t>in</w:t>
      </w:r>
      <w:r>
        <w:t xml:space="preserve"> S </w:t>
      </w:r>
      <w:r>
        <w:rPr>
          <w:b/>
        </w:rPr>
        <w:t>do</w:t>
      </w:r>
    </w:p>
    <w:p w:rsidR="00467F3E" w:rsidRPr="00467F3E" w:rsidRDefault="00467F3E" w:rsidP="00467F3E">
      <w:r>
        <w:tab/>
      </w:r>
      <w:r>
        <w:tab/>
      </w:r>
      <w:r>
        <w:tab/>
        <w:t>U(s) = R(s) + gamma * (</w:t>
      </w:r>
      <w:r>
        <w:rPr>
          <w:rFonts w:cstheme="minorHAnsi"/>
        </w:rPr>
        <w:t>Σ</w:t>
      </w:r>
      <w:r>
        <w:t>P(s’|</w:t>
      </w:r>
      <w:proofErr w:type="spellStart"/>
      <w:proofErr w:type="gramStart"/>
      <w:r>
        <w:t>s,pi</w:t>
      </w:r>
      <w:proofErr w:type="spellEnd"/>
      <w:proofErr w:type="gramEnd"/>
      <w:r>
        <w:t>[s]) U[s’])</w:t>
      </w:r>
    </w:p>
    <w:p w:rsidR="00467F3E" w:rsidRDefault="00467F3E" w:rsidP="00467F3E">
      <w:r>
        <w:tab/>
      </w:r>
      <w:r>
        <w:rPr>
          <w:b/>
        </w:rPr>
        <w:t xml:space="preserve">until </w:t>
      </w:r>
      <w:r>
        <w:t>K is reached</w:t>
      </w:r>
    </w:p>
    <w:p w:rsidR="00467F3E" w:rsidRDefault="00467F3E" w:rsidP="00467F3E">
      <w:r>
        <w:tab/>
      </w:r>
      <w:r>
        <w:rPr>
          <w:b/>
        </w:rPr>
        <w:t>return</w:t>
      </w:r>
    </w:p>
    <w:p w:rsidR="00467F3E" w:rsidRDefault="004E20FC" w:rsidP="0091742B">
      <w:r>
        <w:t xml:space="preserve">To gather data on whether or not the Modified Policy Iteration algorithm would produce policies that matched those produced by the Value Iteration algorithm, I simply ran my Modified Policy Iteration implementation on the same board that I did for the Value Iteration implementation to confirm that they were the same. To collect data on the times it took to run each algorithm, I ran each algorithm 30 times, recording the time it took for each to run from start </w:t>
      </w:r>
      <w:proofErr w:type="spellStart"/>
      <w:r>
        <w:t>toP</w:t>
      </w:r>
      <w:proofErr w:type="spellEnd"/>
      <w:r>
        <w:t xml:space="preserve"> finish and produce a policy.</w:t>
      </w:r>
    </w:p>
    <w:p w:rsidR="004A3270" w:rsidRDefault="004A3270" w:rsidP="004A3270">
      <w:pPr>
        <w:pStyle w:val="Heading2"/>
        <w:numPr>
          <w:ilvl w:val="0"/>
          <w:numId w:val="1"/>
        </w:numPr>
      </w:pPr>
      <w:r>
        <w:lastRenderedPageBreak/>
        <w:t>Verification of Program</w:t>
      </w:r>
    </w:p>
    <w:p w:rsidR="004A3270" w:rsidRDefault="004A3270" w:rsidP="004A3270">
      <w:r>
        <w:t>I verified my program by running it with the same parameters of the boards shown in R&amp;N on page 648 to see if the policies generated by my algorithm matched the results shown in the book.</w:t>
      </w:r>
    </w:p>
    <w:p w:rsidR="004A3270" w:rsidRDefault="004A3270" w:rsidP="004A3270">
      <w:r>
        <w:rPr>
          <w:noProof/>
        </w:rPr>
        <w:drawing>
          <wp:inline distT="0" distB="0" distL="0" distR="0" wp14:anchorId="509B80DE" wp14:editId="6D98144D">
            <wp:extent cx="4542789"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601" cy="2629661"/>
                    </a:xfrm>
                    <a:prstGeom prst="rect">
                      <a:avLst/>
                    </a:prstGeom>
                  </pic:spPr>
                </pic:pic>
              </a:graphicData>
            </a:graphic>
          </wp:inline>
        </w:drawing>
      </w:r>
      <w:r>
        <w:t>Fig 3. R&amp;N policies</w:t>
      </w:r>
    </w:p>
    <w:p w:rsidR="004A3270" w:rsidRDefault="004A3270" w:rsidP="004A3270">
      <w:r>
        <w:t>The policies of my algorithm for the various R(s) values are shown below. Note that terminal states use ‘1 X’ as a placeholder value:</w:t>
      </w:r>
    </w:p>
    <w:p w:rsidR="004A3270" w:rsidRDefault="004A3270" w:rsidP="004A3270">
      <w:r>
        <w:t>R(s) = -0.04</w:t>
      </w:r>
      <w:r w:rsidR="007803AF">
        <w:tab/>
      </w:r>
      <w:r w:rsidR="007803AF">
        <w:tab/>
      </w:r>
      <w:r w:rsidR="007803AF">
        <w:tab/>
      </w:r>
      <w:r w:rsidR="007803AF">
        <w:tab/>
      </w:r>
      <w:r>
        <w:t xml:space="preserve"> </w:t>
      </w:r>
      <w:r>
        <w:rPr>
          <w:noProof/>
        </w:rPr>
        <w:drawing>
          <wp:inline distT="0" distB="0" distL="0" distR="0" wp14:anchorId="4FF2F839" wp14:editId="518CA732">
            <wp:extent cx="14763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6375" cy="762000"/>
                    </a:xfrm>
                    <a:prstGeom prst="rect">
                      <a:avLst/>
                    </a:prstGeom>
                  </pic:spPr>
                </pic:pic>
              </a:graphicData>
            </a:graphic>
          </wp:inline>
        </w:drawing>
      </w:r>
      <w:r w:rsidR="00480BE5">
        <w:t>Fig 4.</w:t>
      </w:r>
    </w:p>
    <w:p w:rsidR="00F66F90" w:rsidRDefault="00F66F90" w:rsidP="004A3270">
      <w:r>
        <w:t>R(s) = -2.00 / R(s) &lt; -1.6284</w:t>
      </w:r>
      <w:r w:rsidR="00776AA4">
        <w:t xml:space="preserve"> </w:t>
      </w:r>
      <w:r w:rsidR="007803AF">
        <w:tab/>
      </w:r>
      <w:r w:rsidR="007803AF">
        <w:tab/>
      </w:r>
      <w:r w:rsidR="00776AA4">
        <w:rPr>
          <w:noProof/>
        </w:rPr>
        <w:drawing>
          <wp:inline distT="0" distB="0" distL="0" distR="0" wp14:anchorId="6CEA1D56" wp14:editId="054998CC">
            <wp:extent cx="14097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700" cy="733425"/>
                    </a:xfrm>
                    <a:prstGeom prst="rect">
                      <a:avLst/>
                    </a:prstGeom>
                  </pic:spPr>
                </pic:pic>
              </a:graphicData>
            </a:graphic>
          </wp:inline>
        </w:drawing>
      </w:r>
      <w:r w:rsidR="00480BE5">
        <w:t xml:space="preserve"> Fig 5.</w:t>
      </w:r>
    </w:p>
    <w:p w:rsidR="00776AA4" w:rsidRDefault="00776AA4" w:rsidP="004A3270">
      <w:r>
        <w:t xml:space="preserve">R(s) = -0.30 / -0.4278 &lt; R(s) &lt; -0.0850 </w:t>
      </w:r>
      <w:r w:rsidR="007803AF">
        <w:tab/>
      </w:r>
      <w:r>
        <w:rPr>
          <w:noProof/>
        </w:rPr>
        <w:drawing>
          <wp:inline distT="0" distB="0" distL="0" distR="0" wp14:anchorId="6A5B85E8" wp14:editId="34165469">
            <wp:extent cx="14573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7325" cy="723900"/>
                    </a:xfrm>
                    <a:prstGeom prst="rect">
                      <a:avLst/>
                    </a:prstGeom>
                  </pic:spPr>
                </pic:pic>
              </a:graphicData>
            </a:graphic>
          </wp:inline>
        </w:drawing>
      </w:r>
      <w:r w:rsidR="00480BE5">
        <w:t xml:space="preserve"> Fig 6.</w:t>
      </w:r>
    </w:p>
    <w:p w:rsidR="00776AA4" w:rsidRDefault="00776AA4" w:rsidP="004A3270">
      <w:r>
        <w:t xml:space="preserve">R(s) = -0.01 / -0.0221 &lt; R(s) &lt; 0 </w:t>
      </w:r>
      <w:r w:rsidR="007803AF">
        <w:tab/>
      </w:r>
      <w:r w:rsidR="007803AF">
        <w:tab/>
      </w:r>
      <w:r>
        <w:rPr>
          <w:noProof/>
        </w:rPr>
        <w:drawing>
          <wp:inline distT="0" distB="0" distL="0" distR="0" wp14:anchorId="078BACD8" wp14:editId="0940B427">
            <wp:extent cx="139065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723900"/>
                    </a:xfrm>
                    <a:prstGeom prst="rect">
                      <a:avLst/>
                    </a:prstGeom>
                  </pic:spPr>
                </pic:pic>
              </a:graphicData>
            </a:graphic>
          </wp:inline>
        </w:drawing>
      </w:r>
      <w:r w:rsidR="00480BE5">
        <w:t xml:space="preserve"> Fig 7.</w:t>
      </w:r>
    </w:p>
    <w:p w:rsidR="00776AA4" w:rsidRDefault="00776AA4" w:rsidP="004A3270">
      <w:r>
        <w:lastRenderedPageBreak/>
        <w:t xml:space="preserve">R(s) = 2.00 / R(s) &gt; 0 </w:t>
      </w:r>
      <w:r w:rsidR="007803AF">
        <w:tab/>
      </w:r>
      <w:r w:rsidR="007803AF">
        <w:tab/>
      </w:r>
      <w:r w:rsidR="007803AF">
        <w:tab/>
      </w:r>
      <w:r w:rsidR="004B03F3">
        <w:rPr>
          <w:noProof/>
        </w:rPr>
        <w:drawing>
          <wp:inline distT="0" distB="0" distL="0" distR="0" wp14:anchorId="00817491" wp14:editId="2C6C5155">
            <wp:extent cx="127635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6350" cy="714375"/>
                    </a:xfrm>
                    <a:prstGeom prst="rect">
                      <a:avLst/>
                    </a:prstGeom>
                  </pic:spPr>
                </pic:pic>
              </a:graphicData>
            </a:graphic>
          </wp:inline>
        </w:drawing>
      </w:r>
      <w:r w:rsidR="00480BE5">
        <w:t xml:space="preserve"> Fig 8.</w:t>
      </w:r>
    </w:p>
    <w:p w:rsidR="00D67A9C" w:rsidRDefault="00D67A9C" w:rsidP="004A3270">
      <w:r>
        <w:t>In addition, the utilities returned by my algorithm for R(s) = -0.04 also closely match those shown in the book for the same R(s) on page 651.</w:t>
      </w:r>
    </w:p>
    <w:p w:rsidR="00D67A9C" w:rsidRDefault="00D67A9C" w:rsidP="004A3270">
      <w:r>
        <w:rPr>
          <w:noProof/>
        </w:rPr>
        <w:drawing>
          <wp:inline distT="0" distB="0" distL="0" distR="0" wp14:anchorId="32C0B28B" wp14:editId="2DE7EFCB">
            <wp:extent cx="3105150"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733425"/>
                    </a:xfrm>
                    <a:prstGeom prst="rect">
                      <a:avLst/>
                    </a:prstGeom>
                  </pic:spPr>
                </pic:pic>
              </a:graphicData>
            </a:graphic>
          </wp:inline>
        </w:drawing>
      </w:r>
      <w:r>
        <w:rPr>
          <w:noProof/>
        </w:rPr>
        <w:drawing>
          <wp:inline distT="0" distB="0" distL="0" distR="0" wp14:anchorId="7D74D3D1" wp14:editId="53A71BD1">
            <wp:extent cx="1583034" cy="1202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1653" cy="1269347"/>
                    </a:xfrm>
                    <a:prstGeom prst="rect">
                      <a:avLst/>
                    </a:prstGeom>
                  </pic:spPr>
                </pic:pic>
              </a:graphicData>
            </a:graphic>
          </wp:inline>
        </w:drawing>
      </w:r>
      <w:r w:rsidR="00480BE5">
        <w:t xml:space="preserve"> Fig 9(a) and 9(b).</w:t>
      </w:r>
    </w:p>
    <w:p w:rsidR="00D67A9C" w:rsidRDefault="00D67A9C" w:rsidP="004A3270">
      <w:r>
        <w:t>Since my algorithm indeed produced policies and utilities that matched those shown in the book, I conclude that it is correct for the problem at hand.</w:t>
      </w:r>
    </w:p>
    <w:p w:rsidR="00D67A9C" w:rsidRDefault="00D67A9C" w:rsidP="00D67A9C">
      <w:pPr>
        <w:pStyle w:val="Heading2"/>
        <w:numPr>
          <w:ilvl w:val="0"/>
          <w:numId w:val="1"/>
        </w:numPr>
      </w:pPr>
      <w:r>
        <w:t>Data</w:t>
      </w:r>
    </w:p>
    <w:p w:rsidR="00D67A9C" w:rsidRDefault="00D67A9C" w:rsidP="00D67A9C">
      <w:r>
        <w:t>The policy generated by my algorithm for the Wumpus board shown in Fig 1 is as follows:</w:t>
      </w:r>
    </w:p>
    <w:p w:rsidR="00D67A9C" w:rsidRDefault="00D67A9C" w:rsidP="00D67A9C">
      <w:r>
        <w:rPr>
          <w:noProof/>
        </w:rPr>
        <w:drawing>
          <wp:inline distT="0" distB="0" distL="0" distR="0" wp14:anchorId="7F225146" wp14:editId="394CEDBD">
            <wp:extent cx="14382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8275" cy="1009650"/>
                    </a:xfrm>
                    <a:prstGeom prst="rect">
                      <a:avLst/>
                    </a:prstGeom>
                  </pic:spPr>
                </pic:pic>
              </a:graphicData>
            </a:graphic>
          </wp:inline>
        </w:drawing>
      </w:r>
      <w:r w:rsidR="00480BE5">
        <w:t>Fig 10.</w:t>
      </w:r>
    </w:p>
    <w:p w:rsidR="00483082" w:rsidRDefault="00483082" w:rsidP="00D67A9C">
      <w:r>
        <w:t xml:space="preserve">The times recorded </w:t>
      </w:r>
      <w:r w:rsidR="00DA7BED">
        <w:t xml:space="preserve">in seconds </w:t>
      </w:r>
      <w:r>
        <w:t>for 30 runs of the Value Iteration and</w:t>
      </w:r>
      <w:r w:rsidR="004E20FC">
        <w:t xml:space="preserve"> Modified</w:t>
      </w:r>
      <w:r>
        <w:t xml:space="preserve"> Policy Iteration algorithms to generate policies for the Wumpus board in Fig 1 are shown below</w:t>
      </w:r>
      <w:r w:rsidR="00135086">
        <w:t>.</w:t>
      </w:r>
      <w:r w:rsidR="00325D20">
        <w:t xml:space="preserve"> </w:t>
      </w:r>
      <w:r w:rsidR="00135086">
        <w:t>The mean, standard deviation, and 95% confidence interval are also shown</w:t>
      </w:r>
      <w:r>
        <w:t>:</w:t>
      </w:r>
    </w:p>
    <w:tbl>
      <w:tblPr>
        <w:tblStyle w:val="TableGrid"/>
        <w:tblW w:w="0" w:type="auto"/>
        <w:tblLook w:val="04A0" w:firstRow="1" w:lastRow="0" w:firstColumn="1" w:lastColumn="0" w:noHBand="0" w:noVBand="1"/>
      </w:tblPr>
      <w:tblGrid>
        <w:gridCol w:w="1705"/>
        <w:gridCol w:w="1053"/>
        <w:gridCol w:w="1162"/>
      </w:tblGrid>
      <w:tr w:rsidR="005F0CBD" w:rsidRPr="00DA7BED" w:rsidTr="005F0CBD">
        <w:trPr>
          <w:trHeight w:val="288"/>
        </w:trPr>
        <w:tc>
          <w:tcPr>
            <w:tcW w:w="1705" w:type="dxa"/>
          </w:tcPr>
          <w:p w:rsidR="005F0CBD" w:rsidRPr="005F0CBD" w:rsidRDefault="005F0CBD" w:rsidP="00DA7BED">
            <w:pPr>
              <w:rPr>
                <w:b/>
              </w:rPr>
            </w:pPr>
            <w:r w:rsidRPr="005F0CBD">
              <w:rPr>
                <w:b/>
              </w:rPr>
              <w:t>Algorithm</w:t>
            </w:r>
          </w:p>
        </w:tc>
        <w:tc>
          <w:tcPr>
            <w:tcW w:w="1053" w:type="dxa"/>
            <w:noWrap/>
          </w:tcPr>
          <w:p w:rsidR="005F0CBD" w:rsidRPr="00DA7BED" w:rsidRDefault="004E20FC" w:rsidP="00DA7BED">
            <w:r>
              <w:t xml:space="preserve">Modified </w:t>
            </w:r>
            <w:r w:rsidR="005F0CBD">
              <w:t>Policy Iteration</w:t>
            </w:r>
          </w:p>
        </w:tc>
        <w:tc>
          <w:tcPr>
            <w:tcW w:w="1053" w:type="dxa"/>
            <w:vAlign w:val="bottom"/>
          </w:tcPr>
          <w:p w:rsidR="005F0CBD" w:rsidRDefault="005F0CBD" w:rsidP="00DA7BED">
            <w:pPr>
              <w:rPr>
                <w:rFonts w:ascii="Calibri" w:hAnsi="Calibri" w:cs="Calibri"/>
                <w:color w:val="000000"/>
              </w:rPr>
            </w:pPr>
            <w:r>
              <w:rPr>
                <w:rFonts w:ascii="Calibri" w:hAnsi="Calibri" w:cs="Calibri"/>
                <w:color w:val="000000"/>
              </w:rPr>
              <w:t>Value Iteration</w:t>
            </w:r>
          </w:p>
        </w:tc>
      </w:tr>
      <w:tr w:rsidR="005F0CBD" w:rsidRPr="00DA7BED" w:rsidTr="005F0CBD">
        <w:trPr>
          <w:trHeight w:val="288"/>
        </w:trPr>
        <w:tc>
          <w:tcPr>
            <w:tcW w:w="1705" w:type="dxa"/>
          </w:tcPr>
          <w:p w:rsidR="005F0CBD" w:rsidRPr="005F0CBD" w:rsidRDefault="005F0CBD" w:rsidP="00DA7BED">
            <w:pPr>
              <w:rPr>
                <w:b/>
              </w:rPr>
            </w:pPr>
            <w:r w:rsidRPr="005F0CBD">
              <w:rPr>
                <w:b/>
              </w:rPr>
              <w:t>Time (s)</w:t>
            </w:r>
          </w:p>
        </w:tc>
        <w:tc>
          <w:tcPr>
            <w:tcW w:w="1053" w:type="dxa"/>
            <w:noWrap/>
            <w:hideMark/>
          </w:tcPr>
          <w:p w:rsidR="005F0CBD" w:rsidRPr="00DA7BED" w:rsidRDefault="005F0CBD" w:rsidP="00DA7BED">
            <w:r w:rsidRPr="00DA7BED">
              <w:t>0.00467</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0.046531</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0.004469</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0.025985</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0.004222</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0.02373</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0.003686</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0.02733</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0.003078</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0.0251</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0.00272</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0.023194</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0.004622</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0.022799</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0.003068</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0.022985</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0.003072</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0.023762</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0.003251</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0.024531</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0.003345</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0.022623</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0.004099</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0.024971</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0.002609</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0.022816</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0.002572</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0.021946</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0.003644</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0.022197</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0.002866</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0.022193</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0.005192</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0.023604</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0.002978</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0.020817</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0.00258</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0.022207</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0.002387</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0.022941</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0.002893</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0.023102</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0.004495</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0.024015</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0.002393</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0.0226</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0.002321</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0.0219</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0.002332</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0.022075</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0.003156</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0.022837</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0.00481</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0.021824</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0.002489</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0.023109</w:t>
            </w:r>
          </w:p>
        </w:tc>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0.003022</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0.022404</w:t>
            </w:r>
          </w:p>
        </w:tc>
        <w:bookmarkStart w:id="0" w:name="_GoBack"/>
        <w:bookmarkEnd w:id="0"/>
      </w:tr>
      <w:tr w:rsidR="005F0CBD" w:rsidRPr="00DA7BED" w:rsidTr="005F0CBD">
        <w:trPr>
          <w:trHeight w:val="288"/>
        </w:trPr>
        <w:tc>
          <w:tcPr>
            <w:tcW w:w="1705" w:type="dxa"/>
          </w:tcPr>
          <w:p w:rsidR="005F0CBD" w:rsidRPr="00DA7BED" w:rsidRDefault="005F0CBD" w:rsidP="00DA7BED"/>
        </w:tc>
        <w:tc>
          <w:tcPr>
            <w:tcW w:w="1053" w:type="dxa"/>
            <w:noWrap/>
            <w:hideMark/>
          </w:tcPr>
          <w:p w:rsidR="005F0CBD" w:rsidRPr="00DA7BED" w:rsidRDefault="005F0CBD" w:rsidP="00DA7BED">
            <w:r w:rsidRPr="00DA7BED">
              <w:t>0.003101</w:t>
            </w:r>
          </w:p>
        </w:tc>
        <w:tc>
          <w:tcPr>
            <w:tcW w:w="1053" w:type="dxa"/>
            <w:vAlign w:val="bottom"/>
          </w:tcPr>
          <w:p w:rsidR="005F0CBD" w:rsidRDefault="005F0CBD" w:rsidP="00DA7BED">
            <w:pPr>
              <w:jc w:val="right"/>
              <w:rPr>
                <w:rFonts w:ascii="Calibri" w:hAnsi="Calibri" w:cs="Calibri"/>
                <w:color w:val="000000"/>
              </w:rPr>
            </w:pPr>
            <w:r>
              <w:rPr>
                <w:rFonts w:ascii="Calibri" w:hAnsi="Calibri" w:cs="Calibri"/>
                <w:color w:val="000000"/>
              </w:rPr>
              <w:t>0.023306</w:t>
            </w:r>
          </w:p>
        </w:tc>
      </w:tr>
      <w:tr w:rsidR="005F0CBD" w:rsidRPr="00DA7BED" w:rsidTr="005F0CBD">
        <w:trPr>
          <w:trHeight w:val="288"/>
        </w:trPr>
        <w:tc>
          <w:tcPr>
            <w:tcW w:w="1705" w:type="dxa"/>
          </w:tcPr>
          <w:p w:rsidR="005F0CBD" w:rsidRPr="005F0CBD" w:rsidRDefault="005F0CBD" w:rsidP="00DA7BED">
            <w:pPr>
              <w:rPr>
                <w:b/>
              </w:rPr>
            </w:pPr>
            <w:r>
              <w:rPr>
                <w:b/>
              </w:rPr>
              <w:t>Mean</w:t>
            </w:r>
          </w:p>
        </w:tc>
        <w:tc>
          <w:tcPr>
            <w:tcW w:w="1053" w:type="dxa"/>
            <w:noWrap/>
          </w:tcPr>
          <w:p w:rsidR="005F0CBD" w:rsidRPr="005F0CBD" w:rsidRDefault="005F0CBD" w:rsidP="00DA7BED">
            <w:pPr>
              <w:rPr>
                <w:rFonts w:ascii="Calibri" w:hAnsi="Calibri" w:cs="Calibri"/>
                <w:color w:val="000000"/>
              </w:rPr>
            </w:pPr>
            <w:r>
              <w:rPr>
                <w:rFonts w:ascii="Calibri" w:hAnsi="Calibri" w:cs="Calibri"/>
                <w:color w:val="000000"/>
              </w:rPr>
              <w:t>0.003338</w:t>
            </w:r>
          </w:p>
        </w:tc>
        <w:tc>
          <w:tcPr>
            <w:tcW w:w="1053" w:type="dxa"/>
            <w:vAlign w:val="bottom"/>
          </w:tcPr>
          <w:p w:rsidR="005F0CBD" w:rsidRDefault="005F0CBD" w:rsidP="005F0CBD">
            <w:pPr>
              <w:rPr>
                <w:rFonts w:ascii="Calibri" w:hAnsi="Calibri" w:cs="Calibri"/>
                <w:color w:val="000000"/>
              </w:rPr>
            </w:pPr>
            <w:r>
              <w:rPr>
                <w:rFonts w:ascii="Calibri" w:hAnsi="Calibri" w:cs="Calibri"/>
                <w:color w:val="000000"/>
              </w:rPr>
              <w:t>0.023981</w:t>
            </w:r>
          </w:p>
        </w:tc>
      </w:tr>
      <w:tr w:rsidR="005F0CBD" w:rsidRPr="00DA7BED" w:rsidTr="00480BE5">
        <w:trPr>
          <w:trHeight w:val="288"/>
        </w:trPr>
        <w:tc>
          <w:tcPr>
            <w:tcW w:w="1705" w:type="dxa"/>
            <w:tcBorders>
              <w:bottom w:val="single" w:sz="4" w:space="0" w:color="auto"/>
            </w:tcBorders>
          </w:tcPr>
          <w:p w:rsidR="005F0CBD" w:rsidRDefault="005F0CBD" w:rsidP="00DA7BED">
            <w:pPr>
              <w:rPr>
                <w:b/>
              </w:rPr>
            </w:pPr>
            <w:proofErr w:type="spellStart"/>
            <w:r>
              <w:rPr>
                <w:b/>
              </w:rPr>
              <w:t>Std</w:t>
            </w:r>
            <w:proofErr w:type="spellEnd"/>
            <w:r>
              <w:rPr>
                <w:b/>
              </w:rPr>
              <w:t xml:space="preserve"> Deviation</w:t>
            </w:r>
          </w:p>
        </w:tc>
        <w:tc>
          <w:tcPr>
            <w:tcW w:w="1053" w:type="dxa"/>
            <w:tcBorders>
              <w:bottom w:val="single" w:sz="4" w:space="0" w:color="auto"/>
            </w:tcBorders>
            <w:noWrap/>
          </w:tcPr>
          <w:p w:rsidR="005F0CBD" w:rsidRDefault="005F0CBD" w:rsidP="00DA7BED">
            <w:pPr>
              <w:rPr>
                <w:rFonts w:ascii="Calibri" w:hAnsi="Calibri" w:cs="Calibri"/>
                <w:color w:val="000000"/>
              </w:rPr>
            </w:pPr>
            <w:r>
              <w:rPr>
                <w:rFonts w:ascii="Calibri" w:hAnsi="Calibri" w:cs="Calibri"/>
                <w:color w:val="000000"/>
              </w:rPr>
              <w:t>0.000833</w:t>
            </w:r>
          </w:p>
        </w:tc>
        <w:tc>
          <w:tcPr>
            <w:tcW w:w="1053" w:type="dxa"/>
            <w:tcBorders>
              <w:bottom w:val="single" w:sz="4" w:space="0" w:color="auto"/>
            </w:tcBorders>
            <w:vAlign w:val="bottom"/>
          </w:tcPr>
          <w:p w:rsidR="005F0CBD" w:rsidRDefault="005F0CBD" w:rsidP="005F0CBD">
            <w:pPr>
              <w:rPr>
                <w:rFonts w:ascii="Calibri" w:hAnsi="Calibri" w:cs="Calibri"/>
                <w:color w:val="000000"/>
              </w:rPr>
            </w:pPr>
            <w:r>
              <w:rPr>
                <w:rFonts w:ascii="Calibri" w:hAnsi="Calibri" w:cs="Calibri"/>
                <w:color w:val="000000"/>
              </w:rPr>
              <w:t>0.004389</w:t>
            </w:r>
          </w:p>
        </w:tc>
      </w:tr>
      <w:tr w:rsidR="005F0CBD" w:rsidRPr="00DA7BED" w:rsidTr="00480BE5">
        <w:trPr>
          <w:trHeight w:val="288"/>
        </w:trPr>
        <w:tc>
          <w:tcPr>
            <w:tcW w:w="1705" w:type="dxa"/>
            <w:tcBorders>
              <w:bottom w:val="single" w:sz="4" w:space="0" w:color="auto"/>
            </w:tcBorders>
          </w:tcPr>
          <w:p w:rsidR="005F0CBD" w:rsidRDefault="005F0CBD" w:rsidP="005F0CBD">
            <w:pPr>
              <w:rPr>
                <w:b/>
              </w:rPr>
            </w:pPr>
            <w:r>
              <w:rPr>
                <w:b/>
              </w:rPr>
              <w:t>95% Confidence Interval</w:t>
            </w:r>
          </w:p>
        </w:tc>
        <w:tc>
          <w:tcPr>
            <w:tcW w:w="1053" w:type="dxa"/>
            <w:tcBorders>
              <w:bottom w:val="single" w:sz="4" w:space="0" w:color="auto"/>
            </w:tcBorders>
            <w:noWrap/>
          </w:tcPr>
          <w:p w:rsidR="005F0CBD" w:rsidRPr="005F0CBD" w:rsidRDefault="005F0CBD" w:rsidP="005F0CBD">
            <w:pPr>
              <w:rPr>
                <w:rFonts w:ascii="Calibri" w:hAnsi="Calibri" w:cs="Calibri"/>
                <w:color w:val="000000"/>
              </w:rPr>
            </w:pPr>
            <w:r>
              <w:rPr>
                <w:rFonts w:ascii="Calibri" w:hAnsi="Calibri" w:cs="Calibri"/>
                <w:color w:val="000000"/>
              </w:rPr>
              <w:t>0.003338 ±</w:t>
            </w:r>
            <w:r w:rsidRPr="005F0CBD">
              <w:rPr>
                <w:rFonts w:ascii="Calibri" w:hAnsi="Calibri" w:cs="Calibri"/>
                <w:color w:val="000000"/>
              </w:rPr>
              <w:t>2.98e-4</w:t>
            </w:r>
          </w:p>
        </w:tc>
        <w:tc>
          <w:tcPr>
            <w:tcW w:w="1053" w:type="dxa"/>
            <w:tcBorders>
              <w:bottom w:val="single" w:sz="4" w:space="0" w:color="auto"/>
            </w:tcBorders>
            <w:vAlign w:val="bottom"/>
          </w:tcPr>
          <w:p w:rsidR="005F0CBD" w:rsidRDefault="005F0CBD" w:rsidP="005F0CBD">
            <w:pPr>
              <w:rPr>
                <w:rFonts w:ascii="Calibri" w:hAnsi="Calibri" w:cs="Calibri"/>
                <w:color w:val="000000"/>
              </w:rPr>
            </w:pPr>
            <w:r>
              <w:rPr>
                <w:rFonts w:ascii="Calibri" w:hAnsi="Calibri" w:cs="Calibri"/>
                <w:color w:val="000000"/>
              </w:rPr>
              <w:t>0.023981 ±</w:t>
            </w:r>
            <w:r w:rsidR="00135086" w:rsidRPr="00135086">
              <w:rPr>
                <w:rFonts w:ascii="Calibri" w:hAnsi="Calibri" w:cs="Calibri"/>
                <w:color w:val="000000"/>
              </w:rPr>
              <w:t>0.00157</w:t>
            </w:r>
            <w:r w:rsidR="00135086">
              <w:rPr>
                <w:rFonts w:ascii="Calibri" w:hAnsi="Calibri" w:cs="Calibri"/>
                <w:color w:val="000000"/>
              </w:rPr>
              <w:t>1</w:t>
            </w:r>
          </w:p>
        </w:tc>
      </w:tr>
      <w:tr w:rsidR="00480BE5" w:rsidRPr="00DA7BED" w:rsidTr="00480BE5">
        <w:trPr>
          <w:trHeight w:val="288"/>
        </w:trPr>
        <w:tc>
          <w:tcPr>
            <w:tcW w:w="1705" w:type="dxa"/>
            <w:tcBorders>
              <w:top w:val="single" w:sz="4" w:space="0" w:color="auto"/>
              <w:left w:val="nil"/>
              <w:bottom w:val="nil"/>
              <w:right w:val="nil"/>
            </w:tcBorders>
          </w:tcPr>
          <w:p w:rsidR="00480BE5" w:rsidRPr="00480BE5" w:rsidRDefault="00480BE5" w:rsidP="005F0CBD">
            <w:r w:rsidRPr="00480BE5">
              <w:t>Fig 11.</w:t>
            </w:r>
          </w:p>
        </w:tc>
        <w:tc>
          <w:tcPr>
            <w:tcW w:w="1053" w:type="dxa"/>
            <w:tcBorders>
              <w:top w:val="single" w:sz="4" w:space="0" w:color="auto"/>
              <w:left w:val="nil"/>
              <w:bottom w:val="nil"/>
              <w:right w:val="nil"/>
            </w:tcBorders>
            <w:noWrap/>
          </w:tcPr>
          <w:p w:rsidR="00480BE5" w:rsidRDefault="00480BE5" w:rsidP="005F0CBD">
            <w:pPr>
              <w:rPr>
                <w:rFonts w:ascii="Calibri" w:hAnsi="Calibri" w:cs="Calibri"/>
                <w:color w:val="000000"/>
              </w:rPr>
            </w:pPr>
          </w:p>
        </w:tc>
        <w:tc>
          <w:tcPr>
            <w:tcW w:w="1053" w:type="dxa"/>
            <w:tcBorders>
              <w:top w:val="single" w:sz="4" w:space="0" w:color="auto"/>
              <w:left w:val="nil"/>
              <w:bottom w:val="nil"/>
              <w:right w:val="nil"/>
            </w:tcBorders>
            <w:vAlign w:val="bottom"/>
          </w:tcPr>
          <w:p w:rsidR="00480BE5" w:rsidRDefault="00480BE5" w:rsidP="005F0CBD">
            <w:pPr>
              <w:rPr>
                <w:rFonts w:ascii="Calibri" w:hAnsi="Calibri" w:cs="Calibri"/>
                <w:color w:val="000000"/>
              </w:rPr>
            </w:pPr>
          </w:p>
        </w:tc>
      </w:tr>
    </w:tbl>
    <w:p w:rsidR="00483082" w:rsidRDefault="00752DEE" w:rsidP="00752DEE">
      <w:pPr>
        <w:pStyle w:val="Heading2"/>
        <w:numPr>
          <w:ilvl w:val="0"/>
          <w:numId w:val="1"/>
        </w:numPr>
      </w:pPr>
      <w:r>
        <w:t>Analysis</w:t>
      </w:r>
    </w:p>
    <w:p w:rsidR="00752DEE" w:rsidRDefault="00752DEE" w:rsidP="00752DEE">
      <w:r>
        <w:t xml:space="preserve">The fact that my implementation of the </w:t>
      </w:r>
      <w:r w:rsidR="004E20FC">
        <w:t xml:space="preserve">Modified </w:t>
      </w:r>
      <w:r>
        <w:t>Policy Iteration algorithm produces the same policies as the Value Iteration algorithm reveals two things. The first is that I now know</w:t>
      </w:r>
      <w:r w:rsidR="004E20FC">
        <w:t xml:space="preserve"> Modified </w:t>
      </w:r>
      <w:r>
        <w:t xml:space="preserve">Policy Iteration can produce reliable policies. That’s pretty cool. The second is that these two algorithms now contend with each other for the privilege of being called the most efficient policy generator. That’s where my timing data comes in. The results of my timing tests clearly show that </w:t>
      </w:r>
      <w:r w:rsidR="004E20FC">
        <w:t xml:space="preserve">Modified </w:t>
      </w:r>
      <w:r>
        <w:t>Policy Iteration is the faster algorithm</w:t>
      </w:r>
      <w:r w:rsidR="007751F0">
        <w:t xml:space="preserve"> with 95% confidence. </w:t>
      </w:r>
    </w:p>
    <w:p w:rsidR="007751F0" w:rsidRDefault="007751F0" w:rsidP="007751F0">
      <w:pPr>
        <w:pStyle w:val="Heading2"/>
        <w:numPr>
          <w:ilvl w:val="0"/>
          <w:numId w:val="1"/>
        </w:numPr>
      </w:pPr>
      <w:r>
        <w:t>Interpretation</w:t>
      </w:r>
    </w:p>
    <w:p w:rsidR="007751F0" w:rsidRDefault="007751F0" w:rsidP="007751F0">
      <w:r>
        <w:t xml:space="preserve">The results of assignments A7 + A8 reveal that both the Value Iteration and </w:t>
      </w:r>
      <w:r w:rsidR="004E20FC">
        <w:t>M</w:t>
      </w:r>
      <w:r>
        <w:t xml:space="preserve">odified Policy Iteration algorithms are effective ways to generate policies for Wumpus World. However, A8 reveals the Policy Iteration is the more efficient of the two (at least for Wumpus World). </w:t>
      </w:r>
      <w:r w:rsidR="00C707EE">
        <w:t xml:space="preserve">Though the differences are small in this problem, larger problems may reveal more dramatic differences. </w:t>
      </w:r>
    </w:p>
    <w:p w:rsidR="00C707EE" w:rsidRDefault="00C707EE" w:rsidP="00C707EE">
      <w:pPr>
        <w:pStyle w:val="Heading2"/>
        <w:numPr>
          <w:ilvl w:val="0"/>
          <w:numId w:val="1"/>
        </w:numPr>
      </w:pPr>
      <w:r>
        <w:t>Critique</w:t>
      </w:r>
    </w:p>
    <w:p w:rsidR="00C707EE" w:rsidRDefault="00C707EE" w:rsidP="00C707EE">
      <w:r>
        <w:t xml:space="preserve">During this assignment, I spent a large amount of time trying to get Policy Evaluation working by way of solving a system of linear equations. </w:t>
      </w:r>
      <w:r w:rsidR="00467F3E">
        <w:t xml:space="preserve">That original method actually did work for many problems, but failed to accurately solver problems in which the living reward was positive. I then attempted an iterative method and was able to get that working within an hour. My advice to anyone reading this would be to NOT use the system of linear equations method. Definitely use the iterative method </w:t>
      </w:r>
      <w:r w:rsidR="00467F3E">
        <w:lastRenderedPageBreak/>
        <w:t>instead. Further research might be done on larger problems to see the</w:t>
      </w:r>
      <w:r w:rsidR="008F3E31">
        <w:t xml:space="preserve"> difference in computational complexity</w:t>
      </w:r>
      <w:r w:rsidR="00467F3E">
        <w:t xml:space="preserve"> of using Value Iteration over Policy Iteration. </w:t>
      </w:r>
    </w:p>
    <w:p w:rsidR="00467F3E" w:rsidRDefault="00467F3E" w:rsidP="00467F3E">
      <w:pPr>
        <w:pStyle w:val="Heading2"/>
        <w:numPr>
          <w:ilvl w:val="0"/>
          <w:numId w:val="1"/>
        </w:numPr>
      </w:pPr>
      <w:r>
        <w:t>Log</w:t>
      </w:r>
    </w:p>
    <w:p w:rsidR="00467F3E" w:rsidRPr="00467F3E" w:rsidRDefault="00467F3E" w:rsidP="00467F3E">
      <w:r>
        <w:t>I spent approximately 6 hours writing the methods for my code and debugging them. I spent approximately an hour gathering data for analysis and verification. I spent approximately 2 hours writing this lab report.</w:t>
      </w:r>
    </w:p>
    <w:sectPr w:rsidR="00467F3E" w:rsidRPr="00467F3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139" w:rsidRDefault="005D6139" w:rsidP="004E20FC">
      <w:pPr>
        <w:spacing w:after="0" w:line="240" w:lineRule="auto"/>
      </w:pPr>
      <w:r>
        <w:separator/>
      </w:r>
    </w:p>
  </w:endnote>
  <w:endnote w:type="continuationSeparator" w:id="0">
    <w:p w:rsidR="005D6139" w:rsidRDefault="005D6139" w:rsidP="004E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139" w:rsidRDefault="005D6139" w:rsidP="004E20FC">
      <w:pPr>
        <w:spacing w:after="0" w:line="240" w:lineRule="auto"/>
      </w:pPr>
      <w:r>
        <w:separator/>
      </w:r>
    </w:p>
  </w:footnote>
  <w:footnote w:type="continuationSeparator" w:id="0">
    <w:p w:rsidR="005D6139" w:rsidRDefault="005D6139" w:rsidP="004E2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95019"/>
      <w:docPartObj>
        <w:docPartGallery w:val="Page Numbers (Top of Page)"/>
        <w:docPartUnique/>
      </w:docPartObj>
    </w:sdtPr>
    <w:sdtEndPr>
      <w:rPr>
        <w:noProof/>
      </w:rPr>
    </w:sdtEndPr>
    <w:sdtContent>
      <w:p w:rsidR="004E20FC" w:rsidRDefault="004E20FC">
        <w:pPr>
          <w:pStyle w:val="Header"/>
          <w:jc w:val="right"/>
        </w:pPr>
        <w:r>
          <w:fldChar w:fldCharType="begin"/>
        </w:r>
        <w:r>
          <w:instrText xml:space="preserve"> PAGE   \* MERGEFORMAT </w:instrText>
        </w:r>
        <w:r>
          <w:fldChar w:fldCharType="separate"/>
        </w:r>
        <w:r w:rsidR="00480BE5">
          <w:rPr>
            <w:noProof/>
          </w:rPr>
          <w:t>6</w:t>
        </w:r>
        <w:r>
          <w:rPr>
            <w:noProof/>
          </w:rPr>
          <w:fldChar w:fldCharType="end"/>
        </w:r>
      </w:p>
    </w:sdtContent>
  </w:sdt>
  <w:p w:rsidR="004E20FC" w:rsidRDefault="004E20FC">
    <w:pPr>
      <w:pStyle w:val="Header"/>
    </w:pPr>
    <w:r>
      <w:t>Eric Komperud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E2227"/>
    <w:multiLevelType w:val="hybridMultilevel"/>
    <w:tmpl w:val="E07C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F5F9F"/>
    <w:multiLevelType w:val="hybridMultilevel"/>
    <w:tmpl w:val="455C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B4"/>
    <w:rsid w:val="000526F2"/>
    <w:rsid w:val="00067DEF"/>
    <w:rsid w:val="00096354"/>
    <w:rsid w:val="000F5F17"/>
    <w:rsid w:val="00116BB4"/>
    <w:rsid w:val="00135086"/>
    <w:rsid w:val="00325D20"/>
    <w:rsid w:val="00373314"/>
    <w:rsid w:val="00467F3E"/>
    <w:rsid w:val="00480BE5"/>
    <w:rsid w:val="00483082"/>
    <w:rsid w:val="00490D5B"/>
    <w:rsid w:val="004A3270"/>
    <w:rsid w:val="004B03F3"/>
    <w:rsid w:val="004E20FC"/>
    <w:rsid w:val="005D6139"/>
    <w:rsid w:val="005F0CBD"/>
    <w:rsid w:val="00752DEE"/>
    <w:rsid w:val="007751F0"/>
    <w:rsid w:val="00776AA4"/>
    <w:rsid w:val="007803AF"/>
    <w:rsid w:val="007C4B6D"/>
    <w:rsid w:val="00864052"/>
    <w:rsid w:val="008F3E31"/>
    <w:rsid w:val="0091742B"/>
    <w:rsid w:val="00B302FD"/>
    <w:rsid w:val="00C707EE"/>
    <w:rsid w:val="00CE3E23"/>
    <w:rsid w:val="00D67A9C"/>
    <w:rsid w:val="00DA7BED"/>
    <w:rsid w:val="00DB3286"/>
    <w:rsid w:val="00E048E5"/>
    <w:rsid w:val="00E67132"/>
    <w:rsid w:val="00F66F90"/>
    <w:rsid w:val="00F71D47"/>
    <w:rsid w:val="00F73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54C8"/>
  <w15:chartTrackingRefBased/>
  <w15:docId w15:val="{9A425489-20B5-4E52-B116-6F815FE8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BB4"/>
  </w:style>
  <w:style w:type="paragraph" w:styleId="Heading2">
    <w:name w:val="heading 2"/>
    <w:basedOn w:val="Normal"/>
    <w:next w:val="Normal"/>
    <w:link w:val="Heading2Char"/>
    <w:uiPriority w:val="9"/>
    <w:unhideWhenUsed/>
    <w:qFormat/>
    <w:rsid w:val="00116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6BB4"/>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2Char">
    <w:name w:val="Heading 2 Char"/>
    <w:basedOn w:val="DefaultParagraphFont"/>
    <w:link w:val="Heading2"/>
    <w:uiPriority w:val="9"/>
    <w:rsid w:val="00116BB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3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9635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6354"/>
    <w:pPr>
      <w:ind w:left="720"/>
      <w:contextualSpacing/>
    </w:pPr>
  </w:style>
  <w:style w:type="paragraph" w:styleId="Header">
    <w:name w:val="header"/>
    <w:basedOn w:val="Normal"/>
    <w:link w:val="HeaderChar"/>
    <w:uiPriority w:val="99"/>
    <w:unhideWhenUsed/>
    <w:rsid w:val="004E2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0FC"/>
  </w:style>
  <w:style w:type="paragraph" w:styleId="Footer">
    <w:name w:val="footer"/>
    <w:basedOn w:val="Normal"/>
    <w:link w:val="FooterChar"/>
    <w:uiPriority w:val="99"/>
    <w:unhideWhenUsed/>
    <w:rsid w:val="004E2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09716">
      <w:bodyDiv w:val="1"/>
      <w:marLeft w:val="0"/>
      <w:marRight w:val="0"/>
      <w:marTop w:val="0"/>
      <w:marBottom w:val="0"/>
      <w:divBdr>
        <w:top w:val="none" w:sz="0" w:space="0" w:color="auto"/>
        <w:left w:val="none" w:sz="0" w:space="0" w:color="auto"/>
        <w:bottom w:val="none" w:sz="0" w:space="0" w:color="auto"/>
        <w:right w:val="none" w:sz="0" w:space="0" w:color="auto"/>
      </w:divBdr>
    </w:div>
    <w:div w:id="315308346">
      <w:bodyDiv w:val="1"/>
      <w:marLeft w:val="0"/>
      <w:marRight w:val="0"/>
      <w:marTop w:val="0"/>
      <w:marBottom w:val="0"/>
      <w:divBdr>
        <w:top w:val="none" w:sz="0" w:space="0" w:color="auto"/>
        <w:left w:val="none" w:sz="0" w:space="0" w:color="auto"/>
        <w:bottom w:val="none" w:sz="0" w:space="0" w:color="auto"/>
        <w:right w:val="none" w:sz="0" w:space="0" w:color="auto"/>
      </w:divBdr>
    </w:div>
    <w:div w:id="499464516">
      <w:bodyDiv w:val="1"/>
      <w:marLeft w:val="0"/>
      <w:marRight w:val="0"/>
      <w:marTop w:val="0"/>
      <w:marBottom w:val="0"/>
      <w:divBdr>
        <w:top w:val="none" w:sz="0" w:space="0" w:color="auto"/>
        <w:left w:val="none" w:sz="0" w:space="0" w:color="auto"/>
        <w:bottom w:val="none" w:sz="0" w:space="0" w:color="auto"/>
        <w:right w:val="none" w:sz="0" w:space="0" w:color="auto"/>
      </w:divBdr>
    </w:div>
    <w:div w:id="897126914">
      <w:bodyDiv w:val="1"/>
      <w:marLeft w:val="0"/>
      <w:marRight w:val="0"/>
      <w:marTop w:val="0"/>
      <w:marBottom w:val="0"/>
      <w:divBdr>
        <w:top w:val="none" w:sz="0" w:space="0" w:color="auto"/>
        <w:left w:val="none" w:sz="0" w:space="0" w:color="auto"/>
        <w:bottom w:val="none" w:sz="0" w:space="0" w:color="auto"/>
        <w:right w:val="none" w:sz="0" w:space="0" w:color="auto"/>
      </w:divBdr>
    </w:div>
    <w:div w:id="1353650802">
      <w:bodyDiv w:val="1"/>
      <w:marLeft w:val="0"/>
      <w:marRight w:val="0"/>
      <w:marTop w:val="0"/>
      <w:marBottom w:val="0"/>
      <w:divBdr>
        <w:top w:val="none" w:sz="0" w:space="0" w:color="auto"/>
        <w:left w:val="none" w:sz="0" w:space="0" w:color="auto"/>
        <w:bottom w:val="none" w:sz="0" w:space="0" w:color="auto"/>
        <w:right w:val="none" w:sz="0" w:space="0" w:color="auto"/>
      </w:divBdr>
    </w:div>
    <w:div w:id="1393236965">
      <w:bodyDiv w:val="1"/>
      <w:marLeft w:val="0"/>
      <w:marRight w:val="0"/>
      <w:marTop w:val="0"/>
      <w:marBottom w:val="0"/>
      <w:divBdr>
        <w:top w:val="none" w:sz="0" w:space="0" w:color="auto"/>
        <w:left w:val="none" w:sz="0" w:space="0" w:color="auto"/>
        <w:bottom w:val="none" w:sz="0" w:space="0" w:color="auto"/>
        <w:right w:val="none" w:sz="0" w:space="0" w:color="auto"/>
      </w:divBdr>
    </w:div>
    <w:div w:id="1618831562">
      <w:bodyDiv w:val="1"/>
      <w:marLeft w:val="0"/>
      <w:marRight w:val="0"/>
      <w:marTop w:val="0"/>
      <w:marBottom w:val="0"/>
      <w:divBdr>
        <w:top w:val="none" w:sz="0" w:space="0" w:color="auto"/>
        <w:left w:val="none" w:sz="0" w:space="0" w:color="auto"/>
        <w:bottom w:val="none" w:sz="0" w:space="0" w:color="auto"/>
        <w:right w:val="none" w:sz="0" w:space="0" w:color="auto"/>
      </w:divBdr>
    </w:div>
    <w:div w:id="1893272190">
      <w:bodyDiv w:val="1"/>
      <w:marLeft w:val="0"/>
      <w:marRight w:val="0"/>
      <w:marTop w:val="0"/>
      <w:marBottom w:val="0"/>
      <w:divBdr>
        <w:top w:val="none" w:sz="0" w:space="0" w:color="auto"/>
        <w:left w:val="none" w:sz="0" w:space="0" w:color="auto"/>
        <w:bottom w:val="none" w:sz="0" w:space="0" w:color="auto"/>
        <w:right w:val="none" w:sz="0" w:space="0" w:color="auto"/>
      </w:divBdr>
    </w:div>
    <w:div w:id="195848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1400</Words>
  <Characters>6891</Characters>
  <Application>Microsoft Office Word</Application>
  <DocSecurity>0</DocSecurity>
  <Lines>246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Komperud</dc:creator>
  <cp:keywords/>
  <dc:description/>
  <cp:lastModifiedBy>Eric Komperud</cp:lastModifiedBy>
  <cp:revision>13</cp:revision>
  <dcterms:created xsi:type="dcterms:W3CDTF">2017-11-30T02:53:00Z</dcterms:created>
  <dcterms:modified xsi:type="dcterms:W3CDTF">2017-11-30T08:03:00Z</dcterms:modified>
</cp:coreProperties>
</file>