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6F9E2" w14:textId="69B9D9A7" w:rsidR="00A341CF" w:rsidRDefault="00887A9D">
      <w:pPr>
        <w:rPr>
          <w:lang w:val="en-US"/>
        </w:rPr>
      </w:pPr>
      <w:r>
        <w:rPr>
          <w:lang w:val="en-US"/>
        </w:rPr>
        <w:t>Exposure notes:</w:t>
      </w:r>
    </w:p>
    <w:p w14:paraId="702BD6D5" w14:textId="0AAD0386" w:rsidR="00887A9D" w:rsidRDefault="00887A9D" w:rsidP="00887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Reasoning for excluding exposure &gt; 1</w:t>
      </w:r>
    </w:p>
    <w:p w14:paraId="3DFB6447" w14:textId="351CF7EC" w:rsidR="00887A9D" w:rsidRDefault="00887A9D" w:rsidP="00887A9D">
      <w:pPr>
        <w:pStyle w:val="NormalWeb"/>
        <w:ind w:left="720"/>
      </w:pPr>
      <w:r>
        <w:rPr>
          <w:rFonts w:hAnsi="Symbol"/>
        </w:rPr>
        <w:t></w:t>
      </w:r>
      <w:r>
        <w:t xml:space="preserve"> They make up only </w:t>
      </w:r>
      <w:r>
        <w:rPr>
          <w:rStyle w:val="Strong"/>
          <w:rFonts w:eastAsiaTheme="majorEastAsia"/>
        </w:rPr>
        <w:t>0.18 %</w:t>
      </w:r>
      <w:r>
        <w:t xml:space="preserve"> of the dataset.</w:t>
      </w:r>
    </w:p>
    <w:p w14:paraId="7042D633" w14:textId="2EC5FA2B" w:rsidR="00887A9D" w:rsidRDefault="00887A9D" w:rsidP="00887A9D">
      <w:pPr>
        <w:pStyle w:val="NormalWeb"/>
        <w:ind w:left="720"/>
      </w:pPr>
      <w:r>
        <w:rPr>
          <w:rFonts w:hAnsi="Symbol"/>
        </w:rPr>
        <w:t></w:t>
      </w:r>
      <w:r>
        <w:t xml:space="preserve"> They distort the claim rate downward (0.26 → 0.04).</w:t>
      </w:r>
    </w:p>
    <w:p w14:paraId="4F205DA2" w14:textId="3D8DF680" w:rsidR="00887A9D" w:rsidRDefault="00887A9D" w:rsidP="00887A9D">
      <w:pPr>
        <w:pStyle w:val="NormalWeb"/>
        <w:ind w:left="720"/>
      </w:pPr>
      <w:r>
        <w:rPr>
          <w:rFonts w:hAnsi="Symbol"/>
        </w:rPr>
        <w:t></w:t>
      </w:r>
      <w:r>
        <w:t xml:space="preserve"> One-year exposure is the standard actuarial unit used for frequency modelling.</w:t>
      </w:r>
    </w:p>
    <w:p w14:paraId="5F7072B1" w14:textId="01937299" w:rsidR="00887A9D" w:rsidRPr="00887A9D" w:rsidRDefault="00887A9D" w:rsidP="00887A9D">
      <w:pPr>
        <w:pStyle w:val="NormalWeb"/>
      </w:pPr>
      <w:r w:rsidRPr="00887A9D">
        <w:rPr>
          <w:b/>
          <w:bCs/>
        </w:rPr>
        <w:t>Claim rate difference</w:t>
      </w:r>
    </w:p>
    <w:p w14:paraId="77ECCA5D" w14:textId="77777777" w:rsidR="00887A9D" w:rsidRPr="00887A9D" w:rsidRDefault="00887A9D" w:rsidP="00887A9D">
      <w:pPr>
        <w:pStyle w:val="NormalWeb"/>
        <w:numPr>
          <w:ilvl w:val="0"/>
          <w:numId w:val="2"/>
        </w:numPr>
      </w:pPr>
      <w:r w:rsidRPr="00887A9D">
        <w:t xml:space="preserve">For 1-year (or shorter) policies, the </w:t>
      </w:r>
      <w:r w:rsidRPr="00887A9D">
        <w:rPr>
          <w:b/>
          <w:bCs/>
        </w:rPr>
        <w:t>average claim rate per year is ≈ 0.26</w:t>
      </w:r>
      <w:r w:rsidRPr="00887A9D">
        <w:t>.</w:t>
      </w:r>
    </w:p>
    <w:p w14:paraId="521C385C" w14:textId="77777777" w:rsidR="00887A9D" w:rsidRPr="00887A9D" w:rsidRDefault="00887A9D" w:rsidP="00887A9D">
      <w:pPr>
        <w:pStyle w:val="NormalWeb"/>
        <w:numPr>
          <w:ilvl w:val="0"/>
          <w:numId w:val="2"/>
        </w:numPr>
      </w:pPr>
      <w:r w:rsidRPr="00887A9D">
        <w:t xml:space="preserve">For &gt; 1-year policies, it’s </w:t>
      </w:r>
      <w:r w:rsidRPr="00887A9D">
        <w:rPr>
          <w:b/>
          <w:bCs/>
        </w:rPr>
        <w:t>≈ 0.04</w:t>
      </w:r>
      <w:r w:rsidRPr="00887A9D">
        <w:t xml:space="preserve"> — about </w:t>
      </w:r>
      <w:r w:rsidRPr="00887A9D">
        <w:rPr>
          <w:b/>
          <w:bCs/>
        </w:rPr>
        <w:t>6–7 times lower</w:t>
      </w:r>
      <w:r w:rsidRPr="00887A9D">
        <w:t>.</w:t>
      </w:r>
    </w:p>
    <w:p w14:paraId="1FAB14E3" w14:textId="77777777" w:rsidR="00887A9D" w:rsidRPr="00887A9D" w:rsidRDefault="00887A9D" w:rsidP="00887A9D">
      <w:pPr>
        <w:pStyle w:val="NormalWeb"/>
        <w:numPr>
          <w:ilvl w:val="0"/>
          <w:numId w:val="2"/>
        </w:numPr>
      </w:pPr>
      <w:r w:rsidRPr="00887A9D">
        <w:t xml:space="preserve">This gap is </w:t>
      </w:r>
      <w:r w:rsidRPr="00887A9D">
        <w:rPr>
          <w:i/>
          <w:iCs/>
        </w:rPr>
        <w:t>too large</w:t>
      </w:r>
      <w:r w:rsidRPr="00887A9D">
        <w:t xml:space="preserve"> to be a real difference in risk; it’s almost certainly a </w:t>
      </w:r>
      <w:r w:rsidRPr="00887A9D">
        <w:rPr>
          <w:b/>
          <w:bCs/>
        </w:rPr>
        <w:t>measurement distortion</w:t>
      </w:r>
      <w:r w:rsidRPr="00887A9D">
        <w:t xml:space="preserve"> caused by how exposure is defined.</w:t>
      </w:r>
    </w:p>
    <w:p w14:paraId="014D1EC9" w14:textId="77777777" w:rsidR="00887A9D" w:rsidRPr="00887A9D" w:rsidRDefault="00887A9D" w:rsidP="00887A9D">
      <w:pPr>
        <w:pStyle w:val="NormalWeb"/>
        <w:ind w:left="720"/>
      </w:pPr>
      <w:r w:rsidRPr="00887A9D">
        <w:t>Why? Because:</w:t>
      </w:r>
    </w:p>
    <w:p w14:paraId="06A2C217" w14:textId="77777777" w:rsidR="00887A9D" w:rsidRPr="00887A9D" w:rsidRDefault="00887A9D" w:rsidP="00887A9D">
      <w:pPr>
        <w:pStyle w:val="NormalWeb"/>
        <w:numPr>
          <w:ilvl w:val="0"/>
          <w:numId w:val="3"/>
        </w:numPr>
      </w:pPr>
      <w:r w:rsidRPr="00887A9D">
        <w:t>Claim rate = Claims / Exposure.</w:t>
      </w:r>
    </w:p>
    <w:p w14:paraId="2CFCA142" w14:textId="77777777" w:rsidR="00887A9D" w:rsidRPr="00887A9D" w:rsidRDefault="00887A9D" w:rsidP="00887A9D">
      <w:pPr>
        <w:pStyle w:val="NormalWeb"/>
        <w:numPr>
          <w:ilvl w:val="0"/>
          <w:numId w:val="3"/>
        </w:numPr>
      </w:pPr>
      <w:r w:rsidRPr="00887A9D">
        <w:t>When exposure doubles (2 years), the denominator doubles, but the number of claims doesn’t necessarily double — so the rate looks artificially small.</w:t>
      </w:r>
    </w:p>
    <w:p w14:paraId="0BCD311D" w14:textId="77777777" w:rsidR="003927FA" w:rsidRDefault="00887A9D" w:rsidP="00887A9D">
      <w:pPr>
        <w:pStyle w:val="NormalWeb"/>
        <w:numPr>
          <w:ilvl w:val="0"/>
          <w:numId w:val="3"/>
        </w:numPr>
      </w:pPr>
      <w:r w:rsidRPr="00887A9D">
        <w:t xml:space="preserve">That means the &gt; 1-year records break the assumption that “claim rate ≈ risk per unit </w:t>
      </w:r>
    </w:p>
    <w:p w14:paraId="374E02B8" w14:textId="62CDCA0D" w:rsidR="00887A9D" w:rsidRPr="003927FA" w:rsidRDefault="00887A9D" w:rsidP="00887A9D">
      <w:pPr>
        <w:pStyle w:val="NormalWeb"/>
        <w:numPr>
          <w:ilvl w:val="0"/>
          <w:numId w:val="3"/>
        </w:numPr>
        <w:rPr>
          <w:rStyle w:val="Heading1Char"/>
        </w:rPr>
      </w:pPr>
      <w:r w:rsidRPr="00887A9D">
        <w:t>time.”</w:t>
      </w:r>
    </w:p>
    <w:p w14:paraId="49D0486F" w14:textId="029F3E3D" w:rsidR="003927FA" w:rsidRDefault="003927FA" w:rsidP="003927FA">
      <w:pPr>
        <w:pStyle w:val="Heading1"/>
      </w:pPr>
      <w:r>
        <w:t xml:space="preserve">EDA  </w:t>
      </w:r>
    </w:p>
    <w:p w14:paraId="13DA103A" w14:textId="0A7BDA53" w:rsidR="003927FA" w:rsidRDefault="003927FA" w:rsidP="003927FA">
      <w:pPr>
        <w:pStyle w:val="NormalWeb"/>
        <w:ind w:left="720"/>
      </w:pPr>
      <w:r>
        <w:t xml:space="preserve">1.Target variable </w:t>
      </w:r>
    </w:p>
    <w:p w14:paraId="54C64FDF" w14:textId="22226736" w:rsidR="003927FA" w:rsidRDefault="003927FA" w:rsidP="003927FA">
      <w:pPr>
        <w:pStyle w:val="NormalWeb"/>
        <w:ind w:left="720"/>
      </w:pPr>
      <w:r w:rsidRPr="003927FA">
        <w:drawing>
          <wp:inline distT="0" distB="0" distL="0" distR="0" wp14:anchorId="1CDE5843" wp14:editId="00E8172D">
            <wp:extent cx="5731510" cy="3023870"/>
            <wp:effectExtent l="0" t="0" r="2540" b="5080"/>
            <wp:docPr id="1649115126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15126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0373" w14:textId="47C6D3ED" w:rsidR="003927FA" w:rsidRDefault="003927FA" w:rsidP="003927FA">
      <w:pPr>
        <w:pStyle w:val="NormalWeb"/>
        <w:ind w:left="720"/>
        <w:rPr>
          <w:lang w:val="en-DK"/>
        </w:rPr>
      </w:pPr>
      <w:r w:rsidRPr="003927FA">
        <w:rPr>
          <w:lang w:val="en-DK"/>
        </w:rPr>
        <w:lastRenderedPageBreak/>
        <w:t>The target variable (</w:t>
      </w:r>
      <w:proofErr w:type="spellStart"/>
      <w:r w:rsidRPr="003927FA">
        <w:rPr>
          <w:lang w:val="en-DK"/>
        </w:rPr>
        <w:t>ClaimNb</w:t>
      </w:r>
      <w:proofErr w:type="spellEnd"/>
      <w:r w:rsidRPr="003927FA">
        <w:rPr>
          <w:lang w:val="en-DK"/>
        </w:rPr>
        <w:t>) is extremely sparse, with approximately 95% of policies having zero claims and an average claim count of only 0.05.</w:t>
      </w:r>
      <w:r w:rsidRPr="003927FA">
        <w:rPr>
          <w:lang w:val="en-DK"/>
        </w:rPr>
        <w:br/>
        <w:t>This strong zero-inflation and likely overdispersion indicate that a simple Poisson model would suffer from high bias, as it assumes equal mean and variance.</w:t>
      </w:r>
      <w:r w:rsidRPr="003927FA">
        <w:rPr>
          <w:lang w:val="en-DK"/>
        </w:rPr>
        <w:br/>
        <w:t>Therefore, more flexible count models such as the Negative Binomial or Tweedie distribution are expected to better capture the data structure without excessive variance.</w:t>
      </w:r>
    </w:p>
    <w:p w14:paraId="54E2B6E9" w14:textId="76F097F0" w:rsidR="008D1222" w:rsidRDefault="008D1222" w:rsidP="003927FA">
      <w:pPr>
        <w:pStyle w:val="NormalWeb"/>
        <w:ind w:left="720"/>
      </w:pPr>
      <w:r w:rsidRPr="008D1222">
        <w:drawing>
          <wp:inline distT="0" distB="0" distL="0" distR="0" wp14:anchorId="0701DA56" wp14:editId="12E3A74B">
            <wp:extent cx="5731510" cy="3794760"/>
            <wp:effectExtent l="0" t="0" r="2540" b="0"/>
            <wp:docPr id="126206719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67192" name="Picture 1" descr="A screen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6D44" w14:textId="77777777" w:rsidR="00C475D8" w:rsidRDefault="00C475D8" w:rsidP="003927FA">
      <w:pPr>
        <w:pStyle w:val="NormalWeb"/>
        <w:ind w:left="720"/>
      </w:pPr>
    </w:p>
    <w:p w14:paraId="3BB84CF6" w14:textId="3B9B35D9" w:rsidR="00C475D8" w:rsidRDefault="00DC7EA9" w:rsidP="003927FA">
      <w:pPr>
        <w:pStyle w:val="NormalWeb"/>
        <w:ind w:left="720"/>
      </w:pPr>
      <w:proofErr w:type="spellStart"/>
      <w:r>
        <w:t>Hetamap</w:t>
      </w:r>
      <w:proofErr w:type="spellEnd"/>
      <w:r>
        <w:t>.</w:t>
      </w:r>
    </w:p>
    <w:p w14:paraId="2162FFE3" w14:textId="70F37FB2" w:rsidR="00DC7EA9" w:rsidRDefault="00DC7EA9" w:rsidP="003927FA">
      <w:pPr>
        <w:pStyle w:val="NormalWeb"/>
        <w:ind w:left="720"/>
      </w:pPr>
      <w:r w:rsidRPr="00DC7EA9">
        <w:drawing>
          <wp:inline distT="0" distB="0" distL="0" distR="0" wp14:anchorId="4876C155" wp14:editId="315459DE">
            <wp:extent cx="5731510" cy="1877695"/>
            <wp:effectExtent l="0" t="0" r="2540" b="8255"/>
            <wp:docPr id="1811878373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78373" name="Picture 1" descr="A screen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7437" w14:textId="3F35B46A" w:rsidR="00C475D8" w:rsidRDefault="00C475D8" w:rsidP="003927FA">
      <w:pPr>
        <w:pStyle w:val="NormalWeb"/>
        <w:ind w:left="720"/>
      </w:pPr>
      <w:r w:rsidRPr="00C475D8">
        <w:lastRenderedPageBreak/>
        <w:drawing>
          <wp:inline distT="0" distB="0" distL="0" distR="0" wp14:anchorId="0A572F69" wp14:editId="56255FFB">
            <wp:extent cx="5731510" cy="4805045"/>
            <wp:effectExtent l="0" t="0" r="2540" b="0"/>
            <wp:docPr id="1765332771" name="Picture 1" descr="A screen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32771" name="Picture 1" descr="A screenshot of a black and white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A1C3" w14:textId="4A925133" w:rsidR="00C475D8" w:rsidRDefault="00C475D8" w:rsidP="003927FA">
      <w:pPr>
        <w:pStyle w:val="NormalWeb"/>
        <w:ind w:left="720"/>
      </w:pPr>
      <w:r w:rsidRPr="00C475D8">
        <w:lastRenderedPageBreak/>
        <w:drawing>
          <wp:inline distT="0" distB="0" distL="0" distR="0" wp14:anchorId="6A420092" wp14:editId="435DF947">
            <wp:extent cx="5731510" cy="4595495"/>
            <wp:effectExtent l="0" t="0" r="2540" b="0"/>
            <wp:docPr id="719235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350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2AFC" w14:textId="4DC78952" w:rsidR="00C475D8" w:rsidRDefault="00C475D8" w:rsidP="003927FA">
      <w:pPr>
        <w:pStyle w:val="NormalWeb"/>
        <w:ind w:left="720"/>
      </w:pPr>
      <w:r w:rsidRPr="00C475D8">
        <w:drawing>
          <wp:inline distT="0" distB="0" distL="0" distR="0" wp14:anchorId="7AEC004D" wp14:editId="5C770530">
            <wp:extent cx="5731510" cy="3047365"/>
            <wp:effectExtent l="0" t="0" r="2540" b="635"/>
            <wp:docPr id="180214495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4495" name="Picture 1" descr="A screen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809E" w14:textId="0EAEB8FE" w:rsidR="00C475D8" w:rsidRDefault="00C475D8" w:rsidP="003927FA">
      <w:pPr>
        <w:pStyle w:val="NormalWeb"/>
        <w:ind w:left="720"/>
      </w:pPr>
      <w:r w:rsidRPr="00C475D8">
        <w:lastRenderedPageBreak/>
        <w:drawing>
          <wp:inline distT="0" distB="0" distL="0" distR="0" wp14:anchorId="5FFB989A" wp14:editId="3349B782">
            <wp:extent cx="5731510" cy="3254375"/>
            <wp:effectExtent l="0" t="0" r="2540" b="3175"/>
            <wp:docPr id="2870676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6762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36C1" w14:textId="77777777" w:rsidR="00887A9D" w:rsidRPr="00887A9D" w:rsidRDefault="00887A9D" w:rsidP="00887A9D">
      <w:pPr>
        <w:rPr>
          <w:lang w:val="en-US"/>
        </w:rPr>
      </w:pPr>
    </w:p>
    <w:sectPr w:rsidR="00887A9D" w:rsidRPr="0088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8481C"/>
    <w:multiLevelType w:val="multilevel"/>
    <w:tmpl w:val="3AFC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740A3"/>
    <w:multiLevelType w:val="multilevel"/>
    <w:tmpl w:val="F748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B0805"/>
    <w:multiLevelType w:val="hybridMultilevel"/>
    <w:tmpl w:val="885A45A6"/>
    <w:lvl w:ilvl="0" w:tplc="4A1A33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957683">
    <w:abstractNumId w:val="2"/>
  </w:num>
  <w:num w:numId="2" w16cid:durableId="589706195">
    <w:abstractNumId w:val="0"/>
  </w:num>
  <w:num w:numId="3" w16cid:durableId="1381050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9B"/>
    <w:rsid w:val="00045429"/>
    <w:rsid w:val="002C4B9B"/>
    <w:rsid w:val="003927FA"/>
    <w:rsid w:val="007638BD"/>
    <w:rsid w:val="00887A9D"/>
    <w:rsid w:val="008D1222"/>
    <w:rsid w:val="00A341CF"/>
    <w:rsid w:val="00C475D8"/>
    <w:rsid w:val="00DC7EA9"/>
    <w:rsid w:val="00D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86404"/>
  <w15:chartTrackingRefBased/>
  <w15:docId w15:val="{937CDB28-DF9D-454A-A894-B25A04F4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B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7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DK" w:eastAsia="en-DK"/>
      <w14:ligatures w14:val="none"/>
    </w:rPr>
  </w:style>
  <w:style w:type="character" w:styleId="Strong">
    <w:name w:val="Strong"/>
    <w:basedOn w:val="DefaultParagraphFont"/>
    <w:uiPriority w:val="22"/>
    <w:qFormat/>
    <w:rsid w:val="00887A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228</Words>
  <Characters>1113</Characters>
  <Application>Microsoft Office Word</Application>
  <DocSecurity>0</DocSecurity>
  <Lines>29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Petrova Boneva</dc:creator>
  <cp:keywords/>
  <dc:description/>
  <cp:lastModifiedBy>Stella Petrova Boneva</cp:lastModifiedBy>
  <cp:revision>1</cp:revision>
  <dcterms:created xsi:type="dcterms:W3CDTF">2025-10-09T09:44:00Z</dcterms:created>
  <dcterms:modified xsi:type="dcterms:W3CDTF">2025-10-15T12:07:00Z</dcterms:modified>
</cp:coreProperties>
</file>