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4"/>
          </w:tcPr>
          <w:p>
            <w:pPr>
              <w:jc w:val="center"/>
            </w:pPr>
            <w:r>
              <w:rPr>
                <w:color w:val="4169E1"/>
              </w:rPr>
              <w:t xml:space="preserve"> II.ASPECTOS LEGALES </w:t>
            </w:r>
          </w:p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Legalización de la fuente hídrica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Autorización de uso y aprovechamiento del agua para riego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Caudal total autorizado para riego (l/s)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p/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2.2 Personería jurídica otorgada </w:t>
                  </w:r>
                </w:p>
              </w:tc>
            </w:tr>
            <w:tr>
              <w:trPr/>
              <w:tc>
                <w:tcPr>
                  <w:tcW w:w="" w:type="dxa"/>
                  <w:gridSpan w:val="4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Estatuto aprobados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Institución que aprobó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2017-12-07T04:14:54+00:00</dcterms:created>
  <dcterms:modified xsi:type="dcterms:W3CDTF">2017-12-07T04:14:54+00:00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