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r w:type="page"/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  <w:r>
              <w:t>2.2 Personería jurídica otorgada </w:t>
            </w:r>
            <w:r/>
          </w:p>
        </w:tc>
      </w:tr>
      <w:tr>
        <w:tc>
          <w:tcPr>
            <w:tcW w:w="4785" w:type="dxa"/>
          </w:tcPr>
          <w:p>
            <w:pPr/>
          </w:p>
        </w:tc>
        <w:tc>
          <w:tcPr>
            <w:tcW w:w="4785" w:type="dxa"/>
          </w:tcPr>
          <w:p>
            <w:pPr/>
            <w:r>
              <w:t>Estatuto aprobados  </w:t>
            </w:r>
            <w:r/>
          </w:p>
        </w:tc>
        <w:tc>
          <w:tcPr>
            <w:tcW w:w="4785" w:type="dxa"/>
          </w:tcPr>
          <w:p>
            <w:pPr/>
          </w:p>
        </w:tc>
        <w:tc>
          <w:tcPr>
            <w:tcW w:w="4785" w:type="dxa"/>
          </w:tcPr>
          <w:p>
            <w:pPr/>
            <w:r>
              <w:t>Institución que aprobó </w:t>
            </w:r>
            <w:r/>
          </w:p>
        </w:tc>
        <w:tc>
          <w:tcPr>
            <w:tcW w:w="4785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