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744"/>
          <w:sz w:val="56"/>
        </w:rPr>
        <w:t>SOVEREIGN AML</w:t>
      </w:r>
    </w:p>
    <w:p>
      <w:pPr>
        <w:jc w:val="center"/>
      </w:pPr>
      <w:r>
        <w:rPr>
          <w:color w:val="345E8A"/>
          <w:sz w:val="28"/>
        </w:rPr>
        <w:t>Analytical Intelligence Platform — Documentación Técnica</w:t>
      </w:r>
    </w:p>
    <w:p/>
    <w:p>
      <w:pPr>
        <w:jc w:val="center"/>
      </w:pPr>
      <w:r>
        <w:rPr>
          <w:sz w:val="20"/>
        </w:rPr>
        <w:t>Versión 3.0  ·  11 de May de 2026</w:t>
      </w:r>
    </w:p>
    <w:p>
      <w:pPr>
        <w:jc w:val="center"/>
      </w:pPr>
      <w:r>
        <w:rPr>
          <w:color w:val="555E6D"/>
          <w:sz w:val="20"/>
        </w:rPr>
        <w:t>Ing. Hobéd Díaz — Msc. M.A.F.I</w:t>
      </w:r>
    </w:p>
    <w:p>
      <w:r>
        <w:br w:type="page"/>
      </w:r>
    </w:p>
    <w:p>
      <w:pPr>
        <w:pStyle w:val="Heading1"/>
      </w:pPr>
      <w:r>
        <w:rPr>
          <w:color w:val="1A2744"/>
        </w:rPr>
        <w:t>1. Introducción</w:t>
      </w:r>
    </w:p>
    <w:p>
      <w:r>
        <w:rPr>
          <w:sz w:val="21"/>
        </w:rPr>
        <w:t>SOVEREIGN AML es una solución integral de inteligencia analítica y cumplimiento normativo de última generación. A diferencia de las herramientas reactivas tradicionales, esta plataforma utiliza análisis de datos avanzado y modelos de grafos para transformar el monitoreo de riesgos en oportunidades estratégicas de negocio, integrando estándares internacionales como ISO 31000 y el enfoque basado en riesgo (RBA) del GAFI.</w:t>
      </w:r>
    </w:p>
    <w:p>
      <w:r>
        <w:rPr>
          <w:sz w:val="21"/>
        </w:rPr>
        <w:t>La plataforma está dirigida a oficiales de cumplimiento, analistas AML y supervisores operativos que requieren una herramienta de alta fidelidad para el procesamiento de datos transaccionales complejos y la visualización de redes de lavado de activos.</w:t>
      </w:r>
    </w:p>
    <w:p>
      <w:pPr>
        <w:pStyle w:val="Heading1"/>
      </w:pPr>
      <w:r>
        <w:rPr>
          <w:color w:val="1A2744"/>
        </w:rPr>
        <w:t>2. Requisitos del Sistema</w:t>
      </w:r>
    </w:p>
    <w:p>
      <w:pPr>
        <w:pStyle w:val="Heading2"/>
      </w:pPr>
      <w:r>
        <w:rPr>
          <w:color w:val="1E3A5F"/>
        </w:rPr>
        <w:t>2.1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1984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Versión mínima</w:t>
            </w:r>
          </w:p>
        </w:tc>
        <w:tc>
          <w:tcPr>
            <w:tcW w:type="dxa" w:w="5102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3.9+</w:t>
            </w:r>
          </w:p>
        </w:tc>
        <w:tc>
          <w:tcPr>
            <w:tcW w:type="dxa" w:w="510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Lenguaje base del sistema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1.30+</w:t>
            </w:r>
          </w:p>
        </w:tc>
        <w:tc>
          <w:tcPr>
            <w:tcW w:type="dxa" w:w="5102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Framework de interfaz web premium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2.0+</w:t>
            </w:r>
          </w:p>
        </w:tc>
        <w:tc>
          <w:tcPr>
            <w:tcW w:type="dxa" w:w="510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Procesamiento de datos vectoriales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plotly</w:t>
            </w:r>
          </w:p>
        </w:tc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5.0+</w:t>
            </w:r>
          </w:p>
        </w:tc>
        <w:tc>
          <w:tcPr>
            <w:tcW w:type="dxa" w:w="5102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Visualizaciones interactivas de alta densidad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networkx</w:t>
            </w:r>
          </w:p>
        </w:tc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3.0+</w:t>
            </w:r>
          </w:p>
        </w:tc>
        <w:tc>
          <w:tcPr>
            <w:tcW w:type="dxa" w:w="510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Motor de análisis de grafos y redes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1.24+</w:t>
            </w:r>
          </w:p>
        </w:tc>
        <w:tc>
          <w:tcPr>
            <w:tcW w:type="dxa" w:w="5102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Cálculos numéricos y estadísticos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openpyxl</w:t>
            </w:r>
          </w:p>
        </w:tc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3.1+</w:t>
            </w:r>
          </w:p>
        </w:tc>
        <w:tc>
          <w:tcPr>
            <w:tcW w:type="dxa" w:w="510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Lectura de archivos Excel (.xlsx)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1.0+</w:t>
            </w:r>
          </w:p>
        </w:tc>
        <w:tc>
          <w:tcPr>
            <w:tcW w:type="dxa" w:w="5102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Generación de documentación (.docx)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requests</w:t>
            </w:r>
          </w:p>
        </w:tc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2.28+</w:t>
            </w:r>
          </w:p>
        </w:tc>
        <w:tc>
          <w:tcPr>
            <w:tcW w:type="dxa" w:w="510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Integración con API de Autenticación y IA</w:t>
            </w:r>
          </w:p>
        </w:tc>
      </w:tr>
    </w:tbl>
    <w:p>
      <w:pPr>
        <w:pStyle w:val="Heading2"/>
      </w:pPr>
      <w:r>
        <w:rPr>
          <w:color w:val="1E3A5F"/>
        </w:rPr>
        <w:t>2.2 Archivo de Entrada</w:t>
      </w:r>
    </w:p>
    <w:p>
      <w:r>
        <w:rPr>
          <w:sz w:val="21"/>
        </w:rPr>
        <w:t>La plataforma requiere un archivo Excel (.xlsx) con la siguiente estructura extendida: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Columna</w:t>
            </w:r>
          </w:p>
        </w:tc>
        <w:tc>
          <w:tcPr>
            <w:tcW w:type="dxa" w:w="1701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5669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Fecha</w:t>
            </w:r>
          </w:p>
        </w:tc>
        <w:tc>
          <w:tcPr>
            <w:tcW w:type="dxa" w:w="1701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Fecha</w:t>
            </w:r>
          </w:p>
        </w:tc>
        <w:tc>
          <w:tcPr>
            <w:tcW w:type="dxa" w:w="5669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Fecha de la transacción (YYYY-MM-DD)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701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Texto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Identificador único del cliente origen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Monto</w:t>
            </w:r>
          </w:p>
        </w:tc>
        <w:tc>
          <w:tcPr>
            <w:tcW w:type="dxa" w:w="1701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Numérico</w:t>
            </w:r>
          </w:p>
        </w:tc>
        <w:tc>
          <w:tcPr>
            <w:tcW w:type="dxa" w:w="5669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Monto de la transacción (Q)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Perfil</w:t>
            </w:r>
          </w:p>
        </w:tc>
        <w:tc>
          <w:tcPr>
            <w:tcW w:type="dxa" w:w="1701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Numérico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Límite esperado de actividad (Q)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EsPEP</w:t>
            </w:r>
          </w:p>
        </w:tc>
        <w:tc>
          <w:tcPr>
            <w:tcW w:type="dxa" w:w="1701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Booleano</w:t>
            </w:r>
          </w:p>
        </w:tc>
        <w:tc>
          <w:tcPr>
            <w:tcW w:type="dxa" w:w="5669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Persona Expuesta Políticamente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EsCPE</w:t>
            </w:r>
          </w:p>
        </w:tc>
        <w:tc>
          <w:tcPr>
            <w:tcW w:type="dxa" w:w="1701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Booleano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Contratista o Proveedor del Estado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Ubicacion</w:t>
            </w:r>
          </w:p>
        </w:tc>
        <w:tc>
          <w:tcPr>
            <w:tcW w:type="dxa" w:w="1701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Texto</w:t>
            </w:r>
          </w:p>
        </w:tc>
        <w:tc>
          <w:tcPr>
            <w:tcW w:type="dxa" w:w="5669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Departamento o municipio de origen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Cliente_Destino</w:t>
            </w:r>
          </w:p>
        </w:tc>
        <w:tc>
          <w:tcPr>
            <w:tcW w:type="dxa" w:w="1701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Texto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Requerido para el análisis de Red Transaccional</w:t>
            </w:r>
          </w:p>
        </w:tc>
      </w:tr>
    </w:tbl>
    <w:p>
      <w:pPr>
        <w:pStyle w:val="Heading1"/>
      </w:pPr>
      <w:r>
        <w:rPr>
          <w:color w:val="1A2744"/>
        </w:rPr>
        <w:t>3. Instalación y Configuración</w:t>
      </w:r>
    </w:p>
    <w:p>
      <w:pPr>
        <w:pStyle w:val="Heading2"/>
      </w:pPr>
      <w:r>
        <w:rPr>
          <w:color w:val="1E3A5F"/>
        </w:rPr>
        <w:t>3.1 Instalación de Dependencias</w:t>
      </w:r>
    </w:p>
    <w:p>
      <w:r>
        <w:rPr>
          <w:sz w:val="21"/>
        </w:rPr>
        <w:t>Ejecutar el siguiente comando para preparar el entorno:</w:t>
      </w:r>
    </w:p>
    <w:p>
      <w:r>
        <w:rPr>
          <w:rFonts w:ascii="Courier New" w:hAnsi="Courier New"/>
          <w:color w:val="0D6EFD"/>
          <w:sz w:val="19"/>
        </w:rPr>
        <w:t>pip install streamlit pandas plotly networkx numpy openpyxl python-docx requests</w:t>
      </w:r>
    </w:p>
    <w:p>
      <w:pPr>
        <w:pStyle w:val="Heading2"/>
      </w:pPr>
      <w:r>
        <w:rPr>
          <w:color w:val="1E3A5F"/>
        </w:rPr>
        <w:t>3.2 Ejecución del Ecosistema</w:t>
      </w:r>
    </w:p>
    <w:p>
      <w:r>
        <w:rPr>
          <w:sz w:val="21"/>
        </w:rPr>
        <w:t>La plataforma requiere la API de Autenticación activa. En terminales separadas:</w:t>
      </w:r>
    </w:p>
    <w:p>
      <w:r>
        <w:rPr>
          <w:sz w:val="21"/>
        </w:rPr>
        <w:t>1. Iniciar Auth API:</w:t>
      </w:r>
    </w:p>
    <w:p>
      <w:r>
        <w:rPr>
          <w:rFonts w:ascii="Courier New" w:hAnsi="Courier New"/>
          <w:color w:val="0D6EFD"/>
          <w:sz w:val="19"/>
        </w:rPr>
        <w:t>python3 auth_api.py</w:t>
      </w:r>
    </w:p>
    <w:p>
      <w:r>
        <w:rPr>
          <w:sz w:val="21"/>
        </w:rPr>
        <w:t>2. Iniciar SOVEREIGN UI:</w:t>
      </w:r>
    </w:p>
    <w:p>
      <w:r>
        <w:rPr>
          <w:rFonts w:ascii="Courier New" w:hAnsi="Courier New"/>
          <w:color w:val="0D6EFD"/>
          <w:sz w:val="19"/>
        </w:rPr>
        <w:t>streamlit run app2.py</w:t>
      </w:r>
    </w:p>
    <w:p>
      <w:pPr>
        <w:pStyle w:val="Heading1"/>
      </w:pPr>
      <w:r>
        <w:rPr>
          <w:color w:val="1A2744"/>
        </w:rPr>
        <w:t>4. Arquitectura de Inteligencia (IMPERATOR ENGINE)</w:t>
      </w:r>
    </w:p>
    <w:p>
      <w:r>
        <w:rPr>
          <w:sz w:val="21"/>
        </w:rPr>
        <w:t>SOVEREIGN opera bajo el motor IMPERATOR, que segmenta el análisis en 4 dimensiones críticas: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6520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2835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S_T (Transaccional)</w:t>
            </w:r>
          </w:p>
        </w:tc>
        <w:tc>
          <w:tcPr>
            <w:tcW w:type="dxa" w:w="6520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Detección de patrones mediante reglas de negocio (Smurfing, Picos, Acumulados).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S_C (Contextual)</w:t>
            </w:r>
          </w:p>
        </w:tc>
        <w:tc>
          <w:tcPr>
            <w:tcW w:type="dxa" w:w="6520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Evaluación del perfil del cliente: PEP, CPE y zonas geográficas de riesgo.</w:t>
            </w:r>
          </w:p>
        </w:tc>
      </w:tr>
      <w:tr>
        <w:tc>
          <w:tcPr>
            <w:tcW w:type="dxa" w:w="2835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S_B (Conductual)</w:t>
            </w:r>
          </w:p>
        </w:tc>
        <w:tc>
          <w:tcPr>
            <w:tcW w:type="dxa" w:w="6520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Análisis de desviaciones estadísticas respecto al comportamiento histórico.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S_N (Red)</w:t>
            </w:r>
          </w:p>
        </w:tc>
        <w:tc>
          <w:tcPr>
            <w:tcW w:type="dxa" w:w="6520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Módulo de grafos que identifica cuentas puente, ciclos y estratificación.</w:t>
            </w:r>
          </w:p>
        </w:tc>
      </w:tr>
    </w:tbl>
    <w:p>
      <w:pPr>
        <w:pStyle w:val="Heading1"/>
      </w:pPr>
      <w:r>
        <w:rPr>
          <w:color w:val="1A2744"/>
        </w:rPr>
        <w:t>5. Configuración de Detección</w:t>
      </w:r>
    </w:p>
    <w:p>
      <w:r>
        <w:rPr>
          <w:sz w:val="21"/>
        </w:rPr>
        <w:t>El motor de detección es dinámico y permite ajustar pesos y umbrales en tiempo real. Los parámetros por defecto del sistema son: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2268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3118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Condición (default)</w:t>
            </w:r>
          </w:p>
        </w:tc>
        <w:tc>
          <w:tcPr>
            <w:tcW w:type="dxa" w:w="1134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1417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Activa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Monto Crítico</w:t>
            </w:r>
          </w:p>
        </w:tc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Alerta_Absoluto</w:t>
            </w:r>
          </w:p>
        </w:tc>
        <w:tc>
          <w:tcPr>
            <w:tcW w:type="dxa" w:w="311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Monto &gt; Q20,000</w:t>
            </w:r>
          </w:p>
        </w:tc>
        <w:tc>
          <w:tcPr>
            <w:tcW w:type="dxa" w:w="113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17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Perfil Excedido</w:t>
            </w:r>
          </w:p>
        </w:tc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Alerta_15</w:t>
            </w:r>
          </w:p>
        </w:tc>
        <w:tc>
          <w:tcPr>
            <w:tcW w:type="dxa" w:w="311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Monto &gt; Perfil × 1.15</w:t>
            </w:r>
          </w:p>
        </w:tc>
        <w:tc>
          <w:tcPr>
            <w:tcW w:type="dxa" w:w="113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17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Smurfing</w:t>
            </w:r>
          </w:p>
        </w:tc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Smurfing</w:t>
            </w:r>
          </w:p>
        </w:tc>
        <w:tc>
          <w:tcPr>
            <w:tcW w:type="dxa" w:w="311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Transacciones mismo día ≥ 5</w:t>
            </w:r>
          </w:p>
        </w:tc>
        <w:tc>
          <w:tcPr>
            <w:tcW w:type="dxa" w:w="113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17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Geografía Riesgo</w:t>
            </w:r>
          </w:p>
        </w:tc>
        <w:tc>
          <w:tcPr>
            <w:tcW w:type="dxa" w:w="226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Ubicacion</w:t>
            </w:r>
          </w:p>
        </w:tc>
        <w:tc>
          <w:tcPr>
            <w:tcW w:type="dxa" w:w="3118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Zonas fronterizas/sensibles</w:t>
            </w:r>
          </w:p>
        </w:tc>
        <w:tc>
          <w:tcPr>
            <w:tcW w:type="dxa" w:w="1134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Status Político</w:t>
            </w:r>
          </w:p>
        </w:tc>
        <w:tc>
          <w:tcPr>
            <w:tcW w:type="dxa" w:w="226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PEP/CPE</w:t>
            </w:r>
          </w:p>
        </w:tc>
        <w:tc>
          <w:tcPr>
            <w:tcW w:type="dxa" w:w="3118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Persona Expuesta / Contratista</w:t>
            </w:r>
          </w:p>
        </w:tc>
        <w:tc>
          <w:tcPr>
            <w:tcW w:type="dxa" w:w="1134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17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Sí</w:t>
            </w:r>
          </w:p>
        </w:tc>
      </w:tr>
    </w:tbl>
    <w:p>
      <w:pPr>
        <w:pStyle w:val="Heading1"/>
      </w:pPr>
      <w:r>
        <w:rPr>
          <w:color w:val="1A2744"/>
        </w:rPr>
        <w:t>6. Niveles de Alerta SOVEREIGN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417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3685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 Requerido</w:t>
            </w:r>
          </w:p>
        </w:tc>
        <w:tc>
          <w:tcPr>
            <w:tcW w:type="dxa" w:w="4252"/>
            <w:shd w:val="clear" w:color="auto" w:fill="1A2744"/>
            <w:tcBorders>
              <w:top w:val="single" w:sz="6" w:space="0" w:color="1A2744"/>
              <w:left w:val="single" w:sz="6" w:space="0" w:color="1A2744"/>
              <w:bottom w:val="single" w:sz="6" w:space="0" w:color="1A2744"/>
              <w:right w:val="single" w:sz="6" w:space="0" w:color="1A2744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Acción de Mitigación</w:t>
            </w:r>
          </w:p>
        </w:tc>
      </w:tr>
      <w:tr>
        <w:tc>
          <w:tcPr>
            <w:tcW w:type="dxa" w:w="1417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3685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≥ 8.0</w:t>
            </w:r>
          </w:p>
        </w:tc>
        <w:tc>
          <w:tcPr>
            <w:tcW w:type="dxa" w:w="425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Bloqueo inmediato y Reporte de Operación Sospechosa (ROS)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3685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5.0 - 7.9</w:t>
            </w:r>
          </w:p>
        </w:tc>
        <w:tc>
          <w:tcPr>
            <w:tcW w:type="dxa" w:w="4252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Debida Diligencia Ampliada (EDD) obligatoria</w:t>
            </w:r>
          </w:p>
        </w:tc>
      </w:tr>
      <w:tr>
        <w:tc>
          <w:tcPr>
            <w:tcW w:type="dxa" w:w="1417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3685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3.0 - 4.9</w:t>
            </w:r>
          </w:p>
        </w:tc>
        <w:tc>
          <w:tcPr>
            <w:tcW w:type="dxa" w:w="4252"/>
            <w:shd w:val="clear" w:color="auto" w:fill="F5F7FA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Monitoreo reforzado y actualización de perfil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Bajo</w:t>
            </w:r>
          </w:p>
        </w:tc>
        <w:tc>
          <w:tcPr>
            <w:tcW w:type="dxa" w:w="3685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&lt; 3.0</w:t>
            </w:r>
          </w:p>
        </w:tc>
        <w:tc>
          <w:tcPr>
            <w:tcW w:type="dxa" w:w="4252"/>
            <w:shd w:val="clear" w:color="auto" w:fill="FFFFFF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r>
              <w:rPr>
                <w:sz w:val="18"/>
              </w:rPr>
              <w:t>Vigilancia rutinaria</w:t>
            </w:r>
          </w:p>
        </w:tc>
      </w:tr>
    </w:tbl>
    <w:p>
      <w:pPr>
        <w:pStyle w:val="Heading1"/>
      </w:pPr>
      <w:r>
        <w:rPr>
          <w:color w:val="1A2744"/>
        </w:rPr>
        <w:t>7. Módulos de Inteligencia</w:t>
      </w:r>
    </w:p>
    <w:p>
      <w:pPr>
        <w:pStyle w:val="Heading2"/>
      </w:pPr>
      <w:r>
        <w:rPr>
          <w:color w:val="1E3A5F"/>
        </w:rPr>
        <w:t>📋 Resumen Ejecutivo</w:t>
      </w:r>
    </w:p>
    <w:p>
      <w:r>
        <w:rPr>
          <w:sz w:val="21"/>
        </w:rPr>
        <w:t>KPIs centrales, distribución de riesgo y matriz de oportunidad de canal.</w:t>
      </w:r>
    </w:p>
    <w:p>
      <w:pPr>
        <w:pStyle w:val="Heading2"/>
      </w:pPr>
      <w:r>
        <w:rPr>
          <w:color w:val="1E3A5F"/>
        </w:rPr>
        <w:t>🚨 Casos de Alerta</w:t>
      </w:r>
    </w:p>
    <w:p>
      <w:r>
        <w:rPr>
          <w:sz w:val="21"/>
        </w:rPr>
        <w:t>Centro de gestión de hallazgos con filtrado avanzado por score y tipo.</w:t>
      </w:r>
    </w:p>
    <w:p>
      <w:pPr>
        <w:pStyle w:val="Heading2"/>
      </w:pPr>
      <w:r>
        <w:rPr>
          <w:color w:val="1E3A5F"/>
        </w:rPr>
        <w:t>🌐 Red Transaccional</w:t>
      </w:r>
    </w:p>
    <w:p>
      <w:r>
        <w:rPr>
          <w:sz w:val="21"/>
        </w:rPr>
        <w:t>Visualización de grafos para detectar estratificación y cuentas puente.</w:t>
      </w:r>
    </w:p>
    <w:p>
      <w:pPr>
        <w:pStyle w:val="Heading2"/>
      </w:pPr>
      <w:r>
        <w:rPr>
          <w:color w:val="1E3A5F"/>
        </w:rPr>
        <w:t>🛡️ Acciones de Mitigación</w:t>
      </w:r>
    </w:p>
    <w:p>
      <w:r>
        <w:rPr>
          <w:sz w:val="21"/>
        </w:rPr>
        <w:t>Módulo de gestión de riesgos basado en el enfoque RBA del GAFI.</w:t>
      </w:r>
    </w:p>
    <w:p>
      <w:pPr>
        <w:pStyle w:val="Heading2"/>
      </w:pPr>
      <w:r>
        <w:rPr>
          <w:color w:val="1E3A5F"/>
        </w:rPr>
        <w:t>📍 Gestión de Ubicaciones</w:t>
      </w:r>
    </w:p>
    <w:p>
      <w:r>
        <w:rPr>
          <w:sz w:val="21"/>
        </w:rPr>
        <w:t>Configuración dinámica de zonas de riesgo geográfico.</w:t>
      </w:r>
    </w:p>
    <w:p>
      <w:pPr>
        <w:pStyle w:val="Heading2"/>
      </w:pPr>
      <w:r>
        <w:rPr>
          <w:color w:val="1E3A5F"/>
        </w:rPr>
        <w:t>📊 Informes y Reportes</w:t>
      </w:r>
    </w:p>
    <w:p>
      <w:r>
        <w:rPr>
          <w:sz w:val="21"/>
        </w:rPr>
        <w:t>Generación de reportes PDF de alta fidelidad para entes reguladores.</w:t>
      </w:r>
    </w:p>
    <w:p>
      <w:pPr>
        <w:pStyle w:val="Heading2"/>
      </w:pPr>
      <w:r>
        <w:rPr>
          <w:color w:val="1E3A5F"/>
        </w:rPr>
        <w:t>👤 Análisis por Cliente</w:t>
      </w:r>
    </w:p>
    <w:p>
      <w:r>
        <w:rPr>
          <w:sz w:val="21"/>
        </w:rPr>
        <w:t>Perfil 360° con tendencias, mapas de calor y resumen generado por IA.</w:t>
      </w:r>
    </w:p>
    <w:p>
      <w:pPr>
        <w:pStyle w:val="Heading2"/>
      </w:pPr>
      <w:r>
        <w:rPr>
          <w:color w:val="1E3A5F"/>
        </w:rPr>
        <w:t>⚙️ Configuración</w:t>
      </w:r>
    </w:p>
    <w:p>
      <w:r>
        <w:rPr>
          <w:sz w:val="21"/>
        </w:rPr>
        <w:t>Control total de umbrales, pesos y parámetros del motor IMPERATOR.</w:t>
      </w:r>
    </w:p>
    <w:p>
      <w:pPr>
        <w:pStyle w:val="Heading1"/>
      </w:pPr>
      <w:r>
        <w:rPr>
          <w:color w:val="1A2744"/>
        </w:rPr>
        <w:t>8. Seguridad y Cumplimiento</w:t>
      </w:r>
    </w:p>
    <w:p>
      <w:pPr>
        <w:pStyle w:val="Heading2"/>
      </w:pPr>
      <w:r>
        <w:rPr>
          <w:color w:val="1E3A5F"/>
        </w:rPr>
        <w:t>Control de Acceso</w:t>
      </w:r>
    </w:p>
    <w:p>
      <w:r>
        <w:rPr>
          <w:sz w:val="21"/>
        </w:rPr>
        <w:t>Autenticación robusta via Auth API con gestión de licencias corporativas.</w:t>
      </w:r>
    </w:p>
    <w:p>
      <w:pPr>
        <w:pStyle w:val="Heading2"/>
      </w:pPr>
      <w:r>
        <w:rPr>
          <w:color w:val="1E3A5F"/>
        </w:rPr>
        <w:t>OWASP Top 10</w:t>
      </w:r>
    </w:p>
    <w:p>
      <w:r>
        <w:rPr>
          <w:sz w:val="21"/>
        </w:rPr>
        <w:t>Diseño orientado a la seguridad: prevención de inyecciones, control de acceso roto y fallos criptográficos.</w:t>
      </w:r>
    </w:p>
    <w:p>
      <w:pPr>
        <w:pStyle w:val="Heading2"/>
      </w:pPr>
      <w:r>
        <w:rPr>
          <w:color w:val="1E3A5F"/>
        </w:rPr>
        <w:t>IA Generativa</w:t>
      </w:r>
    </w:p>
    <w:p>
      <w:r>
        <w:rPr>
          <w:sz w:val="21"/>
        </w:rPr>
        <w:t>Resúmenes analíticos automatizados mediante integración con modelos de lenguaje avanzados.</w:t>
      </w:r>
    </w:p>
    <w:p>
      <w:pPr>
        <w:pStyle w:val="Heading2"/>
      </w:pPr>
      <w:r>
        <w:rPr>
          <w:color w:val="1E3A5F"/>
        </w:rPr>
        <w:t>Portabilidad</w:t>
      </w:r>
    </w:p>
    <w:p>
      <w:r>
        <w:rPr>
          <w:sz w:val="21"/>
        </w:rPr>
        <w:t>Estructura modular compatible con entornos locales y despliegues en la nube.</w:t>
      </w:r>
    </w:p>
    <w:p/>
    <w:p>
      <w:pPr>
        <w:jc w:val="center"/>
      </w:pPr>
      <w:r>
        <w:rPr>
          <w:color w:val="888888"/>
          <w:sz w:val="18"/>
        </w:rPr>
        <w:t>SOVEREIGN AML Intelligence Platform v3.0  ·  Generado el 11/05/2026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