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744"/>
          <w:sz w:val="56"/>
        </w:rPr>
        <w:t>SOVEREIGN AML</w:t>
      </w:r>
    </w:p>
    <w:p>
      <w:pPr>
        <w:jc w:val="center"/>
      </w:pPr>
      <w:r>
        <w:rPr>
          <w:color w:val="345E8A"/>
          <w:sz w:val="28"/>
        </w:rPr>
        <w:t>Analytical Intelligence Platform — Documentación Técnica</w:t>
      </w:r>
    </w:p>
    <w:p/>
    <w:p>
      <w:pPr>
        <w:jc w:val="center"/>
      </w:pPr>
      <w:r>
        <w:rPr>
          <w:sz w:val="20"/>
        </w:rPr>
        <w:t>Versión 3.1  ·  13 de May de 2026</w:t>
      </w:r>
    </w:p>
    <w:p>
      <w:pPr>
        <w:jc w:val="center"/>
      </w:pPr>
      <w:r>
        <w:rPr>
          <w:color w:val="555E6D"/>
          <w:sz w:val="20"/>
        </w:rPr>
        <w:t>Ing. Hobéd Díaz — Msc. M.A.F.I</w:t>
      </w:r>
    </w:p>
    <w:p>
      <w:r>
        <w:br w:type="page"/>
      </w:r>
    </w:p>
    <w:p>
      <w:pPr>
        <w:pStyle w:val="Heading1"/>
      </w:pPr>
      <w:r>
        <w:rPr>
          <w:color w:val="1A2744"/>
        </w:rPr>
        <w:t>1. Introducción</w:t>
      </w:r>
    </w:p>
    <w:p>
      <w:r>
        <w:rPr>
          <w:sz w:val="21"/>
        </w:rPr>
        <w:t>SOVEREIGN AML es una solución integral de inteligencia analítica y cumplimiento normativo de última generación. A diferencia de las herramientas reactivas tradicionales, esta plataforma utiliza análisis de datos avanzado y modelos de grafos para transformar el monitoreo de riesgos en oportunidades estratégicas de negocio, integrando estándares internacionales como ISO 31000 y el enfoque basado en riesgo (RBA) del GAFI.</w:t>
      </w:r>
    </w:p>
    <w:p>
      <w:r>
        <w:rPr>
          <w:sz w:val="21"/>
        </w:rPr>
        <w:t>La plataforma está dirigida a oficiales de cumplimiento, analistas AML y supervisores operativos que requieren una herramienta de alta fidelidad para el procesamiento de datos transaccionales complejos y la visualización de redes de lavado de activos.</w:t>
      </w:r>
    </w:p>
    <w:p>
      <w:pPr>
        <w:pStyle w:val="Heading1"/>
      </w:pPr>
      <w:r>
        <w:rPr>
          <w:color w:val="1A2744"/>
        </w:rPr>
        <w:t>2. Requisitos del Sistema</w:t>
      </w:r>
    </w:p>
    <w:p>
      <w:pPr>
        <w:pStyle w:val="Heading2"/>
      </w:pPr>
      <w:r>
        <w:rPr>
          <w:color w:val="1E3A5F"/>
        </w:rPr>
        <w:t>2.1 Software</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Componente</w:t>
            </w:r>
          </w:p>
        </w:tc>
        <w:tc>
          <w:tcPr>
            <w:tcW w:type="dxa" w:w="1984"/>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Versión mínima</w:t>
            </w:r>
          </w:p>
        </w:tc>
        <w:tc>
          <w:tcPr>
            <w:tcW w:type="dxa" w:w="5102"/>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Descripción</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Python</w:t>
            </w:r>
          </w:p>
        </w:tc>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3.9+</w:t>
            </w:r>
          </w:p>
        </w:tc>
        <w:tc>
          <w:tcPr>
            <w:tcW w:type="dxa" w:w="5102"/>
            <w:shd w:val="clear" w:color="auto" w:fill="F5F7FA"/>
            <w:tcBorders>
              <w:top w:val="single" w:sz="6" w:space="0" w:color="D0D5DD"/>
              <w:left w:val="single" w:sz="6" w:space="0" w:color="D0D5DD"/>
              <w:bottom w:val="single" w:sz="6" w:space="0" w:color="D0D5DD"/>
              <w:right w:val="single" w:sz="6" w:space="0" w:color="D0D5DD"/>
            </w:tcBorders>
          </w:tcPr>
          <w:p>
            <w:r>
              <w:rPr>
                <w:sz w:val="18"/>
              </w:rPr>
              <w:t>Lenguaje base del sistema</w:t>
            </w:r>
          </w:p>
        </w:tc>
      </w:tr>
      <w:tr>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Streamlit</w:t>
            </w:r>
          </w:p>
        </w:tc>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1.55+</w:t>
            </w:r>
          </w:p>
        </w:tc>
        <w:tc>
          <w:tcPr>
            <w:tcW w:type="dxa" w:w="5102"/>
            <w:shd w:val="clear" w:color="auto" w:fill="FFFFFF"/>
            <w:tcBorders>
              <w:top w:val="single" w:sz="6" w:space="0" w:color="D0D5DD"/>
              <w:left w:val="single" w:sz="6" w:space="0" w:color="D0D5DD"/>
              <w:bottom w:val="single" w:sz="6" w:space="0" w:color="D0D5DD"/>
              <w:right w:val="single" w:sz="6" w:space="0" w:color="D0D5DD"/>
            </w:tcBorders>
          </w:tcPr>
          <w:p>
            <w:r>
              <w:rPr>
                <w:sz w:val="18"/>
              </w:rPr>
              <w:t>Framework de interfaz web premium</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pandas</w:t>
            </w:r>
          </w:p>
        </w:tc>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2.3+</w:t>
            </w:r>
          </w:p>
        </w:tc>
        <w:tc>
          <w:tcPr>
            <w:tcW w:type="dxa" w:w="5102"/>
            <w:shd w:val="clear" w:color="auto" w:fill="F5F7FA"/>
            <w:tcBorders>
              <w:top w:val="single" w:sz="6" w:space="0" w:color="D0D5DD"/>
              <w:left w:val="single" w:sz="6" w:space="0" w:color="D0D5DD"/>
              <w:bottom w:val="single" w:sz="6" w:space="0" w:color="D0D5DD"/>
              <w:right w:val="single" w:sz="6" w:space="0" w:color="D0D5DD"/>
            </w:tcBorders>
          </w:tcPr>
          <w:p>
            <w:r>
              <w:rPr>
                <w:sz w:val="18"/>
              </w:rPr>
              <w:t>Procesamiento de datos vectoriales</w:t>
            </w:r>
          </w:p>
        </w:tc>
      </w:tr>
      <w:tr>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plotly</w:t>
            </w:r>
          </w:p>
        </w:tc>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6.6+</w:t>
            </w:r>
          </w:p>
        </w:tc>
        <w:tc>
          <w:tcPr>
            <w:tcW w:type="dxa" w:w="5102"/>
            <w:shd w:val="clear" w:color="auto" w:fill="FFFFFF"/>
            <w:tcBorders>
              <w:top w:val="single" w:sz="6" w:space="0" w:color="D0D5DD"/>
              <w:left w:val="single" w:sz="6" w:space="0" w:color="D0D5DD"/>
              <w:bottom w:val="single" w:sz="6" w:space="0" w:color="D0D5DD"/>
              <w:right w:val="single" w:sz="6" w:space="0" w:color="D0D5DD"/>
            </w:tcBorders>
          </w:tcPr>
          <w:p>
            <w:r>
              <w:rPr>
                <w:sz w:val="18"/>
              </w:rPr>
              <w:t>Visualizaciones interactivas de alta densidad</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networkx</w:t>
            </w:r>
          </w:p>
        </w:tc>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3.6+</w:t>
            </w:r>
          </w:p>
        </w:tc>
        <w:tc>
          <w:tcPr>
            <w:tcW w:type="dxa" w:w="5102"/>
            <w:shd w:val="clear" w:color="auto" w:fill="F5F7FA"/>
            <w:tcBorders>
              <w:top w:val="single" w:sz="6" w:space="0" w:color="D0D5DD"/>
              <w:left w:val="single" w:sz="6" w:space="0" w:color="D0D5DD"/>
              <w:bottom w:val="single" w:sz="6" w:space="0" w:color="D0D5DD"/>
              <w:right w:val="single" w:sz="6" w:space="0" w:color="D0D5DD"/>
            </w:tcBorders>
          </w:tcPr>
          <w:p>
            <w:r>
              <w:rPr>
                <w:sz w:val="18"/>
              </w:rPr>
              <w:t>Motor de análisis de grafos y redes</w:t>
            </w:r>
          </w:p>
        </w:tc>
      </w:tr>
      <w:tr>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numpy</w:t>
            </w:r>
          </w:p>
        </w:tc>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2.4+</w:t>
            </w:r>
          </w:p>
        </w:tc>
        <w:tc>
          <w:tcPr>
            <w:tcW w:type="dxa" w:w="5102"/>
            <w:shd w:val="clear" w:color="auto" w:fill="FFFFFF"/>
            <w:tcBorders>
              <w:top w:val="single" w:sz="6" w:space="0" w:color="D0D5DD"/>
              <w:left w:val="single" w:sz="6" w:space="0" w:color="D0D5DD"/>
              <w:bottom w:val="single" w:sz="6" w:space="0" w:color="D0D5DD"/>
              <w:right w:val="single" w:sz="6" w:space="0" w:color="D0D5DD"/>
            </w:tcBorders>
          </w:tcPr>
          <w:p>
            <w:r>
              <w:rPr>
                <w:sz w:val="18"/>
              </w:rPr>
              <w:t>Cálculos numéricos y estadísticos</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openpyxl</w:t>
            </w:r>
          </w:p>
        </w:tc>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3.1+</w:t>
            </w:r>
          </w:p>
        </w:tc>
        <w:tc>
          <w:tcPr>
            <w:tcW w:type="dxa" w:w="5102"/>
            <w:shd w:val="clear" w:color="auto" w:fill="F5F7FA"/>
            <w:tcBorders>
              <w:top w:val="single" w:sz="6" w:space="0" w:color="D0D5DD"/>
              <w:left w:val="single" w:sz="6" w:space="0" w:color="D0D5DD"/>
              <w:bottom w:val="single" w:sz="6" w:space="0" w:color="D0D5DD"/>
              <w:right w:val="single" w:sz="6" w:space="0" w:color="D0D5DD"/>
            </w:tcBorders>
          </w:tcPr>
          <w:p>
            <w:r>
              <w:rPr>
                <w:sz w:val="18"/>
              </w:rPr>
              <w:t>Lectura de archivos Excel (.xlsx)</w:t>
            </w:r>
          </w:p>
        </w:tc>
      </w:tr>
      <w:tr>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python-docx</w:t>
            </w:r>
          </w:p>
        </w:tc>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1.0+</w:t>
            </w:r>
          </w:p>
        </w:tc>
        <w:tc>
          <w:tcPr>
            <w:tcW w:type="dxa" w:w="5102"/>
            <w:shd w:val="clear" w:color="auto" w:fill="FFFFFF"/>
            <w:tcBorders>
              <w:top w:val="single" w:sz="6" w:space="0" w:color="D0D5DD"/>
              <w:left w:val="single" w:sz="6" w:space="0" w:color="D0D5DD"/>
              <w:bottom w:val="single" w:sz="6" w:space="0" w:color="D0D5DD"/>
              <w:right w:val="single" w:sz="6" w:space="0" w:color="D0D5DD"/>
            </w:tcBorders>
          </w:tcPr>
          <w:p>
            <w:r>
              <w:rPr>
                <w:sz w:val="18"/>
              </w:rPr>
              <w:t>Generación de documentación (.docx)</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requests</w:t>
            </w:r>
          </w:p>
        </w:tc>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2.33+</w:t>
            </w:r>
          </w:p>
        </w:tc>
        <w:tc>
          <w:tcPr>
            <w:tcW w:type="dxa" w:w="5102"/>
            <w:shd w:val="clear" w:color="auto" w:fill="F5F7FA"/>
            <w:tcBorders>
              <w:top w:val="single" w:sz="6" w:space="0" w:color="D0D5DD"/>
              <w:left w:val="single" w:sz="6" w:space="0" w:color="D0D5DD"/>
              <w:bottom w:val="single" w:sz="6" w:space="0" w:color="D0D5DD"/>
              <w:right w:val="single" w:sz="6" w:space="0" w:color="D0D5DD"/>
            </w:tcBorders>
          </w:tcPr>
          <w:p>
            <w:r>
              <w:rPr>
                <w:sz w:val="18"/>
              </w:rPr>
              <w:t>Integración con API de Autenticación y servicios internos</w:t>
            </w:r>
          </w:p>
        </w:tc>
      </w:tr>
      <w:tr>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GitPython</w:t>
            </w:r>
          </w:p>
        </w:tc>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3.1.50+</w:t>
            </w:r>
          </w:p>
        </w:tc>
        <w:tc>
          <w:tcPr>
            <w:tcW w:type="dxa" w:w="5102"/>
            <w:shd w:val="clear" w:color="auto" w:fill="FFFFFF"/>
            <w:tcBorders>
              <w:top w:val="single" w:sz="6" w:space="0" w:color="D0D5DD"/>
              <w:left w:val="single" w:sz="6" w:space="0" w:color="D0D5DD"/>
              <w:bottom w:val="single" w:sz="6" w:space="0" w:color="D0D5DD"/>
              <w:right w:val="single" w:sz="6" w:space="0" w:color="D0D5DD"/>
            </w:tcBorders>
          </w:tcPr>
          <w:p>
            <w:r>
              <w:rPr>
                <w:sz w:val="18"/>
              </w:rPr>
              <w:t>Dependencia auditada para integración Streamlit/Git</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lxml</w:t>
            </w:r>
          </w:p>
        </w:tc>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6.1+</w:t>
            </w:r>
          </w:p>
        </w:tc>
        <w:tc>
          <w:tcPr>
            <w:tcW w:type="dxa" w:w="5102"/>
            <w:shd w:val="clear" w:color="auto" w:fill="F5F7FA"/>
            <w:tcBorders>
              <w:top w:val="single" w:sz="6" w:space="0" w:color="D0D5DD"/>
              <w:left w:val="single" w:sz="6" w:space="0" w:color="D0D5DD"/>
              <w:bottom w:val="single" w:sz="6" w:space="0" w:color="D0D5DD"/>
              <w:right w:val="single" w:sz="6" w:space="0" w:color="D0D5DD"/>
            </w:tcBorders>
          </w:tcPr>
          <w:p>
            <w:r>
              <w:rPr>
                <w:sz w:val="18"/>
              </w:rPr>
              <w:t>Procesamiento XML seguro para documentos</w:t>
            </w:r>
          </w:p>
        </w:tc>
      </w:tr>
      <w:tr>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Pillow</w:t>
            </w:r>
          </w:p>
        </w:tc>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12.2+</w:t>
            </w:r>
          </w:p>
        </w:tc>
        <w:tc>
          <w:tcPr>
            <w:tcW w:type="dxa" w:w="5102"/>
            <w:shd w:val="clear" w:color="auto" w:fill="FFFFFF"/>
            <w:tcBorders>
              <w:top w:val="single" w:sz="6" w:space="0" w:color="D0D5DD"/>
              <w:left w:val="single" w:sz="6" w:space="0" w:color="D0D5DD"/>
              <w:bottom w:val="single" w:sz="6" w:space="0" w:color="D0D5DD"/>
              <w:right w:val="single" w:sz="6" w:space="0" w:color="D0D5DD"/>
            </w:tcBorders>
          </w:tcPr>
          <w:p>
            <w:r>
              <w:rPr>
                <w:sz w:val="18"/>
              </w:rPr>
              <w:t>Procesamiento de imágenes con parches de seguridad</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urllib3</w:t>
            </w:r>
          </w:p>
        </w:tc>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2.7+</w:t>
            </w:r>
          </w:p>
        </w:tc>
        <w:tc>
          <w:tcPr>
            <w:tcW w:type="dxa" w:w="5102"/>
            <w:shd w:val="clear" w:color="auto" w:fill="F5F7FA"/>
            <w:tcBorders>
              <w:top w:val="single" w:sz="6" w:space="0" w:color="D0D5DD"/>
              <w:left w:val="single" w:sz="6" w:space="0" w:color="D0D5DD"/>
              <w:bottom w:val="single" w:sz="6" w:space="0" w:color="D0D5DD"/>
              <w:right w:val="single" w:sz="6" w:space="0" w:color="D0D5DD"/>
            </w:tcBorders>
          </w:tcPr>
          <w:p>
            <w:r>
              <w:rPr>
                <w:sz w:val="18"/>
              </w:rPr>
              <w:t>Cliente HTTP subyacente auditado</w:t>
            </w:r>
          </w:p>
        </w:tc>
      </w:tr>
    </w:tbl>
    <w:p>
      <w:pPr>
        <w:pStyle w:val="Heading2"/>
      </w:pPr>
      <w:r>
        <w:rPr>
          <w:color w:val="1E3A5F"/>
        </w:rPr>
        <w:t>2.2 Archivo de Entrada</w:t>
      </w:r>
    </w:p>
    <w:p>
      <w:r>
        <w:rPr>
          <w:sz w:val="21"/>
        </w:rPr>
        <w:t>La plataforma requiere un archivo Excel (.xlsx) con la siguiente estructura extendida:</w:t>
      </w:r>
    </w:p>
    <w:tbl>
      <w:tblPr>
        <w:tblStyle w:val="TableGrid"/>
        <w:tblW w:type="auto" w:w="0"/>
        <w:tblLook w:firstColumn="1" w:firstRow="1" w:lastColumn="0" w:lastRow="0" w:noHBand="0" w:noVBand="1" w:val="04A0"/>
      </w:tblPr>
      <w:tblGrid>
        <w:gridCol w:w="3041"/>
        <w:gridCol w:w="3041"/>
        <w:gridCol w:w="3041"/>
      </w:tblGrid>
      <w:tr>
        <w:tc>
          <w:tcPr>
            <w:tcW w:type="dxa" w:w="1984"/>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Columna</w:t>
            </w:r>
          </w:p>
        </w:tc>
        <w:tc>
          <w:tcPr>
            <w:tcW w:type="dxa" w:w="1701"/>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Tipo</w:t>
            </w:r>
          </w:p>
        </w:tc>
        <w:tc>
          <w:tcPr>
            <w:tcW w:type="dxa" w:w="5669"/>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Descripción</w:t>
            </w:r>
          </w:p>
        </w:tc>
      </w:tr>
      <w:tr>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Fecha</w:t>
            </w:r>
          </w:p>
        </w:tc>
        <w:tc>
          <w:tcPr>
            <w:tcW w:type="dxa" w:w="1701"/>
            <w:shd w:val="clear" w:color="auto" w:fill="F5F7FA"/>
            <w:tcBorders>
              <w:top w:val="single" w:sz="6" w:space="0" w:color="D0D5DD"/>
              <w:left w:val="single" w:sz="6" w:space="0" w:color="D0D5DD"/>
              <w:bottom w:val="single" w:sz="6" w:space="0" w:color="D0D5DD"/>
              <w:right w:val="single" w:sz="6" w:space="0" w:color="D0D5DD"/>
            </w:tcBorders>
          </w:tcPr>
          <w:p>
            <w:r>
              <w:rPr>
                <w:sz w:val="18"/>
              </w:rPr>
              <w:t>Fecha</w:t>
            </w:r>
          </w:p>
        </w:tc>
        <w:tc>
          <w:tcPr>
            <w:tcW w:type="dxa" w:w="5669"/>
            <w:shd w:val="clear" w:color="auto" w:fill="F5F7FA"/>
            <w:tcBorders>
              <w:top w:val="single" w:sz="6" w:space="0" w:color="D0D5DD"/>
              <w:left w:val="single" w:sz="6" w:space="0" w:color="D0D5DD"/>
              <w:bottom w:val="single" w:sz="6" w:space="0" w:color="D0D5DD"/>
              <w:right w:val="single" w:sz="6" w:space="0" w:color="D0D5DD"/>
            </w:tcBorders>
          </w:tcPr>
          <w:p>
            <w:r>
              <w:rPr>
                <w:sz w:val="18"/>
              </w:rPr>
              <w:t>Fecha de la transacción (YYYY-MM-DD)</w:t>
            </w:r>
          </w:p>
        </w:tc>
      </w:tr>
      <w:tr>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Cliente</w:t>
            </w:r>
          </w:p>
        </w:tc>
        <w:tc>
          <w:tcPr>
            <w:tcW w:type="dxa" w:w="1701"/>
            <w:shd w:val="clear" w:color="auto" w:fill="FFFFFF"/>
            <w:tcBorders>
              <w:top w:val="single" w:sz="6" w:space="0" w:color="D0D5DD"/>
              <w:left w:val="single" w:sz="6" w:space="0" w:color="D0D5DD"/>
              <w:bottom w:val="single" w:sz="6" w:space="0" w:color="D0D5DD"/>
              <w:right w:val="single" w:sz="6" w:space="0" w:color="D0D5DD"/>
            </w:tcBorders>
          </w:tcPr>
          <w:p>
            <w:r>
              <w:rPr>
                <w:sz w:val="18"/>
              </w:rPr>
              <w:t>Texto</w:t>
            </w:r>
          </w:p>
        </w:tc>
        <w:tc>
          <w:tcPr>
            <w:tcW w:type="dxa" w:w="5669"/>
            <w:shd w:val="clear" w:color="auto" w:fill="FFFFFF"/>
            <w:tcBorders>
              <w:top w:val="single" w:sz="6" w:space="0" w:color="D0D5DD"/>
              <w:left w:val="single" w:sz="6" w:space="0" w:color="D0D5DD"/>
              <w:bottom w:val="single" w:sz="6" w:space="0" w:color="D0D5DD"/>
              <w:right w:val="single" w:sz="6" w:space="0" w:color="D0D5DD"/>
            </w:tcBorders>
          </w:tcPr>
          <w:p>
            <w:r>
              <w:rPr>
                <w:sz w:val="18"/>
              </w:rPr>
              <w:t>Identificador único del cliente origen</w:t>
            </w:r>
          </w:p>
        </w:tc>
      </w:tr>
      <w:tr>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Monto</w:t>
            </w:r>
          </w:p>
        </w:tc>
        <w:tc>
          <w:tcPr>
            <w:tcW w:type="dxa" w:w="1701"/>
            <w:shd w:val="clear" w:color="auto" w:fill="F5F7FA"/>
            <w:tcBorders>
              <w:top w:val="single" w:sz="6" w:space="0" w:color="D0D5DD"/>
              <w:left w:val="single" w:sz="6" w:space="0" w:color="D0D5DD"/>
              <w:bottom w:val="single" w:sz="6" w:space="0" w:color="D0D5DD"/>
              <w:right w:val="single" w:sz="6" w:space="0" w:color="D0D5DD"/>
            </w:tcBorders>
          </w:tcPr>
          <w:p>
            <w:r>
              <w:rPr>
                <w:sz w:val="18"/>
              </w:rPr>
              <w:t>Numérico</w:t>
            </w:r>
          </w:p>
        </w:tc>
        <w:tc>
          <w:tcPr>
            <w:tcW w:type="dxa" w:w="5669"/>
            <w:shd w:val="clear" w:color="auto" w:fill="F5F7FA"/>
            <w:tcBorders>
              <w:top w:val="single" w:sz="6" w:space="0" w:color="D0D5DD"/>
              <w:left w:val="single" w:sz="6" w:space="0" w:color="D0D5DD"/>
              <w:bottom w:val="single" w:sz="6" w:space="0" w:color="D0D5DD"/>
              <w:right w:val="single" w:sz="6" w:space="0" w:color="D0D5DD"/>
            </w:tcBorders>
          </w:tcPr>
          <w:p>
            <w:r>
              <w:rPr>
                <w:sz w:val="18"/>
              </w:rPr>
              <w:t>Monto de la transacción (Q)</w:t>
            </w:r>
          </w:p>
        </w:tc>
      </w:tr>
      <w:tr>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Perfil</w:t>
            </w:r>
          </w:p>
        </w:tc>
        <w:tc>
          <w:tcPr>
            <w:tcW w:type="dxa" w:w="1701"/>
            <w:shd w:val="clear" w:color="auto" w:fill="FFFFFF"/>
            <w:tcBorders>
              <w:top w:val="single" w:sz="6" w:space="0" w:color="D0D5DD"/>
              <w:left w:val="single" w:sz="6" w:space="0" w:color="D0D5DD"/>
              <w:bottom w:val="single" w:sz="6" w:space="0" w:color="D0D5DD"/>
              <w:right w:val="single" w:sz="6" w:space="0" w:color="D0D5DD"/>
            </w:tcBorders>
          </w:tcPr>
          <w:p>
            <w:r>
              <w:rPr>
                <w:sz w:val="18"/>
              </w:rPr>
              <w:t>Numérico</w:t>
            </w:r>
          </w:p>
        </w:tc>
        <w:tc>
          <w:tcPr>
            <w:tcW w:type="dxa" w:w="5669"/>
            <w:shd w:val="clear" w:color="auto" w:fill="FFFFFF"/>
            <w:tcBorders>
              <w:top w:val="single" w:sz="6" w:space="0" w:color="D0D5DD"/>
              <w:left w:val="single" w:sz="6" w:space="0" w:color="D0D5DD"/>
              <w:bottom w:val="single" w:sz="6" w:space="0" w:color="D0D5DD"/>
              <w:right w:val="single" w:sz="6" w:space="0" w:color="D0D5DD"/>
            </w:tcBorders>
          </w:tcPr>
          <w:p>
            <w:r>
              <w:rPr>
                <w:sz w:val="18"/>
              </w:rPr>
              <w:t>Límite esperado de actividad (Q)</w:t>
            </w:r>
          </w:p>
        </w:tc>
      </w:tr>
      <w:tr>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EsPEP</w:t>
            </w:r>
          </w:p>
        </w:tc>
        <w:tc>
          <w:tcPr>
            <w:tcW w:type="dxa" w:w="1701"/>
            <w:shd w:val="clear" w:color="auto" w:fill="F5F7FA"/>
            <w:tcBorders>
              <w:top w:val="single" w:sz="6" w:space="0" w:color="D0D5DD"/>
              <w:left w:val="single" w:sz="6" w:space="0" w:color="D0D5DD"/>
              <w:bottom w:val="single" w:sz="6" w:space="0" w:color="D0D5DD"/>
              <w:right w:val="single" w:sz="6" w:space="0" w:color="D0D5DD"/>
            </w:tcBorders>
          </w:tcPr>
          <w:p>
            <w:r>
              <w:rPr>
                <w:sz w:val="18"/>
              </w:rPr>
              <w:t>Booleano</w:t>
            </w:r>
          </w:p>
        </w:tc>
        <w:tc>
          <w:tcPr>
            <w:tcW w:type="dxa" w:w="5669"/>
            <w:shd w:val="clear" w:color="auto" w:fill="F5F7FA"/>
            <w:tcBorders>
              <w:top w:val="single" w:sz="6" w:space="0" w:color="D0D5DD"/>
              <w:left w:val="single" w:sz="6" w:space="0" w:color="D0D5DD"/>
              <w:bottom w:val="single" w:sz="6" w:space="0" w:color="D0D5DD"/>
              <w:right w:val="single" w:sz="6" w:space="0" w:color="D0D5DD"/>
            </w:tcBorders>
          </w:tcPr>
          <w:p>
            <w:r>
              <w:rPr>
                <w:sz w:val="18"/>
              </w:rPr>
              <w:t>Persona Expuesta Políticamente</w:t>
            </w:r>
          </w:p>
        </w:tc>
      </w:tr>
      <w:tr>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EsCPE</w:t>
            </w:r>
          </w:p>
        </w:tc>
        <w:tc>
          <w:tcPr>
            <w:tcW w:type="dxa" w:w="1701"/>
            <w:shd w:val="clear" w:color="auto" w:fill="FFFFFF"/>
            <w:tcBorders>
              <w:top w:val="single" w:sz="6" w:space="0" w:color="D0D5DD"/>
              <w:left w:val="single" w:sz="6" w:space="0" w:color="D0D5DD"/>
              <w:bottom w:val="single" w:sz="6" w:space="0" w:color="D0D5DD"/>
              <w:right w:val="single" w:sz="6" w:space="0" w:color="D0D5DD"/>
            </w:tcBorders>
          </w:tcPr>
          <w:p>
            <w:r>
              <w:rPr>
                <w:sz w:val="18"/>
              </w:rPr>
              <w:t>Booleano</w:t>
            </w:r>
          </w:p>
        </w:tc>
        <w:tc>
          <w:tcPr>
            <w:tcW w:type="dxa" w:w="5669"/>
            <w:shd w:val="clear" w:color="auto" w:fill="FFFFFF"/>
            <w:tcBorders>
              <w:top w:val="single" w:sz="6" w:space="0" w:color="D0D5DD"/>
              <w:left w:val="single" w:sz="6" w:space="0" w:color="D0D5DD"/>
              <w:bottom w:val="single" w:sz="6" w:space="0" w:color="D0D5DD"/>
              <w:right w:val="single" w:sz="6" w:space="0" w:color="D0D5DD"/>
            </w:tcBorders>
          </w:tcPr>
          <w:p>
            <w:r>
              <w:rPr>
                <w:sz w:val="18"/>
              </w:rPr>
              <w:t>Contratista o Proveedor del Estado</w:t>
            </w:r>
          </w:p>
        </w:tc>
      </w:tr>
      <w:tr>
        <w:tc>
          <w:tcPr>
            <w:tcW w:type="dxa" w:w="1984"/>
            <w:shd w:val="clear" w:color="auto" w:fill="F5F7FA"/>
            <w:tcBorders>
              <w:top w:val="single" w:sz="6" w:space="0" w:color="D0D5DD"/>
              <w:left w:val="single" w:sz="6" w:space="0" w:color="D0D5DD"/>
              <w:bottom w:val="single" w:sz="6" w:space="0" w:color="D0D5DD"/>
              <w:right w:val="single" w:sz="6" w:space="0" w:color="D0D5DD"/>
            </w:tcBorders>
          </w:tcPr>
          <w:p>
            <w:r>
              <w:rPr>
                <w:sz w:val="18"/>
              </w:rPr>
              <w:t>Ubicacion</w:t>
            </w:r>
          </w:p>
        </w:tc>
        <w:tc>
          <w:tcPr>
            <w:tcW w:type="dxa" w:w="1701"/>
            <w:shd w:val="clear" w:color="auto" w:fill="F5F7FA"/>
            <w:tcBorders>
              <w:top w:val="single" w:sz="6" w:space="0" w:color="D0D5DD"/>
              <w:left w:val="single" w:sz="6" w:space="0" w:color="D0D5DD"/>
              <w:bottom w:val="single" w:sz="6" w:space="0" w:color="D0D5DD"/>
              <w:right w:val="single" w:sz="6" w:space="0" w:color="D0D5DD"/>
            </w:tcBorders>
          </w:tcPr>
          <w:p>
            <w:r>
              <w:rPr>
                <w:sz w:val="18"/>
              </w:rPr>
              <w:t>Texto</w:t>
            </w:r>
          </w:p>
        </w:tc>
        <w:tc>
          <w:tcPr>
            <w:tcW w:type="dxa" w:w="5669"/>
            <w:shd w:val="clear" w:color="auto" w:fill="F5F7FA"/>
            <w:tcBorders>
              <w:top w:val="single" w:sz="6" w:space="0" w:color="D0D5DD"/>
              <w:left w:val="single" w:sz="6" w:space="0" w:color="D0D5DD"/>
              <w:bottom w:val="single" w:sz="6" w:space="0" w:color="D0D5DD"/>
              <w:right w:val="single" w:sz="6" w:space="0" w:color="D0D5DD"/>
            </w:tcBorders>
          </w:tcPr>
          <w:p>
            <w:r>
              <w:rPr>
                <w:sz w:val="18"/>
              </w:rPr>
              <w:t>Departamento o municipio de origen</w:t>
            </w:r>
          </w:p>
        </w:tc>
      </w:tr>
      <w:tr>
        <w:tc>
          <w:tcPr>
            <w:tcW w:type="dxa" w:w="1984"/>
            <w:shd w:val="clear" w:color="auto" w:fill="FFFFFF"/>
            <w:tcBorders>
              <w:top w:val="single" w:sz="6" w:space="0" w:color="D0D5DD"/>
              <w:left w:val="single" w:sz="6" w:space="0" w:color="D0D5DD"/>
              <w:bottom w:val="single" w:sz="6" w:space="0" w:color="D0D5DD"/>
              <w:right w:val="single" w:sz="6" w:space="0" w:color="D0D5DD"/>
            </w:tcBorders>
          </w:tcPr>
          <w:p>
            <w:r>
              <w:rPr>
                <w:sz w:val="18"/>
              </w:rPr>
              <w:t>Cliente_Destino</w:t>
            </w:r>
          </w:p>
        </w:tc>
        <w:tc>
          <w:tcPr>
            <w:tcW w:type="dxa" w:w="1701"/>
            <w:shd w:val="clear" w:color="auto" w:fill="FFFFFF"/>
            <w:tcBorders>
              <w:top w:val="single" w:sz="6" w:space="0" w:color="D0D5DD"/>
              <w:left w:val="single" w:sz="6" w:space="0" w:color="D0D5DD"/>
              <w:bottom w:val="single" w:sz="6" w:space="0" w:color="D0D5DD"/>
              <w:right w:val="single" w:sz="6" w:space="0" w:color="D0D5DD"/>
            </w:tcBorders>
          </w:tcPr>
          <w:p>
            <w:r>
              <w:rPr>
                <w:sz w:val="18"/>
              </w:rPr>
              <w:t>Texto</w:t>
            </w:r>
          </w:p>
        </w:tc>
        <w:tc>
          <w:tcPr>
            <w:tcW w:type="dxa" w:w="5669"/>
            <w:shd w:val="clear" w:color="auto" w:fill="FFFFFF"/>
            <w:tcBorders>
              <w:top w:val="single" w:sz="6" w:space="0" w:color="D0D5DD"/>
              <w:left w:val="single" w:sz="6" w:space="0" w:color="D0D5DD"/>
              <w:bottom w:val="single" w:sz="6" w:space="0" w:color="D0D5DD"/>
              <w:right w:val="single" w:sz="6" w:space="0" w:color="D0D5DD"/>
            </w:tcBorders>
          </w:tcPr>
          <w:p>
            <w:r>
              <w:rPr>
                <w:sz w:val="18"/>
              </w:rPr>
              <w:t>Requerido para el análisis de Red Transaccional</w:t>
            </w:r>
          </w:p>
        </w:tc>
      </w:tr>
    </w:tbl>
    <w:p>
      <w:pPr>
        <w:pStyle w:val="Heading1"/>
      </w:pPr>
      <w:r>
        <w:rPr>
          <w:color w:val="1A2744"/>
        </w:rPr>
        <w:t>3. Instalación y Configuración</w:t>
      </w:r>
    </w:p>
    <w:p>
      <w:pPr>
        <w:pStyle w:val="Heading2"/>
      </w:pPr>
      <w:r>
        <w:rPr>
          <w:color w:val="1E3A5F"/>
        </w:rPr>
        <w:t>3.1 Instalación de Dependencias</w:t>
      </w:r>
    </w:p>
    <w:p>
      <w:r>
        <w:rPr>
          <w:sz w:val="21"/>
        </w:rPr>
        <w:t>Ejecutar el siguiente comando para preparar el entorno:</w:t>
      </w:r>
    </w:p>
    <w:p>
      <w:r>
        <w:rPr>
          <w:rFonts w:ascii="Courier New" w:hAnsi="Courier New"/>
          <w:color w:val="0D6EFD"/>
          <w:sz w:val="19"/>
        </w:rPr>
        <w:t>pip install -r requirements.txt</w:t>
      </w:r>
    </w:p>
    <w:p>
      <w:pPr>
        <w:pStyle w:val="Heading2"/>
      </w:pPr>
      <w:r>
        <w:rPr>
          <w:color w:val="1E3A5F"/>
        </w:rPr>
        <w:t>3.2 Ejecución del Ecosistema</w:t>
      </w:r>
    </w:p>
    <w:p>
      <w:r>
        <w:rPr>
          <w:sz w:val="21"/>
        </w:rPr>
        <w:t>La plataforma requiere la API de Autenticación activa. En terminales separadas:</w:t>
      </w:r>
    </w:p>
    <w:p>
      <w:r>
        <w:rPr>
          <w:sz w:val="21"/>
        </w:rPr>
        <w:t>1. Iniciar Auth API:</w:t>
      </w:r>
    </w:p>
    <w:p>
      <w:r>
        <w:rPr>
          <w:rFonts w:ascii="Courier New" w:hAnsi="Courier New"/>
          <w:color w:val="0D6EFD"/>
          <w:sz w:val="19"/>
        </w:rPr>
        <w:t>python3 auth_api.py</w:t>
      </w:r>
    </w:p>
    <w:p>
      <w:r>
        <w:rPr>
          <w:sz w:val="21"/>
        </w:rPr>
        <w:t>2. Iniciar SOVEREIGN UI:</w:t>
      </w:r>
    </w:p>
    <w:p>
      <w:r>
        <w:rPr>
          <w:rFonts w:ascii="Courier New" w:hAnsi="Courier New"/>
          <w:color w:val="0D6EFD"/>
          <w:sz w:val="19"/>
        </w:rPr>
        <w:t>streamlit run app2.py</w:t>
      </w:r>
    </w:p>
    <w:p>
      <w:pPr>
        <w:pStyle w:val="Heading2"/>
      </w:pPr>
      <w:r>
        <w:rPr>
          <w:color w:val="1E3A5F"/>
        </w:rPr>
        <w:t>3.3 Gestión de Sesión y Persistencia Temporal</w:t>
      </w:r>
    </w:p>
    <w:p>
      <w:r>
        <w:rPr>
          <w:sz w:val="21"/>
        </w:rPr>
        <w:t>La interfaz mantiene sesión activa durante 30 minutos de actividad. Si el usuario refresca la página dentro de ese período, el navegador restaura la sesión sin solicitar nuevamente credenciales. Los análisis cargados se preservan temporalmente en una caché local del servidor en formato .saml y se eliminan al cerrar sesión, iniciar un nuevo análisis o vencer por inactividad.</w:t>
      </w:r>
    </w:p>
    <w:p>
      <w:pPr>
        <w:pStyle w:val="Heading1"/>
      </w:pPr>
      <w:r>
        <w:rPr>
          <w:color w:val="1A2744"/>
        </w:rPr>
        <w:t>4. Arquitectura de Inteligencia (IMPERATOR ENGINE)</w:t>
      </w:r>
    </w:p>
    <w:p>
      <w:r>
        <w:rPr>
          <w:sz w:val="21"/>
        </w:rPr>
        <w:t>SOVEREIGN opera bajo el motor IMPERATOR, que segmenta el análisis en 4 dimensiones críticas:</w:t>
      </w:r>
    </w:p>
    <w:tbl>
      <w:tblPr>
        <w:tblStyle w:val="TableGrid"/>
        <w:tblW w:type="auto" w:w="0"/>
        <w:tblLook w:firstColumn="1" w:firstRow="1" w:lastColumn="0" w:lastRow="0" w:noHBand="0" w:noVBand="1" w:val="04A0"/>
      </w:tblPr>
      <w:tblGrid>
        <w:gridCol w:w="4561"/>
        <w:gridCol w:w="4561"/>
      </w:tblGrid>
      <w:tr>
        <w:tc>
          <w:tcPr>
            <w:tcW w:type="dxa" w:w="2835"/>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Dimensión</w:t>
            </w:r>
          </w:p>
        </w:tc>
        <w:tc>
          <w:tcPr>
            <w:tcW w:type="dxa" w:w="6520"/>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Descripción</w:t>
            </w:r>
          </w:p>
        </w:tc>
      </w:tr>
      <w:tr>
        <w:tc>
          <w:tcPr>
            <w:tcW w:type="dxa" w:w="2835"/>
            <w:shd w:val="clear" w:color="auto" w:fill="F5F7FA"/>
            <w:tcBorders>
              <w:top w:val="single" w:sz="6" w:space="0" w:color="D0D5DD"/>
              <w:left w:val="single" w:sz="6" w:space="0" w:color="D0D5DD"/>
              <w:bottom w:val="single" w:sz="6" w:space="0" w:color="D0D5DD"/>
              <w:right w:val="single" w:sz="6" w:space="0" w:color="D0D5DD"/>
            </w:tcBorders>
          </w:tcPr>
          <w:p>
            <w:r>
              <w:rPr>
                <w:sz w:val="18"/>
              </w:rPr>
              <w:t>S_T (Transaccional)</w:t>
            </w:r>
          </w:p>
        </w:tc>
        <w:tc>
          <w:tcPr>
            <w:tcW w:type="dxa" w:w="6520"/>
            <w:shd w:val="clear" w:color="auto" w:fill="F5F7FA"/>
            <w:tcBorders>
              <w:top w:val="single" w:sz="6" w:space="0" w:color="D0D5DD"/>
              <w:left w:val="single" w:sz="6" w:space="0" w:color="D0D5DD"/>
              <w:bottom w:val="single" w:sz="6" w:space="0" w:color="D0D5DD"/>
              <w:right w:val="single" w:sz="6" w:space="0" w:color="D0D5DD"/>
            </w:tcBorders>
          </w:tcPr>
          <w:p>
            <w:r>
              <w:rPr>
                <w:sz w:val="18"/>
              </w:rPr>
              <w:t>Detección de patrones mediante reglas de negocio (Smurfing, Picos, Acumulados).</w:t>
            </w:r>
          </w:p>
        </w:tc>
      </w:tr>
      <w:tr>
        <w:tc>
          <w:tcPr>
            <w:tcW w:type="dxa" w:w="2835"/>
            <w:shd w:val="clear" w:color="auto" w:fill="FFFFFF"/>
            <w:tcBorders>
              <w:top w:val="single" w:sz="6" w:space="0" w:color="D0D5DD"/>
              <w:left w:val="single" w:sz="6" w:space="0" w:color="D0D5DD"/>
              <w:bottom w:val="single" w:sz="6" w:space="0" w:color="D0D5DD"/>
              <w:right w:val="single" w:sz="6" w:space="0" w:color="D0D5DD"/>
            </w:tcBorders>
          </w:tcPr>
          <w:p>
            <w:r>
              <w:rPr>
                <w:sz w:val="18"/>
              </w:rPr>
              <w:t>S_C (Contextual)</w:t>
            </w:r>
          </w:p>
        </w:tc>
        <w:tc>
          <w:tcPr>
            <w:tcW w:type="dxa" w:w="6520"/>
            <w:shd w:val="clear" w:color="auto" w:fill="FFFFFF"/>
            <w:tcBorders>
              <w:top w:val="single" w:sz="6" w:space="0" w:color="D0D5DD"/>
              <w:left w:val="single" w:sz="6" w:space="0" w:color="D0D5DD"/>
              <w:bottom w:val="single" w:sz="6" w:space="0" w:color="D0D5DD"/>
              <w:right w:val="single" w:sz="6" w:space="0" w:color="D0D5DD"/>
            </w:tcBorders>
          </w:tcPr>
          <w:p>
            <w:r>
              <w:rPr>
                <w:sz w:val="18"/>
              </w:rPr>
              <w:t>Evaluación del perfil del cliente: PEP, CPE y zonas geográficas de riesgo.</w:t>
            </w:r>
          </w:p>
        </w:tc>
      </w:tr>
      <w:tr>
        <w:tc>
          <w:tcPr>
            <w:tcW w:type="dxa" w:w="2835"/>
            <w:shd w:val="clear" w:color="auto" w:fill="F5F7FA"/>
            <w:tcBorders>
              <w:top w:val="single" w:sz="6" w:space="0" w:color="D0D5DD"/>
              <w:left w:val="single" w:sz="6" w:space="0" w:color="D0D5DD"/>
              <w:bottom w:val="single" w:sz="6" w:space="0" w:color="D0D5DD"/>
              <w:right w:val="single" w:sz="6" w:space="0" w:color="D0D5DD"/>
            </w:tcBorders>
          </w:tcPr>
          <w:p>
            <w:r>
              <w:rPr>
                <w:sz w:val="18"/>
              </w:rPr>
              <w:t>S_B (Conductual)</w:t>
            </w:r>
          </w:p>
        </w:tc>
        <w:tc>
          <w:tcPr>
            <w:tcW w:type="dxa" w:w="6520"/>
            <w:shd w:val="clear" w:color="auto" w:fill="F5F7FA"/>
            <w:tcBorders>
              <w:top w:val="single" w:sz="6" w:space="0" w:color="D0D5DD"/>
              <w:left w:val="single" w:sz="6" w:space="0" w:color="D0D5DD"/>
              <w:bottom w:val="single" w:sz="6" w:space="0" w:color="D0D5DD"/>
              <w:right w:val="single" w:sz="6" w:space="0" w:color="D0D5DD"/>
            </w:tcBorders>
          </w:tcPr>
          <w:p>
            <w:r>
              <w:rPr>
                <w:sz w:val="18"/>
              </w:rPr>
              <w:t>Análisis de desviaciones estadísticas respecto al comportamiento histórico.</w:t>
            </w:r>
          </w:p>
        </w:tc>
      </w:tr>
      <w:tr>
        <w:tc>
          <w:tcPr>
            <w:tcW w:type="dxa" w:w="2835"/>
            <w:shd w:val="clear" w:color="auto" w:fill="FFFFFF"/>
            <w:tcBorders>
              <w:top w:val="single" w:sz="6" w:space="0" w:color="D0D5DD"/>
              <w:left w:val="single" w:sz="6" w:space="0" w:color="D0D5DD"/>
              <w:bottom w:val="single" w:sz="6" w:space="0" w:color="D0D5DD"/>
              <w:right w:val="single" w:sz="6" w:space="0" w:color="D0D5DD"/>
            </w:tcBorders>
          </w:tcPr>
          <w:p>
            <w:r>
              <w:rPr>
                <w:sz w:val="18"/>
              </w:rPr>
              <w:t>S_N (Red)</w:t>
            </w:r>
          </w:p>
        </w:tc>
        <w:tc>
          <w:tcPr>
            <w:tcW w:type="dxa" w:w="6520"/>
            <w:shd w:val="clear" w:color="auto" w:fill="FFFFFF"/>
            <w:tcBorders>
              <w:top w:val="single" w:sz="6" w:space="0" w:color="D0D5DD"/>
              <w:left w:val="single" w:sz="6" w:space="0" w:color="D0D5DD"/>
              <w:bottom w:val="single" w:sz="6" w:space="0" w:color="D0D5DD"/>
              <w:right w:val="single" w:sz="6" w:space="0" w:color="D0D5DD"/>
            </w:tcBorders>
          </w:tcPr>
          <w:p>
            <w:r>
              <w:rPr>
                <w:sz w:val="18"/>
              </w:rPr>
              <w:t>Módulo de grafos que identifica cuentas puente, ciclos y estratificación.</w:t>
            </w:r>
          </w:p>
        </w:tc>
      </w:tr>
    </w:tbl>
    <w:p>
      <w:pPr>
        <w:pStyle w:val="Heading1"/>
      </w:pPr>
      <w:r>
        <w:rPr>
          <w:color w:val="1A2744"/>
        </w:rPr>
        <w:t>5. Configuración de Detección</w:t>
      </w:r>
    </w:p>
    <w:p>
      <w:r>
        <w:rPr>
          <w:sz w:val="21"/>
        </w:rPr>
        <w:t>El motor de detección es dinámico y permite ajustar pesos y umbrales en tiempo real. Los parámetros por defecto del sistema son: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268"/>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Regla</w:t>
            </w:r>
          </w:p>
        </w:tc>
        <w:tc>
          <w:tcPr>
            <w:tcW w:type="dxa" w:w="2268"/>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Variable</w:t>
            </w:r>
          </w:p>
        </w:tc>
        <w:tc>
          <w:tcPr>
            <w:tcW w:type="dxa" w:w="3118"/>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Condición (default)</w:t>
            </w:r>
          </w:p>
        </w:tc>
        <w:tc>
          <w:tcPr>
            <w:tcW w:type="dxa" w:w="1134"/>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Peso</w:t>
            </w:r>
          </w:p>
        </w:tc>
        <w:tc>
          <w:tcPr>
            <w:tcW w:type="dxa" w:w="1417"/>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Activa</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Monto Crítico</w:t>
            </w:r>
          </w:p>
        </w:tc>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Alerta_Absoluto</w:t>
            </w:r>
          </w:p>
        </w:tc>
        <w:tc>
          <w:tcPr>
            <w:tcW w:type="dxa" w:w="3118"/>
            <w:shd w:val="clear" w:color="auto" w:fill="F5F7FA"/>
            <w:tcBorders>
              <w:top w:val="single" w:sz="6" w:space="0" w:color="D0D5DD"/>
              <w:left w:val="single" w:sz="6" w:space="0" w:color="D0D5DD"/>
              <w:bottom w:val="single" w:sz="6" w:space="0" w:color="D0D5DD"/>
              <w:right w:val="single" w:sz="6" w:space="0" w:color="D0D5DD"/>
            </w:tcBorders>
          </w:tcPr>
          <w:p>
            <w:r>
              <w:rPr>
                <w:sz w:val="18"/>
              </w:rPr>
              <w:t>Monto &gt; Q20,000</w:t>
            </w:r>
          </w:p>
        </w:tc>
        <w:tc>
          <w:tcPr>
            <w:tcW w:type="dxa" w:w="1134"/>
            <w:shd w:val="clear" w:color="auto" w:fill="F5F7FA"/>
            <w:tcBorders>
              <w:top w:val="single" w:sz="6" w:space="0" w:color="D0D5DD"/>
              <w:left w:val="single" w:sz="6" w:space="0" w:color="D0D5DD"/>
              <w:bottom w:val="single" w:sz="6" w:space="0" w:color="D0D5DD"/>
              <w:right w:val="single" w:sz="6" w:space="0" w:color="D0D5DD"/>
            </w:tcBorders>
          </w:tcPr>
          <w:p>
            <w:r>
              <w:rPr>
                <w:sz w:val="18"/>
              </w:rPr>
              <w:t>3</w:t>
            </w:r>
          </w:p>
        </w:tc>
        <w:tc>
          <w:tcPr>
            <w:tcW w:type="dxa" w:w="1417"/>
            <w:shd w:val="clear" w:color="auto" w:fill="F5F7FA"/>
            <w:tcBorders>
              <w:top w:val="single" w:sz="6" w:space="0" w:color="D0D5DD"/>
              <w:left w:val="single" w:sz="6" w:space="0" w:color="D0D5DD"/>
              <w:bottom w:val="single" w:sz="6" w:space="0" w:color="D0D5DD"/>
              <w:right w:val="single" w:sz="6" w:space="0" w:color="D0D5DD"/>
            </w:tcBorders>
          </w:tcPr>
          <w:p>
            <w:r>
              <w:rPr>
                <w:sz w:val="18"/>
              </w:rPr>
              <w:t>Sí</w:t>
            </w:r>
          </w:p>
        </w:tc>
      </w:tr>
      <w:tr>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Perfil Excedido</w:t>
            </w:r>
          </w:p>
        </w:tc>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Alerta_15</w:t>
            </w:r>
          </w:p>
        </w:tc>
        <w:tc>
          <w:tcPr>
            <w:tcW w:type="dxa" w:w="3118"/>
            <w:shd w:val="clear" w:color="auto" w:fill="FFFFFF"/>
            <w:tcBorders>
              <w:top w:val="single" w:sz="6" w:space="0" w:color="D0D5DD"/>
              <w:left w:val="single" w:sz="6" w:space="0" w:color="D0D5DD"/>
              <w:bottom w:val="single" w:sz="6" w:space="0" w:color="D0D5DD"/>
              <w:right w:val="single" w:sz="6" w:space="0" w:color="D0D5DD"/>
            </w:tcBorders>
          </w:tcPr>
          <w:p>
            <w:r>
              <w:rPr>
                <w:sz w:val="18"/>
              </w:rPr>
              <w:t>Monto &gt; Perfil × 1.15</w:t>
            </w:r>
          </w:p>
        </w:tc>
        <w:tc>
          <w:tcPr>
            <w:tcW w:type="dxa" w:w="1134"/>
            <w:shd w:val="clear" w:color="auto" w:fill="FFFFFF"/>
            <w:tcBorders>
              <w:top w:val="single" w:sz="6" w:space="0" w:color="D0D5DD"/>
              <w:left w:val="single" w:sz="6" w:space="0" w:color="D0D5DD"/>
              <w:bottom w:val="single" w:sz="6" w:space="0" w:color="D0D5DD"/>
              <w:right w:val="single" w:sz="6" w:space="0" w:color="D0D5DD"/>
            </w:tcBorders>
          </w:tcPr>
          <w:p>
            <w:r>
              <w:rPr>
                <w:sz w:val="18"/>
              </w:rPr>
              <w:t>1</w:t>
            </w:r>
          </w:p>
        </w:tc>
        <w:tc>
          <w:tcPr>
            <w:tcW w:type="dxa" w:w="1417"/>
            <w:shd w:val="clear" w:color="auto" w:fill="FFFFFF"/>
            <w:tcBorders>
              <w:top w:val="single" w:sz="6" w:space="0" w:color="D0D5DD"/>
              <w:left w:val="single" w:sz="6" w:space="0" w:color="D0D5DD"/>
              <w:bottom w:val="single" w:sz="6" w:space="0" w:color="D0D5DD"/>
              <w:right w:val="single" w:sz="6" w:space="0" w:color="D0D5DD"/>
            </w:tcBorders>
          </w:tcPr>
          <w:p>
            <w:r>
              <w:rPr>
                <w:sz w:val="18"/>
              </w:rPr>
              <w:t>Sí</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Smurfing</w:t>
            </w:r>
          </w:p>
        </w:tc>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Smurfing</w:t>
            </w:r>
          </w:p>
        </w:tc>
        <w:tc>
          <w:tcPr>
            <w:tcW w:type="dxa" w:w="3118"/>
            <w:shd w:val="clear" w:color="auto" w:fill="F5F7FA"/>
            <w:tcBorders>
              <w:top w:val="single" w:sz="6" w:space="0" w:color="D0D5DD"/>
              <w:left w:val="single" w:sz="6" w:space="0" w:color="D0D5DD"/>
              <w:bottom w:val="single" w:sz="6" w:space="0" w:color="D0D5DD"/>
              <w:right w:val="single" w:sz="6" w:space="0" w:color="D0D5DD"/>
            </w:tcBorders>
          </w:tcPr>
          <w:p>
            <w:r>
              <w:rPr>
                <w:sz w:val="18"/>
              </w:rPr>
              <w:t>Transacciones mismo día ≥ 5</w:t>
            </w:r>
          </w:p>
        </w:tc>
        <w:tc>
          <w:tcPr>
            <w:tcW w:type="dxa" w:w="1134"/>
            <w:shd w:val="clear" w:color="auto" w:fill="F5F7FA"/>
            <w:tcBorders>
              <w:top w:val="single" w:sz="6" w:space="0" w:color="D0D5DD"/>
              <w:left w:val="single" w:sz="6" w:space="0" w:color="D0D5DD"/>
              <w:bottom w:val="single" w:sz="6" w:space="0" w:color="D0D5DD"/>
              <w:right w:val="single" w:sz="6" w:space="0" w:color="D0D5DD"/>
            </w:tcBorders>
          </w:tcPr>
          <w:p>
            <w:r>
              <w:rPr>
                <w:sz w:val="18"/>
              </w:rPr>
              <w:t>3</w:t>
            </w:r>
          </w:p>
        </w:tc>
        <w:tc>
          <w:tcPr>
            <w:tcW w:type="dxa" w:w="1417"/>
            <w:shd w:val="clear" w:color="auto" w:fill="F5F7FA"/>
            <w:tcBorders>
              <w:top w:val="single" w:sz="6" w:space="0" w:color="D0D5DD"/>
              <w:left w:val="single" w:sz="6" w:space="0" w:color="D0D5DD"/>
              <w:bottom w:val="single" w:sz="6" w:space="0" w:color="D0D5DD"/>
              <w:right w:val="single" w:sz="6" w:space="0" w:color="D0D5DD"/>
            </w:tcBorders>
          </w:tcPr>
          <w:p>
            <w:r>
              <w:rPr>
                <w:sz w:val="18"/>
              </w:rPr>
              <w:t>Sí</w:t>
            </w:r>
          </w:p>
        </w:tc>
      </w:tr>
      <w:tr>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Geografía Riesgo</w:t>
            </w:r>
          </w:p>
        </w:tc>
        <w:tc>
          <w:tcPr>
            <w:tcW w:type="dxa" w:w="2268"/>
            <w:shd w:val="clear" w:color="auto" w:fill="FFFFFF"/>
            <w:tcBorders>
              <w:top w:val="single" w:sz="6" w:space="0" w:color="D0D5DD"/>
              <w:left w:val="single" w:sz="6" w:space="0" w:color="D0D5DD"/>
              <w:bottom w:val="single" w:sz="6" w:space="0" w:color="D0D5DD"/>
              <w:right w:val="single" w:sz="6" w:space="0" w:color="D0D5DD"/>
            </w:tcBorders>
          </w:tcPr>
          <w:p>
            <w:r>
              <w:rPr>
                <w:sz w:val="18"/>
              </w:rPr>
              <w:t>Ubicacion</w:t>
            </w:r>
          </w:p>
        </w:tc>
        <w:tc>
          <w:tcPr>
            <w:tcW w:type="dxa" w:w="3118"/>
            <w:shd w:val="clear" w:color="auto" w:fill="FFFFFF"/>
            <w:tcBorders>
              <w:top w:val="single" w:sz="6" w:space="0" w:color="D0D5DD"/>
              <w:left w:val="single" w:sz="6" w:space="0" w:color="D0D5DD"/>
              <w:bottom w:val="single" w:sz="6" w:space="0" w:color="D0D5DD"/>
              <w:right w:val="single" w:sz="6" w:space="0" w:color="D0D5DD"/>
            </w:tcBorders>
          </w:tcPr>
          <w:p>
            <w:r>
              <w:rPr>
                <w:sz w:val="18"/>
              </w:rPr>
              <w:t>Zonas fronterizas/sensibles</w:t>
            </w:r>
          </w:p>
        </w:tc>
        <w:tc>
          <w:tcPr>
            <w:tcW w:type="dxa" w:w="1134"/>
            <w:shd w:val="clear" w:color="auto" w:fill="FFFFFF"/>
            <w:tcBorders>
              <w:top w:val="single" w:sz="6" w:space="0" w:color="D0D5DD"/>
              <w:left w:val="single" w:sz="6" w:space="0" w:color="D0D5DD"/>
              <w:bottom w:val="single" w:sz="6" w:space="0" w:color="D0D5DD"/>
              <w:right w:val="single" w:sz="6" w:space="0" w:color="D0D5DD"/>
            </w:tcBorders>
          </w:tcPr>
          <w:p>
            <w:r>
              <w:rPr>
                <w:sz w:val="18"/>
              </w:rPr>
              <w:t>2</w:t>
            </w:r>
          </w:p>
        </w:tc>
        <w:tc>
          <w:tcPr>
            <w:tcW w:type="dxa" w:w="1417"/>
            <w:shd w:val="clear" w:color="auto" w:fill="FFFFFF"/>
            <w:tcBorders>
              <w:top w:val="single" w:sz="6" w:space="0" w:color="D0D5DD"/>
              <w:left w:val="single" w:sz="6" w:space="0" w:color="D0D5DD"/>
              <w:bottom w:val="single" w:sz="6" w:space="0" w:color="D0D5DD"/>
              <w:right w:val="single" w:sz="6" w:space="0" w:color="D0D5DD"/>
            </w:tcBorders>
          </w:tcPr>
          <w:p>
            <w:r>
              <w:rPr>
                <w:sz w:val="18"/>
              </w:rPr>
              <w:t>Sí</w:t>
            </w:r>
          </w:p>
        </w:tc>
      </w:tr>
      <w:tr>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Status Político</w:t>
            </w:r>
          </w:p>
        </w:tc>
        <w:tc>
          <w:tcPr>
            <w:tcW w:type="dxa" w:w="2268"/>
            <w:shd w:val="clear" w:color="auto" w:fill="F5F7FA"/>
            <w:tcBorders>
              <w:top w:val="single" w:sz="6" w:space="0" w:color="D0D5DD"/>
              <w:left w:val="single" w:sz="6" w:space="0" w:color="D0D5DD"/>
              <w:bottom w:val="single" w:sz="6" w:space="0" w:color="D0D5DD"/>
              <w:right w:val="single" w:sz="6" w:space="0" w:color="D0D5DD"/>
            </w:tcBorders>
          </w:tcPr>
          <w:p>
            <w:r>
              <w:rPr>
                <w:sz w:val="18"/>
              </w:rPr>
              <w:t>PEP/CPE</w:t>
            </w:r>
          </w:p>
        </w:tc>
        <w:tc>
          <w:tcPr>
            <w:tcW w:type="dxa" w:w="3118"/>
            <w:shd w:val="clear" w:color="auto" w:fill="F5F7FA"/>
            <w:tcBorders>
              <w:top w:val="single" w:sz="6" w:space="0" w:color="D0D5DD"/>
              <w:left w:val="single" w:sz="6" w:space="0" w:color="D0D5DD"/>
              <w:bottom w:val="single" w:sz="6" w:space="0" w:color="D0D5DD"/>
              <w:right w:val="single" w:sz="6" w:space="0" w:color="D0D5DD"/>
            </w:tcBorders>
          </w:tcPr>
          <w:p>
            <w:r>
              <w:rPr>
                <w:sz w:val="18"/>
              </w:rPr>
              <w:t>Persona Expuesta / Contratista</w:t>
            </w:r>
          </w:p>
        </w:tc>
        <w:tc>
          <w:tcPr>
            <w:tcW w:type="dxa" w:w="1134"/>
            <w:shd w:val="clear" w:color="auto" w:fill="F5F7FA"/>
            <w:tcBorders>
              <w:top w:val="single" w:sz="6" w:space="0" w:color="D0D5DD"/>
              <w:left w:val="single" w:sz="6" w:space="0" w:color="D0D5DD"/>
              <w:bottom w:val="single" w:sz="6" w:space="0" w:color="D0D5DD"/>
              <w:right w:val="single" w:sz="6" w:space="0" w:color="D0D5DD"/>
            </w:tcBorders>
          </w:tcPr>
          <w:p>
            <w:r>
              <w:rPr>
                <w:sz w:val="18"/>
              </w:rPr>
              <w:t>2</w:t>
            </w:r>
          </w:p>
        </w:tc>
        <w:tc>
          <w:tcPr>
            <w:tcW w:type="dxa" w:w="1417"/>
            <w:shd w:val="clear" w:color="auto" w:fill="F5F7FA"/>
            <w:tcBorders>
              <w:top w:val="single" w:sz="6" w:space="0" w:color="D0D5DD"/>
              <w:left w:val="single" w:sz="6" w:space="0" w:color="D0D5DD"/>
              <w:bottom w:val="single" w:sz="6" w:space="0" w:color="D0D5DD"/>
              <w:right w:val="single" w:sz="6" w:space="0" w:color="D0D5DD"/>
            </w:tcBorders>
          </w:tcPr>
          <w:p>
            <w:r>
              <w:rPr>
                <w:sz w:val="18"/>
              </w:rPr>
              <w:t>Sí</w:t>
            </w:r>
          </w:p>
        </w:tc>
      </w:tr>
    </w:tbl>
    <w:p>
      <w:pPr>
        <w:pStyle w:val="Heading1"/>
      </w:pPr>
      <w:r>
        <w:rPr>
          <w:color w:val="1A2744"/>
        </w:rPr>
        <w:t>6. Niveles de Alerta SOVEREIGN</w:t>
      </w:r>
    </w:p>
    <w:tbl>
      <w:tblPr>
        <w:tblStyle w:val="TableGrid"/>
        <w:tblW w:type="auto" w:w="0"/>
        <w:tblLook w:firstColumn="1" w:firstRow="1" w:lastColumn="0" w:lastRow="0" w:noHBand="0" w:noVBand="1" w:val="04A0"/>
      </w:tblPr>
      <w:tblGrid>
        <w:gridCol w:w="3041"/>
        <w:gridCol w:w="3041"/>
        <w:gridCol w:w="3041"/>
      </w:tblGrid>
      <w:tr>
        <w:tc>
          <w:tcPr>
            <w:tcW w:type="dxa" w:w="1417"/>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Nivel</w:t>
            </w:r>
          </w:p>
        </w:tc>
        <w:tc>
          <w:tcPr>
            <w:tcW w:type="dxa" w:w="3685"/>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Score Requerido</w:t>
            </w:r>
          </w:p>
        </w:tc>
        <w:tc>
          <w:tcPr>
            <w:tcW w:type="dxa" w:w="4252"/>
            <w:shd w:val="clear" w:color="auto" w:fill="1A2744"/>
            <w:tcBorders>
              <w:top w:val="single" w:sz="6" w:space="0" w:color="1A2744"/>
              <w:left w:val="single" w:sz="6" w:space="0" w:color="1A2744"/>
              <w:bottom w:val="single" w:sz="6" w:space="0" w:color="1A2744"/>
              <w:right w:val="single" w:sz="6" w:space="0" w:color="1A2744"/>
            </w:tcBorders>
          </w:tcPr>
          <w:p>
            <w:pPr>
              <w:jc w:val="center"/>
            </w:pPr>
            <w:r>
              <w:rPr>
                <w:b/>
                <w:color w:val="FFFFFF"/>
                <w:sz w:val="19"/>
              </w:rPr>
              <w:t>Acción de Mitigación</w:t>
            </w:r>
          </w:p>
        </w:tc>
      </w:tr>
      <w:tr>
        <w:tc>
          <w:tcPr>
            <w:tcW w:type="dxa" w:w="1417"/>
            <w:shd w:val="clear" w:color="auto" w:fill="F5F7FA"/>
            <w:tcBorders>
              <w:top w:val="single" w:sz="6" w:space="0" w:color="D0D5DD"/>
              <w:left w:val="single" w:sz="6" w:space="0" w:color="D0D5DD"/>
              <w:bottom w:val="single" w:sz="6" w:space="0" w:color="D0D5DD"/>
              <w:right w:val="single" w:sz="6" w:space="0" w:color="D0D5DD"/>
            </w:tcBorders>
          </w:tcPr>
          <w:p>
            <w:r>
              <w:rPr>
                <w:sz w:val="18"/>
              </w:rPr>
              <w:t>Crítico</w:t>
            </w:r>
          </w:p>
        </w:tc>
        <w:tc>
          <w:tcPr>
            <w:tcW w:type="dxa" w:w="3685"/>
            <w:shd w:val="clear" w:color="auto" w:fill="F5F7FA"/>
            <w:tcBorders>
              <w:top w:val="single" w:sz="6" w:space="0" w:color="D0D5DD"/>
              <w:left w:val="single" w:sz="6" w:space="0" w:color="D0D5DD"/>
              <w:bottom w:val="single" w:sz="6" w:space="0" w:color="D0D5DD"/>
              <w:right w:val="single" w:sz="6" w:space="0" w:color="D0D5DD"/>
            </w:tcBorders>
          </w:tcPr>
          <w:p>
            <w:r>
              <w:rPr>
                <w:sz w:val="18"/>
              </w:rPr>
              <w:t>≥ 8.0</w:t>
            </w:r>
          </w:p>
        </w:tc>
        <w:tc>
          <w:tcPr>
            <w:tcW w:type="dxa" w:w="4252"/>
            <w:shd w:val="clear" w:color="auto" w:fill="F5F7FA"/>
            <w:tcBorders>
              <w:top w:val="single" w:sz="6" w:space="0" w:color="D0D5DD"/>
              <w:left w:val="single" w:sz="6" w:space="0" w:color="D0D5DD"/>
              <w:bottom w:val="single" w:sz="6" w:space="0" w:color="D0D5DD"/>
              <w:right w:val="single" w:sz="6" w:space="0" w:color="D0D5DD"/>
            </w:tcBorders>
          </w:tcPr>
          <w:p>
            <w:r>
              <w:rPr>
                <w:sz w:val="18"/>
              </w:rPr>
              <w:t>Bloqueo inmediato y Reporte de Operación Sospechosa (ROS)</w:t>
            </w:r>
          </w:p>
        </w:tc>
      </w:tr>
      <w:tr>
        <w:tc>
          <w:tcPr>
            <w:tcW w:type="dxa" w:w="1417"/>
            <w:shd w:val="clear" w:color="auto" w:fill="FFFFFF"/>
            <w:tcBorders>
              <w:top w:val="single" w:sz="6" w:space="0" w:color="D0D5DD"/>
              <w:left w:val="single" w:sz="6" w:space="0" w:color="D0D5DD"/>
              <w:bottom w:val="single" w:sz="6" w:space="0" w:color="D0D5DD"/>
              <w:right w:val="single" w:sz="6" w:space="0" w:color="D0D5DD"/>
            </w:tcBorders>
          </w:tcPr>
          <w:p>
            <w:r>
              <w:rPr>
                <w:sz w:val="18"/>
              </w:rPr>
              <w:t>Alto</w:t>
            </w:r>
          </w:p>
        </w:tc>
        <w:tc>
          <w:tcPr>
            <w:tcW w:type="dxa" w:w="3685"/>
            <w:shd w:val="clear" w:color="auto" w:fill="FFFFFF"/>
            <w:tcBorders>
              <w:top w:val="single" w:sz="6" w:space="0" w:color="D0D5DD"/>
              <w:left w:val="single" w:sz="6" w:space="0" w:color="D0D5DD"/>
              <w:bottom w:val="single" w:sz="6" w:space="0" w:color="D0D5DD"/>
              <w:right w:val="single" w:sz="6" w:space="0" w:color="D0D5DD"/>
            </w:tcBorders>
          </w:tcPr>
          <w:p>
            <w:r>
              <w:rPr>
                <w:sz w:val="18"/>
              </w:rPr>
              <w:t>5.0 - 7.9</w:t>
            </w:r>
          </w:p>
        </w:tc>
        <w:tc>
          <w:tcPr>
            <w:tcW w:type="dxa" w:w="4252"/>
            <w:shd w:val="clear" w:color="auto" w:fill="FFFFFF"/>
            <w:tcBorders>
              <w:top w:val="single" w:sz="6" w:space="0" w:color="D0D5DD"/>
              <w:left w:val="single" w:sz="6" w:space="0" w:color="D0D5DD"/>
              <w:bottom w:val="single" w:sz="6" w:space="0" w:color="D0D5DD"/>
              <w:right w:val="single" w:sz="6" w:space="0" w:color="D0D5DD"/>
            </w:tcBorders>
          </w:tcPr>
          <w:p>
            <w:r>
              <w:rPr>
                <w:sz w:val="18"/>
              </w:rPr>
              <w:t>Debida Diligencia Ampliada (EDD) obligatoria</w:t>
            </w:r>
          </w:p>
        </w:tc>
      </w:tr>
      <w:tr>
        <w:tc>
          <w:tcPr>
            <w:tcW w:type="dxa" w:w="1417"/>
            <w:shd w:val="clear" w:color="auto" w:fill="F5F7FA"/>
            <w:tcBorders>
              <w:top w:val="single" w:sz="6" w:space="0" w:color="D0D5DD"/>
              <w:left w:val="single" w:sz="6" w:space="0" w:color="D0D5DD"/>
              <w:bottom w:val="single" w:sz="6" w:space="0" w:color="D0D5DD"/>
              <w:right w:val="single" w:sz="6" w:space="0" w:color="D0D5DD"/>
            </w:tcBorders>
          </w:tcPr>
          <w:p>
            <w:r>
              <w:rPr>
                <w:sz w:val="18"/>
              </w:rPr>
              <w:t>Medio</w:t>
            </w:r>
          </w:p>
        </w:tc>
        <w:tc>
          <w:tcPr>
            <w:tcW w:type="dxa" w:w="3685"/>
            <w:shd w:val="clear" w:color="auto" w:fill="F5F7FA"/>
            <w:tcBorders>
              <w:top w:val="single" w:sz="6" w:space="0" w:color="D0D5DD"/>
              <w:left w:val="single" w:sz="6" w:space="0" w:color="D0D5DD"/>
              <w:bottom w:val="single" w:sz="6" w:space="0" w:color="D0D5DD"/>
              <w:right w:val="single" w:sz="6" w:space="0" w:color="D0D5DD"/>
            </w:tcBorders>
          </w:tcPr>
          <w:p>
            <w:r>
              <w:rPr>
                <w:sz w:val="18"/>
              </w:rPr>
              <w:t>3.0 - 4.9</w:t>
            </w:r>
          </w:p>
        </w:tc>
        <w:tc>
          <w:tcPr>
            <w:tcW w:type="dxa" w:w="4252"/>
            <w:shd w:val="clear" w:color="auto" w:fill="F5F7FA"/>
            <w:tcBorders>
              <w:top w:val="single" w:sz="6" w:space="0" w:color="D0D5DD"/>
              <w:left w:val="single" w:sz="6" w:space="0" w:color="D0D5DD"/>
              <w:bottom w:val="single" w:sz="6" w:space="0" w:color="D0D5DD"/>
              <w:right w:val="single" w:sz="6" w:space="0" w:color="D0D5DD"/>
            </w:tcBorders>
          </w:tcPr>
          <w:p>
            <w:r>
              <w:rPr>
                <w:sz w:val="18"/>
              </w:rPr>
              <w:t>Monitoreo reforzado y actualización de perfil</w:t>
            </w:r>
          </w:p>
        </w:tc>
      </w:tr>
      <w:tr>
        <w:tc>
          <w:tcPr>
            <w:tcW w:type="dxa" w:w="1417"/>
            <w:shd w:val="clear" w:color="auto" w:fill="FFFFFF"/>
            <w:tcBorders>
              <w:top w:val="single" w:sz="6" w:space="0" w:color="D0D5DD"/>
              <w:left w:val="single" w:sz="6" w:space="0" w:color="D0D5DD"/>
              <w:bottom w:val="single" w:sz="6" w:space="0" w:color="D0D5DD"/>
              <w:right w:val="single" w:sz="6" w:space="0" w:color="D0D5DD"/>
            </w:tcBorders>
          </w:tcPr>
          <w:p>
            <w:r>
              <w:rPr>
                <w:sz w:val="18"/>
              </w:rPr>
              <w:t>Bajo</w:t>
            </w:r>
          </w:p>
        </w:tc>
        <w:tc>
          <w:tcPr>
            <w:tcW w:type="dxa" w:w="3685"/>
            <w:shd w:val="clear" w:color="auto" w:fill="FFFFFF"/>
            <w:tcBorders>
              <w:top w:val="single" w:sz="6" w:space="0" w:color="D0D5DD"/>
              <w:left w:val="single" w:sz="6" w:space="0" w:color="D0D5DD"/>
              <w:bottom w:val="single" w:sz="6" w:space="0" w:color="D0D5DD"/>
              <w:right w:val="single" w:sz="6" w:space="0" w:color="D0D5DD"/>
            </w:tcBorders>
          </w:tcPr>
          <w:p>
            <w:r>
              <w:rPr>
                <w:sz w:val="18"/>
              </w:rPr>
              <w:t>&lt; 3.0</w:t>
            </w:r>
          </w:p>
        </w:tc>
        <w:tc>
          <w:tcPr>
            <w:tcW w:type="dxa" w:w="4252"/>
            <w:shd w:val="clear" w:color="auto" w:fill="FFFFFF"/>
            <w:tcBorders>
              <w:top w:val="single" w:sz="6" w:space="0" w:color="D0D5DD"/>
              <w:left w:val="single" w:sz="6" w:space="0" w:color="D0D5DD"/>
              <w:bottom w:val="single" w:sz="6" w:space="0" w:color="D0D5DD"/>
              <w:right w:val="single" w:sz="6" w:space="0" w:color="D0D5DD"/>
            </w:tcBorders>
          </w:tcPr>
          <w:p>
            <w:r>
              <w:rPr>
                <w:sz w:val="18"/>
              </w:rPr>
              <w:t>Vigilancia rutinaria</w:t>
            </w:r>
          </w:p>
        </w:tc>
      </w:tr>
    </w:tbl>
    <w:p>
      <w:pPr>
        <w:pStyle w:val="Heading1"/>
      </w:pPr>
      <w:r>
        <w:rPr>
          <w:color w:val="1A2744"/>
        </w:rPr>
        <w:t>7. Módulos de Inteligencia</w:t>
      </w:r>
    </w:p>
    <w:p>
      <w:pPr>
        <w:pStyle w:val="Heading2"/>
      </w:pPr>
      <w:r>
        <w:rPr>
          <w:color w:val="1E3A5F"/>
        </w:rPr>
        <w:t>📋 Resumen Ejecutivo</w:t>
      </w:r>
    </w:p>
    <w:p>
      <w:r>
        <w:rPr>
          <w:sz w:val="21"/>
        </w:rPr>
        <w:t>KPIs centrales, distribución de riesgo y matriz de oportunidad de canal.</w:t>
      </w:r>
    </w:p>
    <w:p>
      <w:pPr>
        <w:pStyle w:val="Heading2"/>
      </w:pPr>
      <w:r>
        <w:rPr>
          <w:color w:val="1E3A5F"/>
        </w:rPr>
        <w:t>🚨 Casos de Alerta</w:t>
      </w:r>
    </w:p>
    <w:p>
      <w:r>
        <w:rPr>
          <w:sz w:val="21"/>
        </w:rPr>
        <w:t>Centro de gestión de hallazgos con filtrado avanzado por score y tipo.</w:t>
      </w:r>
    </w:p>
    <w:p>
      <w:pPr>
        <w:pStyle w:val="Heading2"/>
      </w:pPr>
      <w:r>
        <w:rPr>
          <w:color w:val="1E3A5F"/>
        </w:rPr>
        <w:t>🌐 Red Transaccional</w:t>
      </w:r>
    </w:p>
    <w:p>
      <w:r>
        <w:rPr>
          <w:sz w:val="21"/>
        </w:rPr>
        <w:t>Visualización de grafos para detectar estratificación y cuentas puente.</w:t>
      </w:r>
    </w:p>
    <w:p>
      <w:pPr>
        <w:pStyle w:val="Heading2"/>
      </w:pPr>
      <w:r>
        <w:rPr>
          <w:color w:val="1E3A5F"/>
        </w:rPr>
        <w:t>🛡️ Acciones de Mitigación</w:t>
      </w:r>
    </w:p>
    <w:p>
      <w:r>
        <w:rPr>
          <w:sz w:val="21"/>
        </w:rPr>
        <w:t>Módulo de gestión de riesgos basado en el enfoque RBA del GAFI.</w:t>
      </w:r>
    </w:p>
    <w:p>
      <w:pPr>
        <w:pStyle w:val="Heading2"/>
      </w:pPr>
      <w:r>
        <w:rPr>
          <w:color w:val="1E3A5F"/>
        </w:rPr>
        <w:t>📍 Gestión de Ubicaciones</w:t>
      </w:r>
    </w:p>
    <w:p>
      <w:r>
        <w:rPr>
          <w:sz w:val="21"/>
        </w:rPr>
        <w:t>Configuración dinámica de zonas de riesgo geográfico.</w:t>
      </w:r>
    </w:p>
    <w:p>
      <w:pPr>
        <w:pStyle w:val="Heading2"/>
      </w:pPr>
      <w:r>
        <w:rPr>
          <w:color w:val="1E3A5F"/>
        </w:rPr>
        <w:t>📊 Informes y Reportes</w:t>
      </w:r>
    </w:p>
    <w:p>
      <w:r>
        <w:rPr>
          <w:sz w:val="21"/>
        </w:rPr>
        <w:t>Generación de reportes PDF de alta fidelidad para entes reguladores.</w:t>
      </w:r>
    </w:p>
    <w:p>
      <w:pPr>
        <w:pStyle w:val="Heading2"/>
      </w:pPr>
      <w:r>
        <w:rPr>
          <w:color w:val="1E3A5F"/>
        </w:rPr>
        <w:t>👤 Análisis por Cliente</w:t>
      </w:r>
    </w:p>
    <w:p>
      <w:r>
        <w:rPr>
          <w:sz w:val="21"/>
        </w:rPr>
        <w:t>Perfil 360° con tendencias, mapas de calor y resumen generado por IA.</w:t>
      </w:r>
    </w:p>
    <w:p>
      <w:pPr>
        <w:pStyle w:val="Heading2"/>
      </w:pPr>
      <w:r>
        <w:rPr>
          <w:color w:val="1E3A5F"/>
        </w:rPr>
        <w:t>⚙️ Configuración</w:t>
      </w:r>
    </w:p>
    <w:p>
      <w:r>
        <w:rPr>
          <w:sz w:val="21"/>
        </w:rPr>
        <w:t>Control total de umbrales, pesos y parámetros del motor IMPERATOR.</w:t>
      </w:r>
    </w:p>
    <w:p>
      <w:pPr>
        <w:pStyle w:val="Heading2"/>
      </w:pPr>
      <w:r>
        <w:rPr>
          <w:color w:val="1E3A5F"/>
        </w:rPr>
        <w:t>Imperator Diagnostics</w:t>
      </w:r>
    </w:p>
    <w:p>
      <w:r>
        <w:rPr>
          <w:sz w:val="21"/>
        </w:rPr>
        <w:t>Módulo de validación analítica que revisa dominancia de reglas, explicabilidad del score, falsos positivos estimados, pruebas de estrés de configuración y densidad de riesgo de cartera.</w:t>
      </w:r>
    </w:p>
    <w:p>
      <w:pPr>
        <w:pStyle w:val="Heading2"/>
      </w:pPr>
      <w:r>
        <w:rPr>
          <w:color w:val="1E3A5F"/>
        </w:rPr>
        <w:t>Tablas de lectura nítida</w:t>
      </w:r>
    </w:p>
    <w:p>
      <w:r>
        <w:rPr>
          <w:sz w:val="21"/>
        </w:rPr>
        <w:t>Las vistas tabulares de la plataforma utilizan un render HTML estático con la paleta institucional para evitar desenfoque visual observado en componentes interactivos del navegador. Este patrón se aplica en Red Transaccional, Resumen Ejecutivo, Casos de Alerta, Transacciones, Matrices e Imperator Diagnostics.</w:t>
      </w:r>
    </w:p>
    <w:p>
      <w:pPr>
        <w:pStyle w:val="Heading1"/>
      </w:pPr>
      <w:r>
        <w:rPr>
          <w:color w:val="1A2744"/>
        </w:rPr>
        <w:t>8. Seguridad y Cumplimiento</w:t>
      </w:r>
    </w:p>
    <w:p>
      <w:pPr>
        <w:pStyle w:val="Heading2"/>
      </w:pPr>
      <w:r>
        <w:rPr>
          <w:color w:val="1E3A5F"/>
        </w:rPr>
        <w:t>Control de Acceso</w:t>
      </w:r>
    </w:p>
    <w:p>
      <w:r>
        <w:rPr>
          <w:sz w:val="21"/>
        </w:rPr>
        <w:t>Autenticación robusta via Auth API con gestión de licencias corporativas.</w:t>
      </w:r>
    </w:p>
    <w:p>
      <w:pPr>
        <w:pStyle w:val="Heading2"/>
      </w:pPr>
      <w:r>
        <w:rPr>
          <w:color w:val="1E3A5F"/>
        </w:rPr>
        <w:t>OWASP Top 10</w:t>
      </w:r>
    </w:p>
    <w:p>
      <w:r>
        <w:rPr>
          <w:sz w:val="21"/>
        </w:rPr>
        <w:t>Diseño orientado a la seguridad: prevención de inyecciones, control de acceso roto y fallos criptográficos.</w:t>
      </w:r>
    </w:p>
    <w:p>
      <w:pPr>
        <w:pStyle w:val="Heading2"/>
      </w:pPr>
      <w:r>
        <w:rPr>
          <w:color w:val="1E3A5F"/>
        </w:rPr>
        <w:t>IA Generativa</w:t>
      </w:r>
    </w:p>
    <w:p>
      <w:r>
        <w:rPr>
          <w:sz w:val="21"/>
        </w:rPr>
        <w:t>Resúmenes analíticos automatizados mediante integración con modelos de lenguaje avanzados.</w:t>
      </w:r>
    </w:p>
    <w:p>
      <w:pPr>
        <w:pStyle w:val="Heading2"/>
      </w:pPr>
      <w:r>
        <w:rPr>
          <w:color w:val="1E3A5F"/>
        </w:rPr>
        <w:t>Portabilidad</w:t>
      </w:r>
    </w:p>
    <w:p>
      <w:r>
        <w:rPr>
          <w:sz w:val="21"/>
        </w:rPr>
        <w:t>Estructura modular compatible con entornos locales y despliegues en la nube.</w:t>
      </w:r>
    </w:p>
    <w:p>
      <w:pPr>
        <w:pStyle w:val="Heading2"/>
      </w:pPr>
      <w:r>
        <w:rPr>
          <w:color w:val="1E3A5F"/>
        </w:rPr>
        <w:t>Gestión de dependencias</w:t>
      </w:r>
    </w:p>
    <w:p>
      <w:r>
        <w:rPr>
          <w:sz w:val="21"/>
        </w:rPr>
        <w:t>Las dependencias críticas se mantienen fijadas en requirements.txt para instalaciones reproducibles. La última auditoría con pip-audit no reportó vulnerabilidades conocidas.</w:t>
      </w:r>
    </w:p>
    <w:p>
      <w:pPr>
        <w:pStyle w:val="Heading2"/>
      </w:pPr>
      <w:r>
        <w:rPr>
          <w:color w:val="1E3A5F"/>
        </w:rPr>
        <w:t>Persistencia temporal</w:t>
      </w:r>
    </w:p>
    <w:p>
      <w:r>
        <w:rPr>
          <w:sz w:val="21"/>
        </w:rPr>
        <w:t>El análisis cargado se conserva sólo durante la sesión activa y se purga al cerrar sesión o al vencimiento por inactividad.</w:t>
      </w:r>
    </w:p>
    <w:p/>
    <w:p>
      <w:pPr>
        <w:jc w:val="center"/>
      </w:pPr>
      <w:r>
        <w:rPr>
          <w:color w:val="888888"/>
          <w:sz w:val="18"/>
        </w:rPr>
        <w:t>SOVEREIGN AML Intelligence Platform v3.1  ·  Generado el 13/05/2026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