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2744"/>
          <w:sz w:val="52"/>
        </w:rPr>
        <w:t>AML INTELLIGENCE PLATFORM</w:t>
      </w:r>
    </w:p>
    <w:p>
      <w:pPr>
        <w:jc w:val="center"/>
      </w:pPr>
      <w:r>
        <w:rPr>
          <w:color w:val="345E8A"/>
          <w:sz w:val="28"/>
        </w:rPr>
        <w:t>Documentación Técnica de Ejecución y Uso</w:t>
      </w:r>
    </w:p>
    <w:p/>
    <w:p>
      <w:pPr>
        <w:jc w:val="center"/>
      </w:pPr>
      <w:r>
        <w:rPr>
          <w:sz w:val="20"/>
        </w:rPr>
        <w:t>Versión 2.5  ·  06 de April de 2026</w:t>
      </w:r>
    </w:p>
    <w:p>
      <w:pPr>
        <w:jc w:val="center"/>
      </w:pPr>
      <w:r>
        <w:rPr>
          <w:color w:val="555E6D"/>
          <w:sz w:val="20"/>
        </w:rPr>
        <w:t>Ing. Hobéd Díaz — Msc. M.A.F.I</w:t>
      </w:r>
    </w:p>
    <w:p>
      <w:r>
        <w:br w:type="page"/>
      </w:r>
    </w:p>
    <w:p>
      <w:pPr>
        <w:pStyle w:val="Heading1"/>
      </w:pPr>
      <w:r>
        <w:rPr>
          <w:color w:val="1A2744"/>
        </w:rPr>
        <w:t>1. Introducción</w:t>
      </w:r>
    </w:p>
    <w:p>
      <w:r>
        <w:rPr>
          <w:sz w:val="21"/>
        </w:rPr>
        <w:t>AML Intelligence Platform es una solución integral de Business Intelligence (BI) y cumplimiento normativo. A diferencia de las herramientas reactivas tradicionales, esta plataforma utiliza análisis de datos avanzado para transformar el monitoreo de riesgos en oportunidades estratégicas de negocio, permitiendo identificar tendencias de mercado y proyecciones de crecimiento mientras se mantiene una postura de seguridad impecable.</w:t>
      </w:r>
    </w:p>
    <w:p>
      <w:r>
        <w:rPr>
          <w:sz w:val="21"/>
        </w:rPr>
        <w:t>La plataforma está dirigida a oficiales de cumplimiento, analistas AML y supervisores operativos de instituciones financieras que requieren una herramienta ágil para el procesamiento de datos transaccionales y la generación de reportes de riesgo.</w:t>
      </w:r>
    </w:p>
    <w:p>
      <w:pPr>
        <w:pStyle w:val="Heading1"/>
      </w:pPr>
      <w:r>
        <w:rPr>
          <w:color w:val="1A2744"/>
        </w:rPr>
        <w:t>2. Requisitos del Sistema</w:t>
      </w:r>
    </w:p>
    <w:p>
      <w:pPr>
        <w:pStyle w:val="Heading2"/>
      </w:pPr>
      <w:r>
        <w:rPr>
          <w:color w:val="1E3A5F"/>
        </w:rPr>
        <w:t>2.1 Software</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Componente</w:t>
            </w:r>
          </w:p>
        </w:tc>
        <w:tc>
          <w:tcPr>
            <w:tcW w:type="dxa" w:w="1984"/>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Versión mínima</w:t>
            </w:r>
          </w:p>
        </w:tc>
        <w:tc>
          <w:tcPr>
            <w:tcW w:type="dxa" w:w="5102"/>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Descripción</w:t>
            </w:r>
          </w:p>
        </w:tc>
      </w:tr>
      <w:tr>
        <w:tc>
          <w:tcPr>
            <w:tcW w:type="dxa" w:w="2268"/>
            <w:shd w:val="clear" w:color="auto" w:fill="F5F7FA"/>
            <w:tcBorders>
              <w:top w:val="single" w:sz="6" w:space="0" w:color="D0D5DD"/>
              <w:left w:val="single" w:sz="6" w:space="0" w:color="D0D5DD"/>
              <w:bottom w:val="single" w:sz="6" w:space="0" w:color="D0D5DD"/>
              <w:right w:val="single" w:sz="6" w:space="0" w:color="D0D5DD"/>
            </w:tcBorders>
          </w:tcPr>
          <w:p>
            <w:r>
              <w:rPr>
                <w:sz w:val="18"/>
              </w:rPr>
              <w:t>Python</w:t>
            </w:r>
          </w:p>
        </w:tc>
        <w:tc>
          <w:tcPr>
            <w:tcW w:type="dxa" w:w="1984"/>
            <w:shd w:val="clear" w:color="auto" w:fill="F5F7FA"/>
            <w:tcBorders>
              <w:top w:val="single" w:sz="6" w:space="0" w:color="D0D5DD"/>
              <w:left w:val="single" w:sz="6" w:space="0" w:color="D0D5DD"/>
              <w:bottom w:val="single" w:sz="6" w:space="0" w:color="D0D5DD"/>
              <w:right w:val="single" w:sz="6" w:space="0" w:color="D0D5DD"/>
            </w:tcBorders>
          </w:tcPr>
          <w:p>
            <w:r>
              <w:rPr>
                <w:sz w:val="18"/>
              </w:rPr>
              <w:t>3.9+</w:t>
            </w:r>
          </w:p>
        </w:tc>
        <w:tc>
          <w:tcPr>
            <w:tcW w:type="dxa" w:w="5102"/>
            <w:shd w:val="clear" w:color="auto" w:fill="F5F7FA"/>
            <w:tcBorders>
              <w:top w:val="single" w:sz="6" w:space="0" w:color="D0D5DD"/>
              <w:left w:val="single" w:sz="6" w:space="0" w:color="D0D5DD"/>
              <w:bottom w:val="single" w:sz="6" w:space="0" w:color="D0D5DD"/>
              <w:right w:val="single" w:sz="6" w:space="0" w:color="D0D5DD"/>
            </w:tcBorders>
          </w:tcPr>
          <w:p>
            <w:r>
              <w:rPr>
                <w:sz w:val="18"/>
              </w:rPr>
              <w:t>Lenguaje base del sistema</w:t>
            </w:r>
          </w:p>
        </w:tc>
      </w:tr>
      <w:tr>
        <w:tc>
          <w:tcPr>
            <w:tcW w:type="dxa" w:w="2268"/>
            <w:shd w:val="clear" w:color="auto" w:fill="FFFFFF"/>
            <w:tcBorders>
              <w:top w:val="single" w:sz="6" w:space="0" w:color="D0D5DD"/>
              <w:left w:val="single" w:sz="6" w:space="0" w:color="D0D5DD"/>
              <w:bottom w:val="single" w:sz="6" w:space="0" w:color="D0D5DD"/>
              <w:right w:val="single" w:sz="6" w:space="0" w:color="D0D5DD"/>
            </w:tcBorders>
          </w:tcPr>
          <w:p>
            <w:r>
              <w:rPr>
                <w:sz w:val="18"/>
              </w:rPr>
              <w:t>Streamlit</w:t>
            </w:r>
          </w:p>
        </w:tc>
        <w:tc>
          <w:tcPr>
            <w:tcW w:type="dxa" w:w="1984"/>
            <w:shd w:val="clear" w:color="auto" w:fill="FFFFFF"/>
            <w:tcBorders>
              <w:top w:val="single" w:sz="6" w:space="0" w:color="D0D5DD"/>
              <w:left w:val="single" w:sz="6" w:space="0" w:color="D0D5DD"/>
              <w:bottom w:val="single" w:sz="6" w:space="0" w:color="D0D5DD"/>
              <w:right w:val="single" w:sz="6" w:space="0" w:color="D0D5DD"/>
            </w:tcBorders>
          </w:tcPr>
          <w:p>
            <w:r>
              <w:rPr>
                <w:sz w:val="18"/>
              </w:rPr>
              <w:t>1.30+</w:t>
            </w:r>
          </w:p>
        </w:tc>
        <w:tc>
          <w:tcPr>
            <w:tcW w:type="dxa" w:w="5102"/>
            <w:shd w:val="clear" w:color="auto" w:fill="FFFFFF"/>
            <w:tcBorders>
              <w:top w:val="single" w:sz="6" w:space="0" w:color="D0D5DD"/>
              <w:left w:val="single" w:sz="6" w:space="0" w:color="D0D5DD"/>
              <w:bottom w:val="single" w:sz="6" w:space="0" w:color="D0D5DD"/>
              <w:right w:val="single" w:sz="6" w:space="0" w:color="D0D5DD"/>
            </w:tcBorders>
          </w:tcPr>
          <w:p>
            <w:r>
              <w:rPr>
                <w:sz w:val="18"/>
              </w:rPr>
              <w:t>Framework de interfaz web</w:t>
            </w:r>
          </w:p>
        </w:tc>
      </w:tr>
      <w:tr>
        <w:tc>
          <w:tcPr>
            <w:tcW w:type="dxa" w:w="2268"/>
            <w:shd w:val="clear" w:color="auto" w:fill="F5F7FA"/>
            <w:tcBorders>
              <w:top w:val="single" w:sz="6" w:space="0" w:color="D0D5DD"/>
              <w:left w:val="single" w:sz="6" w:space="0" w:color="D0D5DD"/>
              <w:bottom w:val="single" w:sz="6" w:space="0" w:color="D0D5DD"/>
              <w:right w:val="single" w:sz="6" w:space="0" w:color="D0D5DD"/>
            </w:tcBorders>
          </w:tcPr>
          <w:p>
            <w:r>
              <w:rPr>
                <w:sz w:val="18"/>
              </w:rPr>
              <w:t>pandas</w:t>
            </w:r>
          </w:p>
        </w:tc>
        <w:tc>
          <w:tcPr>
            <w:tcW w:type="dxa" w:w="1984"/>
            <w:shd w:val="clear" w:color="auto" w:fill="F5F7FA"/>
            <w:tcBorders>
              <w:top w:val="single" w:sz="6" w:space="0" w:color="D0D5DD"/>
              <w:left w:val="single" w:sz="6" w:space="0" w:color="D0D5DD"/>
              <w:bottom w:val="single" w:sz="6" w:space="0" w:color="D0D5DD"/>
              <w:right w:val="single" w:sz="6" w:space="0" w:color="D0D5DD"/>
            </w:tcBorders>
          </w:tcPr>
          <w:p>
            <w:r>
              <w:rPr>
                <w:sz w:val="18"/>
              </w:rPr>
              <w:t>2.0+</w:t>
            </w:r>
          </w:p>
        </w:tc>
        <w:tc>
          <w:tcPr>
            <w:tcW w:type="dxa" w:w="5102"/>
            <w:shd w:val="clear" w:color="auto" w:fill="F5F7FA"/>
            <w:tcBorders>
              <w:top w:val="single" w:sz="6" w:space="0" w:color="D0D5DD"/>
              <w:left w:val="single" w:sz="6" w:space="0" w:color="D0D5DD"/>
              <w:bottom w:val="single" w:sz="6" w:space="0" w:color="D0D5DD"/>
              <w:right w:val="single" w:sz="6" w:space="0" w:color="D0D5DD"/>
            </w:tcBorders>
          </w:tcPr>
          <w:p>
            <w:r>
              <w:rPr>
                <w:sz w:val="18"/>
              </w:rPr>
              <w:t>Procesamiento de datos tabulares</w:t>
            </w:r>
          </w:p>
        </w:tc>
      </w:tr>
      <w:tr>
        <w:tc>
          <w:tcPr>
            <w:tcW w:type="dxa" w:w="2268"/>
            <w:shd w:val="clear" w:color="auto" w:fill="FFFFFF"/>
            <w:tcBorders>
              <w:top w:val="single" w:sz="6" w:space="0" w:color="D0D5DD"/>
              <w:left w:val="single" w:sz="6" w:space="0" w:color="D0D5DD"/>
              <w:bottom w:val="single" w:sz="6" w:space="0" w:color="D0D5DD"/>
              <w:right w:val="single" w:sz="6" w:space="0" w:color="D0D5DD"/>
            </w:tcBorders>
          </w:tcPr>
          <w:p>
            <w:r>
              <w:rPr>
                <w:sz w:val="18"/>
              </w:rPr>
              <w:t>plotly</w:t>
            </w:r>
          </w:p>
        </w:tc>
        <w:tc>
          <w:tcPr>
            <w:tcW w:type="dxa" w:w="1984"/>
            <w:shd w:val="clear" w:color="auto" w:fill="FFFFFF"/>
            <w:tcBorders>
              <w:top w:val="single" w:sz="6" w:space="0" w:color="D0D5DD"/>
              <w:left w:val="single" w:sz="6" w:space="0" w:color="D0D5DD"/>
              <w:bottom w:val="single" w:sz="6" w:space="0" w:color="D0D5DD"/>
              <w:right w:val="single" w:sz="6" w:space="0" w:color="D0D5DD"/>
            </w:tcBorders>
          </w:tcPr>
          <w:p>
            <w:r>
              <w:rPr>
                <w:sz w:val="18"/>
              </w:rPr>
              <w:t>5.0+</w:t>
            </w:r>
          </w:p>
        </w:tc>
        <w:tc>
          <w:tcPr>
            <w:tcW w:type="dxa" w:w="5102"/>
            <w:shd w:val="clear" w:color="auto" w:fill="FFFFFF"/>
            <w:tcBorders>
              <w:top w:val="single" w:sz="6" w:space="0" w:color="D0D5DD"/>
              <w:left w:val="single" w:sz="6" w:space="0" w:color="D0D5DD"/>
              <w:bottom w:val="single" w:sz="6" w:space="0" w:color="D0D5DD"/>
              <w:right w:val="single" w:sz="6" w:space="0" w:color="D0D5DD"/>
            </w:tcBorders>
          </w:tcPr>
          <w:p>
            <w:r>
              <w:rPr>
                <w:sz w:val="18"/>
              </w:rPr>
              <w:t>Visualizaciones interactivas con hover</w:t>
            </w:r>
          </w:p>
        </w:tc>
      </w:tr>
      <w:tr>
        <w:tc>
          <w:tcPr>
            <w:tcW w:type="dxa" w:w="2268"/>
            <w:shd w:val="clear" w:color="auto" w:fill="F5F7FA"/>
            <w:tcBorders>
              <w:top w:val="single" w:sz="6" w:space="0" w:color="D0D5DD"/>
              <w:left w:val="single" w:sz="6" w:space="0" w:color="D0D5DD"/>
              <w:bottom w:val="single" w:sz="6" w:space="0" w:color="D0D5DD"/>
              <w:right w:val="single" w:sz="6" w:space="0" w:color="D0D5DD"/>
            </w:tcBorders>
          </w:tcPr>
          <w:p>
            <w:r>
              <w:rPr>
                <w:sz w:val="18"/>
              </w:rPr>
              <w:t>matplotlib</w:t>
            </w:r>
          </w:p>
        </w:tc>
        <w:tc>
          <w:tcPr>
            <w:tcW w:type="dxa" w:w="1984"/>
            <w:shd w:val="clear" w:color="auto" w:fill="F5F7FA"/>
            <w:tcBorders>
              <w:top w:val="single" w:sz="6" w:space="0" w:color="D0D5DD"/>
              <w:left w:val="single" w:sz="6" w:space="0" w:color="D0D5DD"/>
              <w:bottom w:val="single" w:sz="6" w:space="0" w:color="D0D5DD"/>
              <w:right w:val="single" w:sz="6" w:space="0" w:color="D0D5DD"/>
            </w:tcBorders>
          </w:tcPr>
          <w:p>
            <w:r>
              <w:rPr>
                <w:sz w:val="18"/>
              </w:rPr>
              <w:t>3.7+</w:t>
            </w:r>
          </w:p>
        </w:tc>
        <w:tc>
          <w:tcPr>
            <w:tcW w:type="dxa" w:w="5102"/>
            <w:shd w:val="clear" w:color="auto" w:fill="F5F7FA"/>
            <w:tcBorders>
              <w:top w:val="single" w:sz="6" w:space="0" w:color="D0D5DD"/>
              <w:left w:val="single" w:sz="6" w:space="0" w:color="D0D5DD"/>
              <w:bottom w:val="single" w:sz="6" w:space="0" w:color="D0D5DD"/>
              <w:right w:val="single" w:sz="6" w:space="0" w:color="D0D5DD"/>
            </w:tcBorders>
          </w:tcPr>
          <w:p>
            <w:r>
              <w:rPr>
                <w:sz w:val="18"/>
              </w:rPr>
              <w:t>Gráficos auxiliares (compatibilidad)</w:t>
            </w:r>
          </w:p>
        </w:tc>
      </w:tr>
      <w:tr>
        <w:tc>
          <w:tcPr>
            <w:tcW w:type="dxa" w:w="2268"/>
            <w:shd w:val="clear" w:color="auto" w:fill="FFFFFF"/>
            <w:tcBorders>
              <w:top w:val="single" w:sz="6" w:space="0" w:color="D0D5DD"/>
              <w:left w:val="single" w:sz="6" w:space="0" w:color="D0D5DD"/>
              <w:bottom w:val="single" w:sz="6" w:space="0" w:color="D0D5DD"/>
              <w:right w:val="single" w:sz="6" w:space="0" w:color="D0D5DD"/>
            </w:tcBorders>
          </w:tcPr>
          <w:p>
            <w:r>
              <w:rPr>
                <w:sz w:val="18"/>
              </w:rPr>
              <w:t>numpy</w:t>
            </w:r>
          </w:p>
        </w:tc>
        <w:tc>
          <w:tcPr>
            <w:tcW w:type="dxa" w:w="1984"/>
            <w:shd w:val="clear" w:color="auto" w:fill="FFFFFF"/>
            <w:tcBorders>
              <w:top w:val="single" w:sz="6" w:space="0" w:color="D0D5DD"/>
              <w:left w:val="single" w:sz="6" w:space="0" w:color="D0D5DD"/>
              <w:bottom w:val="single" w:sz="6" w:space="0" w:color="D0D5DD"/>
              <w:right w:val="single" w:sz="6" w:space="0" w:color="D0D5DD"/>
            </w:tcBorders>
          </w:tcPr>
          <w:p>
            <w:r>
              <w:rPr>
                <w:sz w:val="18"/>
              </w:rPr>
              <w:t>1.24+</w:t>
            </w:r>
          </w:p>
        </w:tc>
        <w:tc>
          <w:tcPr>
            <w:tcW w:type="dxa" w:w="5102"/>
            <w:shd w:val="clear" w:color="auto" w:fill="FFFFFF"/>
            <w:tcBorders>
              <w:top w:val="single" w:sz="6" w:space="0" w:color="D0D5DD"/>
              <w:left w:val="single" w:sz="6" w:space="0" w:color="D0D5DD"/>
              <w:bottom w:val="single" w:sz="6" w:space="0" w:color="D0D5DD"/>
              <w:right w:val="single" w:sz="6" w:space="0" w:color="D0D5DD"/>
            </w:tcBorders>
          </w:tcPr>
          <w:p>
            <w:r>
              <w:rPr>
                <w:sz w:val="18"/>
              </w:rPr>
              <w:t>Cálculos numéricos y estadísticos</w:t>
            </w:r>
          </w:p>
        </w:tc>
      </w:tr>
      <w:tr>
        <w:tc>
          <w:tcPr>
            <w:tcW w:type="dxa" w:w="2268"/>
            <w:shd w:val="clear" w:color="auto" w:fill="F5F7FA"/>
            <w:tcBorders>
              <w:top w:val="single" w:sz="6" w:space="0" w:color="D0D5DD"/>
              <w:left w:val="single" w:sz="6" w:space="0" w:color="D0D5DD"/>
              <w:bottom w:val="single" w:sz="6" w:space="0" w:color="D0D5DD"/>
              <w:right w:val="single" w:sz="6" w:space="0" w:color="D0D5DD"/>
            </w:tcBorders>
          </w:tcPr>
          <w:p>
            <w:r>
              <w:rPr>
                <w:sz w:val="18"/>
              </w:rPr>
              <w:t>openpyxl</w:t>
            </w:r>
          </w:p>
        </w:tc>
        <w:tc>
          <w:tcPr>
            <w:tcW w:type="dxa" w:w="1984"/>
            <w:shd w:val="clear" w:color="auto" w:fill="F5F7FA"/>
            <w:tcBorders>
              <w:top w:val="single" w:sz="6" w:space="0" w:color="D0D5DD"/>
              <w:left w:val="single" w:sz="6" w:space="0" w:color="D0D5DD"/>
              <w:bottom w:val="single" w:sz="6" w:space="0" w:color="D0D5DD"/>
              <w:right w:val="single" w:sz="6" w:space="0" w:color="D0D5DD"/>
            </w:tcBorders>
          </w:tcPr>
          <w:p>
            <w:r>
              <w:rPr>
                <w:sz w:val="18"/>
              </w:rPr>
              <w:t>3.1+</w:t>
            </w:r>
          </w:p>
        </w:tc>
        <w:tc>
          <w:tcPr>
            <w:tcW w:type="dxa" w:w="5102"/>
            <w:shd w:val="clear" w:color="auto" w:fill="F5F7FA"/>
            <w:tcBorders>
              <w:top w:val="single" w:sz="6" w:space="0" w:color="D0D5DD"/>
              <w:left w:val="single" w:sz="6" w:space="0" w:color="D0D5DD"/>
              <w:bottom w:val="single" w:sz="6" w:space="0" w:color="D0D5DD"/>
              <w:right w:val="single" w:sz="6" w:space="0" w:color="D0D5DD"/>
            </w:tcBorders>
          </w:tcPr>
          <w:p>
            <w:r>
              <w:rPr>
                <w:sz w:val="18"/>
              </w:rPr>
              <w:t>Lectura de archivos Excel (.xlsx)</w:t>
            </w:r>
          </w:p>
        </w:tc>
      </w:tr>
      <w:tr>
        <w:tc>
          <w:tcPr>
            <w:tcW w:type="dxa" w:w="2268"/>
            <w:shd w:val="clear" w:color="auto" w:fill="FFFFFF"/>
            <w:tcBorders>
              <w:top w:val="single" w:sz="6" w:space="0" w:color="D0D5DD"/>
              <w:left w:val="single" w:sz="6" w:space="0" w:color="D0D5DD"/>
              <w:bottom w:val="single" w:sz="6" w:space="0" w:color="D0D5DD"/>
              <w:right w:val="single" w:sz="6" w:space="0" w:color="D0D5DD"/>
            </w:tcBorders>
          </w:tcPr>
          <w:p>
            <w:r>
              <w:rPr>
                <w:sz w:val="18"/>
              </w:rPr>
              <w:t>python-docx</w:t>
            </w:r>
          </w:p>
        </w:tc>
        <w:tc>
          <w:tcPr>
            <w:tcW w:type="dxa" w:w="1984"/>
            <w:shd w:val="clear" w:color="auto" w:fill="FFFFFF"/>
            <w:tcBorders>
              <w:top w:val="single" w:sz="6" w:space="0" w:color="D0D5DD"/>
              <w:left w:val="single" w:sz="6" w:space="0" w:color="D0D5DD"/>
              <w:bottom w:val="single" w:sz="6" w:space="0" w:color="D0D5DD"/>
              <w:right w:val="single" w:sz="6" w:space="0" w:color="D0D5DD"/>
            </w:tcBorders>
          </w:tcPr>
          <w:p>
            <w:r>
              <w:rPr>
                <w:sz w:val="18"/>
              </w:rPr>
              <w:t>1.0+</w:t>
            </w:r>
          </w:p>
        </w:tc>
        <w:tc>
          <w:tcPr>
            <w:tcW w:type="dxa" w:w="5102"/>
            <w:shd w:val="clear" w:color="auto" w:fill="FFFFFF"/>
            <w:tcBorders>
              <w:top w:val="single" w:sz="6" w:space="0" w:color="D0D5DD"/>
              <w:left w:val="single" w:sz="6" w:space="0" w:color="D0D5DD"/>
              <w:bottom w:val="single" w:sz="6" w:space="0" w:color="D0D5DD"/>
              <w:right w:val="single" w:sz="6" w:space="0" w:color="D0D5DD"/>
            </w:tcBorders>
          </w:tcPr>
          <w:p>
            <w:r>
              <w:rPr>
                <w:sz w:val="18"/>
              </w:rPr>
              <w:t>Generación de documentación (.docx)</w:t>
            </w:r>
          </w:p>
        </w:tc>
      </w:tr>
      <w:tr>
        <w:tc>
          <w:tcPr>
            <w:tcW w:type="dxa" w:w="2268"/>
            <w:shd w:val="clear" w:color="auto" w:fill="F5F7FA"/>
            <w:tcBorders>
              <w:top w:val="single" w:sz="6" w:space="0" w:color="D0D5DD"/>
              <w:left w:val="single" w:sz="6" w:space="0" w:color="D0D5DD"/>
              <w:bottom w:val="single" w:sz="6" w:space="0" w:color="D0D5DD"/>
              <w:right w:val="single" w:sz="6" w:space="0" w:color="D0D5DD"/>
            </w:tcBorders>
          </w:tcPr>
          <w:p>
            <w:r>
              <w:rPr>
                <w:sz w:val="18"/>
              </w:rPr>
              <w:t>requests</w:t>
            </w:r>
          </w:p>
        </w:tc>
        <w:tc>
          <w:tcPr>
            <w:tcW w:type="dxa" w:w="1984"/>
            <w:shd w:val="clear" w:color="auto" w:fill="F5F7FA"/>
            <w:tcBorders>
              <w:top w:val="single" w:sz="6" w:space="0" w:color="D0D5DD"/>
              <w:left w:val="single" w:sz="6" w:space="0" w:color="D0D5DD"/>
              <w:bottom w:val="single" w:sz="6" w:space="0" w:color="D0D5DD"/>
              <w:right w:val="single" w:sz="6" w:space="0" w:color="D0D5DD"/>
            </w:tcBorders>
          </w:tcPr>
          <w:p>
            <w:r>
              <w:rPr>
                <w:sz w:val="18"/>
              </w:rPr>
              <w:t>2.28+</w:t>
            </w:r>
          </w:p>
        </w:tc>
        <w:tc>
          <w:tcPr>
            <w:tcW w:type="dxa" w:w="5102"/>
            <w:shd w:val="clear" w:color="auto" w:fill="F5F7FA"/>
            <w:tcBorders>
              <w:top w:val="single" w:sz="6" w:space="0" w:color="D0D5DD"/>
              <w:left w:val="single" w:sz="6" w:space="0" w:color="D0D5DD"/>
              <w:bottom w:val="single" w:sz="6" w:space="0" w:color="D0D5DD"/>
              <w:right w:val="single" w:sz="6" w:space="0" w:color="D0D5DD"/>
            </w:tcBorders>
          </w:tcPr>
          <w:p>
            <w:r>
              <w:rPr>
                <w:sz w:val="18"/>
              </w:rPr>
              <w:t>Integración con API de IA (Claude)</w:t>
            </w:r>
          </w:p>
        </w:tc>
      </w:tr>
    </w:tbl>
    <w:p>
      <w:pPr>
        <w:pStyle w:val="Heading2"/>
      </w:pPr>
      <w:r>
        <w:rPr>
          <w:color w:val="1E3A5F"/>
        </w:rPr>
        <w:t>2.2 Archivo de Entrada</w:t>
      </w:r>
    </w:p>
    <w:p>
      <w:r>
        <w:rPr>
          <w:sz w:val="21"/>
        </w:rPr>
        <w:t>La plataforma requiere un archivo Excel (.xlsx) con las siguientes columnas obligatorias:</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Columna</w:t>
            </w:r>
          </w:p>
        </w:tc>
        <w:tc>
          <w:tcPr>
            <w:tcW w:type="dxa" w:w="1701"/>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Tipo</w:t>
            </w:r>
          </w:p>
        </w:tc>
        <w:tc>
          <w:tcPr>
            <w:tcW w:type="dxa" w:w="5669"/>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Descripción</w:t>
            </w:r>
          </w:p>
        </w:tc>
      </w:tr>
      <w:tr>
        <w:tc>
          <w:tcPr>
            <w:tcW w:type="dxa" w:w="1984"/>
            <w:shd w:val="clear" w:color="auto" w:fill="F5F7FA"/>
            <w:tcBorders>
              <w:top w:val="single" w:sz="6" w:space="0" w:color="D0D5DD"/>
              <w:left w:val="single" w:sz="6" w:space="0" w:color="D0D5DD"/>
              <w:bottom w:val="single" w:sz="6" w:space="0" w:color="D0D5DD"/>
              <w:right w:val="single" w:sz="6" w:space="0" w:color="D0D5DD"/>
            </w:tcBorders>
          </w:tcPr>
          <w:p>
            <w:r>
              <w:rPr>
                <w:sz w:val="18"/>
              </w:rPr>
              <w:t>Cliente</w:t>
            </w:r>
          </w:p>
        </w:tc>
        <w:tc>
          <w:tcPr>
            <w:tcW w:type="dxa" w:w="1701"/>
            <w:shd w:val="clear" w:color="auto" w:fill="F5F7FA"/>
            <w:tcBorders>
              <w:top w:val="single" w:sz="6" w:space="0" w:color="D0D5DD"/>
              <w:left w:val="single" w:sz="6" w:space="0" w:color="D0D5DD"/>
              <w:bottom w:val="single" w:sz="6" w:space="0" w:color="D0D5DD"/>
              <w:right w:val="single" w:sz="6" w:space="0" w:color="D0D5DD"/>
            </w:tcBorders>
          </w:tcPr>
          <w:p>
            <w:r>
              <w:rPr>
                <w:sz w:val="18"/>
              </w:rPr>
              <w:t>Texto / ID</w:t>
            </w:r>
          </w:p>
        </w:tc>
        <w:tc>
          <w:tcPr>
            <w:tcW w:type="dxa" w:w="5669"/>
            <w:shd w:val="clear" w:color="auto" w:fill="F5F7FA"/>
            <w:tcBorders>
              <w:top w:val="single" w:sz="6" w:space="0" w:color="D0D5DD"/>
              <w:left w:val="single" w:sz="6" w:space="0" w:color="D0D5DD"/>
              <w:bottom w:val="single" w:sz="6" w:space="0" w:color="D0D5DD"/>
              <w:right w:val="single" w:sz="6" w:space="0" w:color="D0D5DD"/>
            </w:tcBorders>
          </w:tcPr>
          <w:p>
            <w:r>
              <w:rPr>
                <w:sz w:val="18"/>
              </w:rPr>
              <w:t>Identificador único del cliente</w:t>
            </w:r>
          </w:p>
        </w:tc>
      </w:tr>
      <w:tr>
        <w:tc>
          <w:tcPr>
            <w:tcW w:type="dxa" w:w="1984"/>
            <w:shd w:val="clear" w:color="auto" w:fill="FFFFFF"/>
            <w:tcBorders>
              <w:top w:val="single" w:sz="6" w:space="0" w:color="D0D5DD"/>
              <w:left w:val="single" w:sz="6" w:space="0" w:color="D0D5DD"/>
              <w:bottom w:val="single" w:sz="6" w:space="0" w:color="D0D5DD"/>
              <w:right w:val="single" w:sz="6" w:space="0" w:color="D0D5DD"/>
            </w:tcBorders>
          </w:tcPr>
          <w:p>
            <w:r>
              <w:rPr>
                <w:sz w:val="18"/>
              </w:rPr>
              <w:t>Monto</w:t>
            </w:r>
          </w:p>
        </w:tc>
        <w:tc>
          <w:tcPr>
            <w:tcW w:type="dxa" w:w="1701"/>
            <w:shd w:val="clear" w:color="auto" w:fill="FFFFFF"/>
            <w:tcBorders>
              <w:top w:val="single" w:sz="6" w:space="0" w:color="D0D5DD"/>
              <w:left w:val="single" w:sz="6" w:space="0" w:color="D0D5DD"/>
              <w:bottom w:val="single" w:sz="6" w:space="0" w:color="D0D5DD"/>
              <w:right w:val="single" w:sz="6" w:space="0" w:color="D0D5DD"/>
            </w:tcBorders>
          </w:tcPr>
          <w:p>
            <w:r>
              <w:rPr>
                <w:sz w:val="18"/>
              </w:rPr>
              <w:t>Numérico</w:t>
            </w:r>
          </w:p>
        </w:tc>
        <w:tc>
          <w:tcPr>
            <w:tcW w:type="dxa" w:w="5669"/>
            <w:shd w:val="clear" w:color="auto" w:fill="FFFFFF"/>
            <w:tcBorders>
              <w:top w:val="single" w:sz="6" w:space="0" w:color="D0D5DD"/>
              <w:left w:val="single" w:sz="6" w:space="0" w:color="D0D5DD"/>
              <w:bottom w:val="single" w:sz="6" w:space="0" w:color="D0D5DD"/>
              <w:right w:val="single" w:sz="6" w:space="0" w:color="D0D5DD"/>
            </w:tcBorders>
          </w:tcPr>
          <w:p>
            <w:r>
              <w:rPr>
                <w:sz w:val="18"/>
              </w:rPr>
              <w:t>Monto de la transacción en quetzales (Q)</w:t>
            </w:r>
          </w:p>
        </w:tc>
      </w:tr>
      <w:tr>
        <w:tc>
          <w:tcPr>
            <w:tcW w:type="dxa" w:w="1984"/>
            <w:shd w:val="clear" w:color="auto" w:fill="F5F7FA"/>
            <w:tcBorders>
              <w:top w:val="single" w:sz="6" w:space="0" w:color="D0D5DD"/>
              <w:left w:val="single" w:sz="6" w:space="0" w:color="D0D5DD"/>
              <w:bottom w:val="single" w:sz="6" w:space="0" w:color="D0D5DD"/>
              <w:right w:val="single" w:sz="6" w:space="0" w:color="D0D5DD"/>
            </w:tcBorders>
          </w:tcPr>
          <w:p>
            <w:r>
              <w:rPr>
                <w:sz w:val="18"/>
              </w:rPr>
              <w:t>Perfil</w:t>
            </w:r>
          </w:p>
        </w:tc>
        <w:tc>
          <w:tcPr>
            <w:tcW w:type="dxa" w:w="1701"/>
            <w:shd w:val="clear" w:color="auto" w:fill="F5F7FA"/>
            <w:tcBorders>
              <w:top w:val="single" w:sz="6" w:space="0" w:color="D0D5DD"/>
              <w:left w:val="single" w:sz="6" w:space="0" w:color="D0D5DD"/>
              <w:bottom w:val="single" w:sz="6" w:space="0" w:color="D0D5DD"/>
              <w:right w:val="single" w:sz="6" w:space="0" w:color="D0D5DD"/>
            </w:tcBorders>
          </w:tcPr>
          <w:p>
            <w:r>
              <w:rPr>
                <w:sz w:val="18"/>
              </w:rPr>
              <w:t>Numérico</w:t>
            </w:r>
          </w:p>
        </w:tc>
        <w:tc>
          <w:tcPr>
            <w:tcW w:type="dxa" w:w="5669"/>
            <w:shd w:val="clear" w:color="auto" w:fill="F5F7FA"/>
            <w:tcBorders>
              <w:top w:val="single" w:sz="6" w:space="0" w:color="D0D5DD"/>
              <w:left w:val="single" w:sz="6" w:space="0" w:color="D0D5DD"/>
              <w:bottom w:val="single" w:sz="6" w:space="0" w:color="D0D5DD"/>
              <w:right w:val="single" w:sz="6" w:space="0" w:color="D0D5DD"/>
            </w:tcBorders>
          </w:tcPr>
          <w:p>
            <w:r>
              <w:rPr>
                <w:sz w:val="18"/>
              </w:rPr>
              <w:t>Límite esperado de actividad del cliente (Q)</w:t>
            </w:r>
          </w:p>
        </w:tc>
      </w:tr>
      <w:tr>
        <w:tc>
          <w:tcPr>
            <w:tcW w:type="dxa" w:w="1984"/>
            <w:shd w:val="clear" w:color="auto" w:fill="FFFFFF"/>
            <w:tcBorders>
              <w:top w:val="single" w:sz="6" w:space="0" w:color="D0D5DD"/>
              <w:left w:val="single" w:sz="6" w:space="0" w:color="D0D5DD"/>
              <w:bottom w:val="single" w:sz="6" w:space="0" w:color="D0D5DD"/>
              <w:right w:val="single" w:sz="6" w:space="0" w:color="D0D5DD"/>
            </w:tcBorders>
          </w:tcPr>
          <w:p>
            <w:r>
              <w:rPr>
                <w:sz w:val="18"/>
              </w:rPr>
              <w:t>Fecha</w:t>
            </w:r>
          </w:p>
        </w:tc>
        <w:tc>
          <w:tcPr>
            <w:tcW w:type="dxa" w:w="1701"/>
            <w:shd w:val="clear" w:color="auto" w:fill="FFFFFF"/>
            <w:tcBorders>
              <w:top w:val="single" w:sz="6" w:space="0" w:color="D0D5DD"/>
              <w:left w:val="single" w:sz="6" w:space="0" w:color="D0D5DD"/>
              <w:bottom w:val="single" w:sz="6" w:space="0" w:color="D0D5DD"/>
              <w:right w:val="single" w:sz="6" w:space="0" w:color="D0D5DD"/>
            </w:tcBorders>
          </w:tcPr>
          <w:p>
            <w:r>
              <w:rPr>
                <w:sz w:val="18"/>
              </w:rPr>
              <w:t>Fecha</w:t>
            </w:r>
          </w:p>
        </w:tc>
        <w:tc>
          <w:tcPr>
            <w:tcW w:type="dxa" w:w="5669"/>
            <w:shd w:val="clear" w:color="auto" w:fill="FFFFFF"/>
            <w:tcBorders>
              <w:top w:val="single" w:sz="6" w:space="0" w:color="D0D5DD"/>
              <w:left w:val="single" w:sz="6" w:space="0" w:color="D0D5DD"/>
              <w:bottom w:val="single" w:sz="6" w:space="0" w:color="D0D5DD"/>
              <w:right w:val="single" w:sz="6" w:space="0" w:color="D0D5DD"/>
            </w:tcBorders>
          </w:tcPr>
          <w:p>
            <w:r>
              <w:rPr>
                <w:sz w:val="18"/>
              </w:rPr>
              <w:t>Fecha de la transacción (formato YYYY-MM-DD o compatible)</w:t>
            </w:r>
          </w:p>
        </w:tc>
      </w:tr>
    </w:tbl>
    <w:p>
      <w:pPr>
        <w:pStyle w:val="Heading1"/>
      </w:pPr>
      <w:r>
        <w:rPr>
          <w:color w:val="1A2744"/>
        </w:rPr>
        <w:t>3. Instalación y Configuración</w:t>
      </w:r>
    </w:p>
    <w:p>
      <w:pPr>
        <w:pStyle w:val="Heading2"/>
      </w:pPr>
      <w:r>
        <w:rPr>
          <w:color w:val="1E3A5F"/>
        </w:rPr>
        <w:t>3.1 Instalación de Dependencias</w:t>
      </w:r>
    </w:p>
    <w:p>
      <w:r>
        <w:rPr>
          <w:sz w:val="21"/>
        </w:rPr>
        <w:t>Ejecutar el siguiente comando desde el directorio del proyecto:</w:t>
      </w:r>
    </w:p>
    <w:p>
      <w:r>
        <w:rPr>
          <w:rFonts w:ascii="Courier New" w:hAnsi="Courier New"/>
          <w:color w:val="0D6EFD"/>
          <w:sz w:val="19"/>
        </w:rPr>
        <w:t>pip install streamlit pandas plotly matplotlib numpy openpyxl python-docx requests</w:t>
      </w:r>
    </w:p>
    <w:p>
      <w:pPr>
        <w:pStyle w:val="Heading2"/>
      </w:pPr>
      <w:r>
        <w:rPr>
          <w:color w:val="1E3A5F"/>
        </w:rPr>
        <w:t>3.2 Ejecución de la Plataforma</w:t>
      </w:r>
    </w:p>
    <w:p>
      <w:r>
        <w:rPr>
          <w:sz w:val="21"/>
        </w:rPr>
        <w:t>Desde el directorio donde se encuentra app2.py, ejecutar:</w:t>
      </w:r>
    </w:p>
    <w:p>
      <w:r>
        <w:rPr>
          <w:rFonts w:ascii="Courier New" w:hAnsi="Courier New"/>
          <w:color w:val="0D6EFD"/>
          <w:sz w:val="19"/>
        </w:rPr>
        <w:t>streamlit run app2.py</w:t>
      </w:r>
    </w:p>
    <w:p>
      <w:r>
        <w:rPr>
          <w:sz w:val="21"/>
        </w:rPr>
        <w:t>Streamlit abrirá automáticamente el navegador en http://localhost:8501. Si el navegador no se abre, ingresar esa URL manualmente. Para detener el servidor, presionar Ctrl+C en la terminal.</w:t>
      </w:r>
    </w:p>
    <w:p>
      <w:pPr>
        <w:pStyle w:val="Heading2"/>
      </w:pPr>
      <w:r>
        <w:rPr>
          <w:color w:val="1E3A5F"/>
        </w:rPr>
        <w:t>3.3 Generación de la Documentación</w:t>
      </w:r>
    </w:p>
    <w:p>
      <w:r>
        <w:rPr>
          <w:sz w:val="21"/>
        </w:rPr>
        <w:t>Para regenerar este documento, ejecutar:</w:t>
      </w:r>
    </w:p>
    <w:p>
      <w:r>
        <w:rPr>
          <w:rFonts w:ascii="Courier New" w:hAnsi="Courier New"/>
          <w:color w:val="0D6EFD"/>
          <w:sz w:val="19"/>
        </w:rPr>
        <w:t>python3 generar_docs.py</w:t>
      </w:r>
    </w:p>
    <w:p>
      <w:r>
        <w:rPr>
          <w:sz w:val="21"/>
        </w:rPr>
        <w:t>El archivo documentacion_tecnica.docx se generará en el directorio actual de trabajo.</w:t>
      </w:r>
    </w:p>
    <w:p>
      <w:pPr>
        <w:pStyle w:val="Heading1"/>
      </w:pPr>
      <w:r>
        <w:rPr>
          <w:color w:val="1A2744"/>
        </w:rPr>
        <w:t>4. Arquitectura Técnica</w:t>
      </w:r>
    </w:p>
    <w:p>
      <w:r>
        <w:rPr>
          <w:sz w:val="21"/>
        </w:rPr>
        <w:t>La plataforma sigue una arquitectura de script único (single-file app) con las siguientes capas lógicas:</w:t>
      </w:r>
    </w:p>
    <w:tbl>
      <w:tblPr>
        <w:tblStyle w:val="TableGrid"/>
        <w:tblW w:type="auto" w:w="0"/>
        <w:tblLook w:firstColumn="1" w:firstRow="1" w:lastColumn="0" w:lastRow="0" w:noHBand="0" w:noVBand="1" w:val="04A0"/>
      </w:tblPr>
      <w:tblGrid>
        <w:gridCol w:w="4561"/>
        <w:gridCol w:w="4561"/>
      </w:tblGrid>
      <w:tr>
        <w:tc>
          <w:tcPr>
            <w:tcW w:type="dxa" w:w="2835"/>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Capa</w:t>
            </w:r>
          </w:p>
        </w:tc>
        <w:tc>
          <w:tcPr>
            <w:tcW w:type="dxa" w:w="6520"/>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Descripción</w:t>
            </w:r>
          </w:p>
        </w:tc>
      </w:tr>
      <w:tr>
        <w:tc>
          <w:tcPr>
            <w:tcW w:type="dxa" w:w="2835"/>
            <w:shd w:val="clear" w:color="auto" w:fill="F5F7FA"/>
            <w:tcBorders>
              <w:top w:val="single" w:sz="6" w:space="0" w:color="D0D5DD"/>
              <w:left w:val="single" w:sz="6" w:space="0" w:color="D0D5DD"/>
              <w:bottom w:val="single" w:sz="6" w:space="0" w:color="D0D5DD"/>
              <w:right w:val="single" w:sz="6" w:space="0" w:color="D0D5DD"/>
            </w:tcBorders>
          </w:tcPr>
          <w:p>
            <w:r>
              <w:rPr>
                <w:sz w:val="18"/>
              </w:rPr>
              <w:t>Carga de datos</w:t>
            </w:r>
          </w:p>
        </w:tc>
        <w:tc>
          <w:tcPr>
            <w:tcW w:type="dxa" w:w="6520"/>
            <w:shd w:val="clear" w:color="auto" w:fill="F5F7FA"/>
            <w:tcBorders>
              <w:top w:val="single" w:sz="6" w:space="0" w:color="D0D5DD"/>
              <w:left w:val="single" w:sz="6" w:space="0" w:color="D0D5DD"/>
              <w:bottom w:val="single" w:sz="6" w:space="0" w:color="D0D5DD"/>
              <w:right w:val="single" w:sz="6" w:space="0" w:color="D0D5DD"/>
            </w:tcBorders>
          </w:tcPr>
          <w:p>
            <w:r>
              <w:rPr>
                <w:sz w:val="18"/>
              </w:rPr>
              <w:t>Lectura del archivo Excel mediante pandas y validación de columnas requeridas.</w:t>
            </w:r>
          </w:p>
        </w:tc>
      </w:tr>
      <w:tr>
        <w:tc>
          <w:tcPr>
            <w:tcW w:type="dxa" w:w="2835"/>
            <w:shd w:val="clear" w:color="auto" w:fill="FFFFFF"/>
            <w:tcBorders>
              <w:top w:val="single" w:sz="6" w:space="0" w:color="D0D5DD"/>
              <w:left w:val="single" w:sz="6" w:space="0" w:color="D0D5DD"/>
              <w:bottom w:val="single" w:sz="6" w:space="0" w:color="D0D5DD"/>
              <w:right w:val="single" w:sz="6" w:space="0" w:color="D0D5DD"/>
            </w:tcBorders>
          </w:tcPr>
          <w:p>
            <w:r>
              <w:rPr>
                <w:sz w:val="18"/>
              </w:rPr>
              <w:t>Motor de reglas</w:t>
            </w:r>
          </w:p>
        </w:tc>
        <w:tc>
          <w:tcPr>
            <w:tcW w:type="dxa" w:w="6520"/>
            <w:shd w:val="clear" w:color="auto" w:fill="FFFFFF"/>
            <w:tcBorders>
              <w:top w:val="single" w:sz="6" w:space="0" w:color="D0D5DD"/>
              <w:left w:val="single" w:sz="6" w:space="0" w:color="D0D5DD"/>
              <w:bottom w:val="single" w:sz="6" w:space="0" w:color="D0D5DD"/>
              <w:right w:val="single" w:sz="6" w:space="0" w:color="D0D5DD"/>
            </w:tcBorders>
          </w:tcPr>
          <w:p>
            <w:r>
              <w:rPr>
                <w:sz w:val="18"/>
              </w:rPr>
              <w:t>Aplicación secuencial de 6 reglas AML parametrizables usando operaciones vectoriales de pandas.</w:t>
            </w:r>
          </w:p>
        </w:tc>
      </w:tr>
      <w:tr>
        <w:tc>
          <w:tcPr>
            <w:tcW w:type="dxa" w:w="2835"/>
            <w:shd w:val="clear" w:color="auto" w:fill="F5F7FA"/>
            <w:tcBorders>
              <w:top w:val="single" w:sz="6" w:space="0" w:color="D0D5DD"/>
              <w:left w:val="single" w:sz="6" w:space="0" w:color="D0D5DD"/>
              <w:bottom w:val="single" w:sz="6" w:space="0" w:color="D0D5DD"/>
              <w:right w:val="single" w:sz="6" w:space="0" w:color="D0D5DD"/>
            </w:tcBorders>
          </w:tcPr>
          <w:p>
            <w:r>
              <w:rPr>
                <w:sz w:val="18"/>
              </w:rPr>
              <w:t>Scoring</w:t>
            </w:r>
          </w:p>
        </w:tc>
        <w:tc>
          <w:tcPr>
            <w:tcW w:type="dxa" w:w="6520"/>
            <w:shd w:val="clear" w:color="auto" w:fill="F5F7FA"/>
            <w:tcBorders>
              <w:top w:val="single" w:sz="6" w:space="0" w:color="D0D5DD"/>
              <w:left w:val="single" w:sz="6" w:space="0" w:color="D0D5DD"/>
              <w:bottom w:val="single" w:sz="6" w:space="0" w:color="D0D5DD"/>
              <w:right w:val="single" w:sz="6" w:space="0" w:color="D0D5DD"/>
            </w:tcBorders>
          </w:tcPr>
          <w:p>
            <w:r>
              <w:rPr>
                <w:sz w:val="18"/>
              </w:rPr>
              <w:t>Suma ponderada de reglas activas por transacción, con peso configurable por regla (0–12 pts).</w:t>
            </w:r>
          </w:p>
        </w:tc>
      </w:tr>
      <w:tr>
        <w:tc>
          <w:tcPr>
            <w:tcW w:type="dxa" w:w="2835"/>
            <w:shd w:val="clear" w:color="auto" w:fill="FFFFFF"/>
            <w:tcBorders>
              <w:top w:val="single" w:sz="6" w:space="0" w:color="D0D5DD"/>
              <w:left w:val="single" w:sz="6" w:space="0" w:color="D0D5DD"/>
              <w:bottom w:val="single" w:sz="6" w:space="0" w:color="D0D5DD"/>
              <w:right w:val="single" w:sz="6" w:space="0" w:color="D0D5DD"/>
            </w:tcBorders>
          </w:tcPr>
          <w:p>
            <w:r>
              <w:rPr>
                <w:sz w:val="18"/>
              </w:rPr>
              <w:t>Clasificación</w:t>
            </w:r>
          </w:p>
        </w:tc>
        <w:tc>
          <w:tcPr>
            <w:tcW w:type="dxa" w:w="6520"/>
            <w:shd w:val="clear" w:color="auto" w:fill="FFFFFF"/>
            <w:tcBorders>
              <w:top w:val="single" w:sz="6" w:space="0" w:color="D0D5DD"/>
              <w:left w:val="single" w:sz="6" w:space="0" w:color="D0D5DD"/>
              <w:bottom w:val="single" w:sz="6" w:space="0" w:color="D0D5DD"/>
              <w:right w:val="single" w:sz="6" w:space="0" w:color="D0D5DD"/>
            </w:tcBorders>
          </w:tcPr>
          <w:p>
            <w:r>
              <w:rPr>
                <w:sz w:val="18"/>
              </w:rPr>
              <w:t>Asignación del nivel de riesgo (Crítico / Alto / Medio / Bajo) por cliente basada en Score_Max y Total_Mensual.</w:t>
            </w:r>
          </w:p>
        </w:tc>
      </w:tr>
      <w:tr>
        <w:tc>
          <w:tcPr>
            <w:tcW w:type="dxa" w:w="2835"/>
            <w:shd w:val="clear" w:color="auto" w:fill="F5F7FA"/>
            <w:tcBorders>
              <w:top w:val="single" w:sz="6" w:space="0" w:color="D0D5DD"/>
              <w:left w:val="single" w:sz="6" w:space="0" w:color="D0D5DD"/>
              <w:bottom w:val="single" w:sz="6" w:space="0" w:color="D0D5DD"/>
              <w:right w:val="single" w:sz="6" w:space="0" w:color="D0D5DD"/>
            </w:tcBorders>
          </w:tcPr>
          <w:p>
            <w:r>
              <w:rPr>
                <w:sz w:val="18"/>
              </w:rPr>
              <w:t>Inteligencia (BI)</w:t>
            </w:r>
          </w:p>
        </w:tc>
        <w:tc>
          <w:tcPr>
            <w:tcW w:type="dxa" w:w="6520"/>
            <w:shd w:val="clear" w:color="auto" w:fill="F5F7FA"/>
            <w:tcBorders>
              <w:top w:val="single" w:sz="6" w:space="0" w:color="D0D5DD"/>
              <w:left w:val="single" w:sz="6" w:space="0" w:color="D0D5DD"/>
              <w:bottom w:val="single" w:sz="6" w:space="0" w:color="D0D5DD"/>
              <w:right w:val="single" w:sz="6" w:space="0" w:color="D0D5DD"/>
            </w:tcBorders>
          </w:tcPr>
          <w:p>
            <w:r>
              <w:rPr>
                <w:sz w:val="18"/>
              </w:rPr>
              <w:t>Capa de análisis estratégico que cruza riesgo vs. volumen para identificar canales de alto rendimiento.</w:t>
            </w:r>
          </w:p>
        </w:tc>
      </w:tr>
      <w:tr>
        <w:tc>
          <w:tcPr>
            <w:tcW w:type="dxa" w:w="2835"/>
            <w:shd w:val="clear" w:color="auto" w:fill="FFFFFF"/>
            <w:tcBorders>
              <w:top w:val="single" w:sz="6" w:space="0" w:color="D0D5DD"/>
              <w:left w:val="single" w:sz="6" w:space="0" w:color="D0D5DD"/>
              <w:bottom w:val="single" w:sz="6" w:space="0" w:color="D0D5DD"/>
              <w:right w:val="single" w:sz="6" w:space="0" w:color="D0D5DD"/>
            </w:tcBorders>
          </w:tcPr>
          <w:p>
            <w:r>
              <w:rPr>
                <w:sz w:val="18"/>
              </w:rPr>
              <w:t>Visualización</w:t>
            </w:r>
          </w:p>
        </w:tc>
        <w:tc>
          <w:tcPr>
            <w:tcW w:type="dxa" w:w="6520"/>
            <w:shd w:val="clear" w:color="auto" w:fill="FFFFFF"/>
            <w:tcBorders>
              <w:top w:val="single" w:sz="6" w:space="0" w:color="D0D5DD"/>
              <w:left w:val="single" w:sz="6" w:space="0" w:color="D0D5DD"/>
              <w:bottom w:val="single" w:sz="6" w:space="0" w:color="D0D5DD"/>
              <w:right w:val="single" w:sz="6" w:space="0" w:color="D0D5DD"/>
            </w:tcBorders>
          </w:tcPr>
          <w:p>
            <w:r>
              <w:rPr>
                <w:sz w:val="18"/>
              </w:rPr>
              <w:t>Gráficos interactivos con Plotly (hover, zoom, descarga) y cuadros de interpretación de negocio.</w:t>
            </w:r>
          </w:p>
        </w:tc>
      </w:tr>
      <w:tr>
        <w:tc>
          <w:tcPr>
            <w:tcW w:type="dxa" w:w="2835"/>
            <w:shd w:val="clear" w:color="auto" w:fill="F5F7FA"/>
            <w:tcBorders>
              <w:top w:val="single" w:sz="6" w:space="0" w:color="D0D5DD"/>
              <w:left w:val="single" w:sz="6" w:space="0" w:color="D0D5DD"/>
              <w:bottom w:val="single" w:sz="6" w:space="0" w:color="D0D5DD"/>
              <w:right w:val="single" w:sz="6" w:space="0" w:color="D0D5DD"/>
            </w:tcBorders>
          </w:tcPr>
          <w:p>
            <w:r>
              <w:rPr>
                <w:sz w:val="18"/>
              </w:rPr>
              <w:t>Integración IA</w:t>
            </w:r>
          </w:p>
        </w:tc>
        <w:tc>
          <w:tcPr>
            <w:tcW w:type="dxa" w:w="6520"/>
            <w:shd w:val="clear" w:color="auto" w:fill="F5F7FA"/>
            <w:tcBorders>
              <w:top w:val="single" w:sz="6" w:space="0" w:color="D0D5DD"/>
              <w:left w:val="single" w:sz="6" w:space="0" w:color="D0D5DD"/>
              <w:bottom w:val="single" w:sz="6" w:space="0" w:color="D0D5DD"/>
              <w:right w:val="single" w:sz="6" w:space="0" w:color="D0D5DD"/>
            </w:tcBorders>
          </w:tcPr>
          <w:p>
            <w:r>
              <w:rPr>
                <w:sz w:val="18"/>
              </w:rPr>
              <w:t>Generación de un resumen analítico textual por cliente mediante API de Claude (Anthropic).</w:t>
            </w:r>
          </w:p>
        </w:tc>
      </w:tr>
    </w:tbl>
    <w:p>
      <w:pPr>
        <w:pStyle w:val="Heading1"/>
      </w:pPr>
      <w:r>
        <w:rPr>
          <w:color w:val="1A2744"/>
        </w:rPr>
        <w:t>5. Motor de Reglas AML</w:t>
      </w:r>
    </w:p>
    <w:p>
      <w:r>
        <w:rPr>
          <w:sz w:val="21"/>
        </w:rPr>
        <w:t>El sistema evalúa 6 reglas independientes sobre cada transacción. Los parámetros son completamente configurables desde la vista '⚙️ Configuración de Reglas'. A continuación se describen las reglas con sus valores por defecto:</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268"/>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Regla</w:t>
            </w:r>
          </w:p>
        </w:tc>
        <w:tc>
          <w:tcPr>
            <w:tcW w:type="dxa" w:w="2268"/>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Variable</w:t>
            </w:r>
          </w:p>
        </w:tc>
        <w:tc>
          <w:tcPr>
            <w:tcW w:type="dxa" w:w="3118"/>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Condición (default)</w:t>
            </w:r>
          </w:p>
        </w:tc>
        <w:tc>
          <w:tcPr>
            <w:tcW w:type="dxa" w:w="1134"/>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Peso default</w:t>
            </w:r>
          </w:p>
        </w:tc>
        <w:tc>
          <w:tcPr>
            <w:tcW w:type="dxa" w:w="1417"/>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Activa por default</w:t>
            </w:r>
          </w:p>
        </w:tc>
      </w:tr>
      <w:tr>
        <w:tc>
          <w:tcPr>
            <w:tcW w:type="dxa" w:w="2268"/>
            <w:shd w:val="clear" w:color="auto" w:fill="F5F7FA"/>
            <w:tcBorders>
              <w:top w:val="single" w:sz="6" w:space="0" w:color="D0D5DD"/>
              <w:left w:val="single" w:sz="6" w:space="0" w:color="D0D5DD"/>
              <w:bottom w:val="single" w:sz="6" w:space="0" w:color="D0D5DD"/>
              <w:right w:val="single" w:sz="6" w:space="0" w:color="D0D5DD"/>
            </w:tcBorders>
          </w:tcPr>
          <w:p>
            <w:r>
              <w:rPr>
                <w:sz w:val="18"/>
              </w:rPr>
              <w:t>Monto Alto Absoluto</w:t>
            </w:r>
          </w:p>
        </w:tc>
        <w:tc>
          <w:tcPr>
            <w:tcW w:type="dxa" w:w="2268"/>
            <w:shd w:val="clear" w:color="auto" w:fill="F5F7FA"/>
            <w:tcBorders>
              <w:top w:val="single" w:sz="6" w:space="0" w:color="D0D5DD"/>
              <w:left w:val="single" w:sz="6" w:space="0" w:color="D0D5DD"/>
              <w:bottom w:val="single" w:sz="6" w:space="0" w:color="D0D5DD"/>
              <w:right w:val="single" w:sz="6" w:space="0" w:color="D0D5DD"/>
            </w:tcBorders>
          </w:tcPr>
          <w:p>
            <w:r>
              <w:rPr>
                <w:sz w:val="18"/>
              </w:rPr>
              <w:t>Alerta_Absoluto</w:t>
            </w:r>
          </w:p>
        </w:tc>
        <w:tc>
          <w:tcPr>
            <w:tcW w:type="dxa" w:w="3118"/>
            <w:shd w:val="clear" w:color="auto" w:fill="F5F7FA"/>
            <w:tcBorders>
              <w:top w:val="single" w:sz="6" w:space="0" w:color="D0D5DD"/>
              <w:left w:val="single" w:sz="6" w:space="0" w:color="D0D5DD"/>
              <w:bottom w:val="single" w:sz="6" w:space="0" w:color="D0D5DD"/>
              <w:right w:val="single" w:sz="6" w:space="0" w:color="D0D5DD"/>
            </w:tcBorders>
          </w:tcPr>
          <w:p>
            <w:r>
              <w:rPr>
                <w:sz w:val="18"/>
              </w:rPr>
              <w:t>Monto &gt; Q20,000</w:t>
            </w:r>
          </w:p>
        </w:tc>
        <w:tc>
          <w:tcPr>
            <w:tcW w:type="dxa" w:w="1134"/>
            <w:shd w:val="clear" w:color="auto" w:fill="F5F7FA"/>
            <w:tcBorders>
              <w:top w:val="single" w:sz="6" w:space="0" w:color="D0D5DD"/>
              <w:left w:val="single" w:sz="6" w:space="0" w:color="D0D5DD"/>
              <w:bottom w:val="single" w:sz="6" w:space="0" w:color="D0D5DD"/>
              <w:right w:val="single" w:sz="6" w:space="0" w:color="D0D5DD"/>
            </w:tcBorders>
          </w:tcPr>
          <w:p>
            <w:r>
              <w:rPr>
                <w:sz w:val="18"/>
              </w:rPr>
              <w:t>3</w:t>
            </w:r>
          </w:p>
        </w:tc>
        <w:tc>
          <w:tcPr>
            <w:tcW w:type="dxa" w:w="1417"/>
            <w:shd w:val="clear" w:color="auto" w:fill="F5F7FA"/>
            <w:tcBorders>
              <w:top w:val="single" w:sz="6" w:space="0" w:color="D0D5DD"/>
              <w:left w:val="single" w:sz="6" w:space="0" w:color="D0D5DD"/>
              <w:bottom w:val="single" w:sz="6" w:space="0" w:color="D0D5DD"/>
              <w:right w:val="single" w:sz="6" w:space="0" w:color="D0D5DD"/>
            </w:tcBorders>
          </w:tcPr>
          <w:p>
            <w:r>
              <w:rPr>
                <w:sz w:val="18"/>
              </w:rPr>
              <w:t>Sí</w:t>
            </w:r>
          </w:p>
        </w:tc>
      </w:tr>
      <w:tr>
        <w:tc>
          <w:tcPr>
            <w:tcW w:type="dxa" w:w="2268"/>
            <w:shd w:val="clear" w:color="auto" w:fill="FFFFFF"/>
            <w:tcBorders>
              <w:top w:val="single" w:sz="6" w:space="0" w:color="D0D5DD"/>
              <w:left w:val="single" w:sz="6" w:space="0" w:color="D0D5DD"/>
              <w:bottom w:val="single" w:sz="6" w:space="0" w:color="D0D5DD"/>
              <w:right w:val="single" w:sz="6" w:space="0" w:color="D0D5DD"/>
            </w:tcBorders>
          </w:tcPr>
          <w:p>
            <w:r>
              <w:rPr>
                <w:sz w:val="18"/>
              </w:rPr>
              <w:t>Acumulado Mensual</w:t>
            </w:r>
          </w:p>
        </w:tc>
        <w:tc>
          <w:tcPr>
            <w:tcW w:type="dxa" w:w="2268"/>
            <w:shd w:val="clear" w:color="auto" w:fill="FFFFFF"/>
            <w:tcBorders>
              <w:top w:val="single" w:sz="6" w:space="0" w:color="D0D5DD"/>
              <w:left w:val="single" w:sz="6" w:space="0" w:color="D0D5DD"/>
              <w:bottom w:val="single" w:sz="6" w:space="0" w:color="D0D5DD"/>
              <w:right w:val="single" w:sz="6" w:space="0" w:color="D0D5DD"/>
            </w:tcBorders>
          </w:tcPr>
          <w:p>
            <w:r>
              <w:rPr>
                <w:sz w:val="18"/>
              </w:rPr>
              <w:t>Alerta_Acumulado</w:t>
            </w:r>
          </w:p>
        </w:tc>
        <w:tc>
          <w:tcPr>
            <w:tcW w:type="dxa" w:w="3118"/>
            <w:shd w:val="clear" w:color="auto" w:fill="FFFFFF"/>
            <w:tcBorders>
              <w:top w:val="single" w:sz="6" w:space="0" w:color="D0D5DD"/>
              <w:left w:val="single" w:sz="6" w:space="0" w:color="D0D5DD"/>
              <w:bottom w:val="single" w:sz="6" w:space="0" w:color="D0D5DD"/>
              <w:right w:val="single" w:sz="6" w:space="0" w:color="D0D5DD"/>
            </w:tcBorders>
          </w:tcPr>
          <w:p>
            <w:r>
              <w:rPr>
                <w:sz w:val="18"/>
              </w:rPr>
              <w:t>Total_Mensual &gt; Perfil × 2.0</w:t>
            </w:r>
          </w:p>
        </w:tc>
        <w:tc>
          <w:tcPr>
            <w:tcW w:type="dxa" w:w="1134"/>
            <w:shd w:val="clear" w:color="auto" w:fill="FFFFFF"/>
            <w:tcBorders>
              <w:top w:val="single" w:sz="6" w:space="0" w:color="D0D5DD"/>
              <w:left w:val="single" w:sz="6" w:space="0" w:color="D0D5DD"/>
              <w:bottom w:val="single" w:sz="6" w:space="0" w:color="D0D5DD"/>
              <w:right w:val="single" w:sz="6" w:space="0" w:color="D0D5DD"/>
            </w:tcBorders>
          </w:tcPr>
          <w:p>
            <w:r>
              <w:rPr>
                <w:sz w:val="18"/>
              </w:rPr>
              <w:t>2</w:t>
            </w:r>
          </w:p>
        </w:tc>
        <w:tc>
          <w:tcPr>
            <w:tcW w:type="dxa" w:w="1417"/>
            <w:shd w:val="clear" w:color="auto" w:fill="FFFFFF"/>
            <w:tcBorders>
              <w:top w:val="single" w:sz="6" w:space="0" w:color="D0D5DD"/>
              <w:left w:val="single" w:sz="6" w:space="0" w:color="D0D5DD"/>
              <w:bottom w:val="single" w:sz="6" w:space="0" w:color="D0D5DD"/>
              <w:right w:val="single" w:sz="6" w:space="0" w:color="D0D5DD"/>
            </w:tcBorders>
          </w:tcPr>
          <w:p>
            <w:r>
              <w:rPr>
                <w:sz w:val="18"/>
              </w:rPr>
              <w:t>Sí</w:t>
            </w:r>
          </w:p>
        </w:tc>
      </w:tr>
      <w:tr>
        <w:tc>
          <w:tcPr>
            <w:tcW w:type="dxa" w:w="2268"/>
            <w:shd w:val="clear" w:color="auto" w:fill="F5F7FA"/>
            <w:tcBorders>
              <w:top w:val="single" w:sz="6" w:space="0" w:color="D0D5DD"/>
              <w:left w:val="single" w:sz="6" w:space="0" w:color="D0D5DD"/>
              <w:bottom w:val="single" w:sz="6" w:space="0" w:color="D0D5DD"/>
              <w:right w:val="single" w:sz="6" w:space="0" w:color="D0D5DD"/>
            </w:tcBorders>
          </w:tcPr>
          <w:p>
            <w:r>
              <w:rPr>
                <w:sz w:val="18"/>
              </w:rPr>
              <w:t>Exceso sobre Perfil</w:t>
            </w:r>
          </w:p>
        </w:tc>
        <w:tc>
          <w:tcPr>
            <w:tcW w:type="dxa" w:w="2268"/>
            <w:shd w:val="clear" w:color="auto" w:fill="F5F7FA"/>
            <w:tcBorders>
              <w:top w:val="single" w:sz="6" w:space="0" w:color="D0D5DD"/>
              <w:left w:val="single" w:sz="6" w:space="0" w:color="D0D5DD"/>
              <w:bottom w:val="single" w:sz="6" w:space="0" w:color="D0D5DD"/>
              <w:right w:val="single" w:sz="6" w:space="0" w:color="D0D5DD"/>
            </w:tcBorders>
          </w:tcPr>
          <w:p>
            <w:r>
              <w:rPr>
                <w:sz w:val="18"/>
              </w:rPr>
              <w:t>Alerta_15</w:t>
            </w:r>
          </w:p>
        </w:tc>
        <w:tc>
          <w:tcPr>
            <w:tcW w:type="dxa" w:w="3118"/>
            <w:shd w:val="clear" w:color="auto" w:fill="F5F7FA"/>
            <w:tcBorders>
              <w:top w:val="single" w:sz="6" w:space="0" w:color="D0D5DD"/>
              <w:left w:val="single" w:sz="6" w:space="0" w:color="D0D5DD"/>
              <w:bottom w:val="single" w:sz="6" w:space="0" w:color="D0D5DD"/>
              <w:right w:val="single" w:sz="6" w:space="0" w:color="D0D5DD"/>
            </w:tcBorders>
          </w:tcPr>
          <w:p>
            <w:r>
              <w:rPr>
                <w:sz w:val="18"/>
              </w:rPr>
              <w:t>Monto &gt; Perfil × 1.15</w:t>
            </w:r>
          </w:p>
        </w:tc>
        <w:tc>
          <w:tcPr>
            <w:tcW w:type="dxa" w:w="1134"/>
            <w:shd w:val="clear" w:color="auto" w:fill="F5F7FA"/>
            <w:tcBorders>
              <w:top w:val="single" w:sz="6" w:space="0" w:color="D0D5DD"/>
              <w:left w:val="single" w:sz="6" w:space="0" w:color="D0D5DD"/>
              <w:bottom w:val="single" w:sz="6" w:space="0" w:color="D0D5DD"/>
              <w:right w:val="single" w:sz="6" w:space="0" w:color="D0D5DD"/>
            </w:tcBorders>
          </w:tcPr>
          <w:p>
            <w:r>
              <w:rPr>
                <w:sz w:val="18"/>
              </w:rPr>
              <w:t>1</w:t>
            </w:r>
          </w:p>
        </w:tc>
        <w:tc>
          <w:tcPr>
            <w:tcW w:type="dxa" w:w="1417"/>
            <w:shd w:val="clear" w:color="auto" w:fill="F5F7FA"/>
            <w:tcBorders>
              <w:top w:val="single" w:sz="6" w:space="0" w:color="D0D5DD"/>
              <w:left w:val="single" w:sz="6" w:space="0" w:color="D0D5DD"/>
              <w:bottom w:val="single" w:sz="6" w:space="0" w:color="D0D5DD"/>
              <w:right w:val="single" w:sz="6" w:space="0" w:color="D0D5DD"/>
            </w:tcBorders>
          </w:tcPr>
          <w:p>
            <w:r>
              <w:rPr>
                <w:sz w:val="18"/>
              </w:rPr>
              <w:t>Sí</w:t>
            </w:r>
          </w:p>
        </w:tc>
      </w:tr>
      <w:tr>
        <w:tc>
          <w:tcPr>
            <w:tcW w:type="dxa" w:w="2268"/>
            <w:shd w:val="clear" w:color="auto" w:fill="FFFFFF"/>
            <w:tcBorders>
              <w:top w:val="single" w:sz="6" w:space="0" w:color="D0D5DD"/>
              <w:left w:val="single" w:sz="6" w:space="0" w:color="D0D5DD"/>
              <w:bottom w:val="single" w:sz="6" w:space="0" w:color="D0D5DD"/>
              <w:right w:val="single" w:sz="6" w:space="0" w:color="D0D5DD"/>
            </w:tcBorders>
          </w:tcPr>
          <w:p>
            <w:r>
              <w:rPr>
                <w:sz w:val="18"/>
              </w:rPr>
              <w:t>Frecuencia Alta</w:t>
            </w:r>
          </w:p>
        </w:tc>
        <w:tc>
          <w:tcPr>
            <w:tcW w:type="dxa" w:w="2268"/>
            <w:shd w:val="clear" w:color="auto" w:fill="FFFFFF"/>
            <w:tcBorders>
              <w:top w:val="single" w:sz="6" w:space="0" w:color="D0D5DD"/>
              <w:left w:val="single" w:sz="6" w:space="0" w:color="D0D5DD"/>
              <w:bottom w:val="single" w:sz="6" w:space="0" w:color="D0D5DD"/>
              <w:right w:val="single" w:sz="6" w:space="0" w:color="D0D5DD"/>
            </w:tcBorders>
          </w:tcPr>
          <w:p>
            <w:r>
              <w:rPr>
                <w:sz w:val="18"/>
              </w:rPr>
              <w:t>Alerta_Frecuencia</w:t>
            </w:r>
          </w:p>
        </w:tc>
        <w:tc>
          <w:tcPr>
            <w:tcW w:type="dxa" w:w="3118"/>
            <w:shd w:val="clear" w:color="auto" w:fill="FFFFFF"/>
            <w:tcBorders>
              <w:top w:val="single" w:sz="6" w:space="0" w:color="D0D5DD"/>
              <w:left w:val="single" w:sz="6" w:space="0" w:color="D0D5DD"/>
              <w:bottom w:val="single" w:sz="6" w:space="0" w:color="D0D5DD"/>
              <w:right w:val="single" w:sz="6" w:space="0" w:color="D0D5DD"/>
            </w:tcBorders>
          </w:tcPr>
          <w:p>
            <w:r>
              <w:rPr>
                <w:sz w:val="18"/>
              </w:rPr>
              <w:t>Transacciones en período &gt; 5</w:t>
            </w:r>
          </w:p>
        </w:tc>
        <w:tc>
          <w:tcPr>
            <w:tcW w:type="dxa" w:w="1134"/>
            <w:shd w:val="clear" w:color="auto" w:fill="FFFFFF"/>
            <w:tcBorders>
              <w:top w:val="single" w:sz="6" w:space="0" w:color="D0D5DD"/>
              <w:left w:val="single" w:sz="6" w:space="0" w:color="D0D5DD"/>
              <w:bottom w:val="single" w:sz="6" w:space="0" w:color="D0D5DD"/>
              <w:right w:val="single" w:sz="6" w:space="0" w:color="D0D5DD"/>
            </w:tcBorders>
          </w:tcPr>
          <w:p>
            <w:r>
              <w:rPr>
                <w:sz w:val="18"/>
              </w:rPr>
              <w:t>1</w:t>
            </w:r>
          </w:p>
        </w:tc>
        <w:tc>
          <w:tcPr>
            <w:tcW w:type="dxa" w:w="1417"/>
            <w:shd w:val="clear" w:color="auto" w:fill="FFFFFF"/>
            <w:tcBorders>
              <w:top w:val="single" w:sz="6" w:space="0" w:color="D0D5DD"/>
              <w:left w:val="single" w:sz="6" w:space="0" w:color="D0D5DD"/>
              <w:bottom w:val="single" w:sz="6" w:space="0" w:color="D0D5DD"/>
              <w:right w:val="single" w:sz="6" w:space="0" w:color="D0D5DD"/>
            </w:tcBorders>
          </w:tcPr>
          <w:p>
            <w:r>
              <w:rPr>
                <w:sz w:val="18"/>
              </w:rPr>
              <w:t>Sí</w:t>
            </w:r>
          </w:p>
        </w:tc>
      </w:tr>
      <w:tr>
        <w:tc>
          <w:tcPr>
            <w:tcW w:type="dxa" w:w="2268"/>
            <w:shd w:val="clear" w:color="auto" w:fill="F5F7FA"/>
            <w:tcBorders>
              <w:top w:val="single" w:sz="6" w:space="0" w:color="D0D5DD"/>
              <w:left w:val="single" w:sz="6" w:space="0" w:color="D0D5DD"/>
              <w:bottom w:val="single" w:sz="6" w:space="0" w:color="D0D5DD"/>
              <w:right w:val="single" w:sz="6" w:space="0" w:color="D0D5DD"/>
            </w:tcBorders>
          </w:tcPr>
          <w:p>
            <w:r>
              <w:rPr>
                <w:sz w:val="18"/>
              </w:rPr>
              <w:t>Smurfing</w:t>
            </w:r>
          </w:p>
        </w:tc>
        <w:tc>
          <w:tcPr>
            <w:tcW w:type="dxa" w:w="2268"/>
            <w:shd w:val="clear" w:color="auto" w:fill="F5F7FA"/>
            <w:tcBorders>
              <w:top w:val="single" w:sz="6" w:space="0" w:color="D0D5DD"/>
              <w:left w:val="single" w:sz="6" w:space="0" w:color="D0D5DD"/>
              <w:bottom w:val="single" w:sz="6" w:space="0" w:color="D0D5DD"/>
              <w:right w:val="single" w:sz="6" w:space="0" w:color="D0D5DD"/>
            </w:tcBorders>
          </w:tcPr>
          <w:p>
            <w:r>
              <w:rPr>
                <w:sz w:val="18"/>
              </w:rPr>
              <w:t>Smurfing</w:t>
            </w:r>
          </w:p>
        </w:tc>
        <w:tc>
          <w:tcPr>
            <w:tcW w:type="dxa" w:w="3118"/>
            <w:shd w:val="clear" w:color="auto" w:fill="F5F7FA"/>
            <w:tcBorders>
              <w:top w:val="single" w:sz="6" w:space="0" w:color="D0D5DD"/>
              <w:left w:val="single" w:sz="6" w:space="0" w:color="D0D5DD"/>
              <w:bottom w:val="single" w:sz="6" w:space="0" w:color="D0D5DD"/>
              <w:right w:val="single" w:sz="6" w:space="0" w:color="D0D5DD"/>
            </w:tcBorders>
          </w:tcPr>
          <w:p>
            <w:r>
              <w:rPr>
                <w:sz w:val="18"/>
              </w:rPr>
              <w:t>Transacciones en mismo día ≥ 5</w:t>
            </w:r>
          </w:p>
        </w:tc>
        <w:tc>
          <w:tcPr>
            <w:tcW w:type="dxa" w:w="1134"/>
            <w:shd w:val="clear" w:color="auto" w:fill="F5F7FA"/>
            <w:tcBorders>
              <w:top w:val="single" w:sz="6" w:space="0" w:color="D0D5DD"/>
              <w:left w:val="single" w:sz="6" w:space="0" w:color="D0D5DD"/>
              <w:bottom w:val="single" w:sz="6" w:space="0" w:color="D0D5DD"/>
              <w:right w:val="single" w:sz="6" w:space="0" w:color="D0D5DD"/>
            </w:tcBorders>
          </w:tcPr>
          <w:p>
            <w:r>
              <w:rPr>
                <w:sz w:val="18"/>
              </w:rPr>
              <w:t>3</w:t>
            </w:r>
          </w:p>
        </w:tc>
        <w:tc>
          <w:tcPr>
            <w:tcW w:type="dxa" w:w="1417"/>
            <w:shd w:val="clear" w:color="auto" w:fill="F5F7FA"/>
            <w:tcBorders>
              <w:top w:val="single" w:sz="6" w:space="0" w:color="D0D5DD"/>
              <w:left w:val="single" w:sz="6" w:space="0" w:color="D0D5DD"/>
              <w:bottom w:val="single" w:sz="6" w:space="0" w:color="D0D5DD"/>
              <w:right w:val="single" w:sz="6" w:space="0" w:color="D0D5DD"/>
            </w:tcBorders>
          </w:tcPr>
          <w:p>
            <w:r>
              <w:rPr>
                <w:sz w:val="18"/>
              </w:rPr>
              <w:t>Sí</w:t>
            </w:r>
          </w:p>
        </w:tc>
      </w:tr>
      <w:tr>
        <w:tc>
          <w:tcPr>
            <w:tcW w:type="dxa" w:w="2268"/>
            <w:shd w:val="clear" w:color="auto" w:fill="FFFFFF"/>
            <w:tcBorders>
              <w:top w:val="single" w:sz="6" w:space="0" w:color="D0D5DD"/>
              <w:left w:val="single" w:sz="6" w:space="0" w:color="D0D5DD"/>
              <w:bottom w:val="single" w:sz="6" w:space="0" w:color="D0D5DD"/>
              <w:right w:val="single" w:sz="6" w:space="0" w:color="D0D5DD"/>
            </w:tcBorders>
          </w:tcPr>
          <w:p>
            <w:r>
              <w:rPr>
                <w:sz w:val="18"/>
              </w:rPr>
              <w:t>Pico Anómalo</w:t>
            </w:r>
          </w:p>
        </w:tc>
        <w:tc>
          <w:tcPr>
            <w:tcW w:type="dxa" w:w="2268"/>
            <w:shd w:val="clear" w:color="auto" w:fill="FFFFFF"/>
            <w:tcBorders>
              <w:top w:val="single" w:sz="6" w:space="0" w:color="D0D5DD"/>
              <w:left w:val="single" w:sz="6" w:space="0" w:color="D0D5DD"/>
              <w:bottom w:val="single" w:sz="6" w:space="0" w:color="D0D5DD"/>
              <w:right w:val="single" w:sz="6" w:space="0" w:color="D0D5DD"/>
            </w:tcBorders>
          </w:tcPr>
          <w:p>
            <w:r>
              <w:rPr>
                <w:sz w:val="18"/>
              </w:rPr>
              <w:t>Pico</w:t>
            </w:r>
          </w:p>
        </w:tc>
        <w:tc>
          <w:tcPr>
            <w:tcW w:type="dxa" w:w="3118"/>
            <w:shd w:val="clear" w:color="auto" w:fill="FFFFFF"/>
            <w:tcBorders>
              <w:top w:val="single" w:sz="6" w:space="0" w:color="D0D5DD"/>
              <w:left w:val="single" w:sz="6" w:space="0" w:color="D0D5DD"/>
              <w:bottom w:val="single" w:sz="6" w:space="0" w:color="D0D5DD"/>
              <w:right w:val="single" w:sz="6" w:space="0" w:color="D0D5DD"/>
            </w:tcBorders>
          </w:tcPr>
          <w:p>
            <w:r>
              <w:rPr>
                <w:sz w:val="18"/>
              </w:rPr>
              <w:t>Monto &gt; Media + 2×Desv. Estándar</w:t>
            </w:r>
          </w:p>
        </w:tc>
        <w:tc>
          <w:tcPr>
            <w:tcW w:type="dxa" w:w="1134"/>
            <w:shd w:val="clear" w:color="auto" w:fill="FFFFFF"/>
            <w:tcBorders>
              <w:top w:val="single" w:sz="6" w:space="0" w:color="D0D5DD"/>
              <w:left w:val="single" w:sz="6" w:space="0" w:color="D0D5DD"/>
              <w:bottom w:val="single" w:sz="6" w:space="0" w:color="D0D5DD"/>
              <w:right w:val="single" w:sz="6" w:space="0" w:color="D0D5DD"/>
            </w:tcBorders>
          </w:tcPr>
          <w:p>
            <w:r>
              <w:rPr>
                <w:sz w:val="18"/>
              </w:rPr>
              <w:t>2</w:t>
            </w:r>
          </w:p>
        </w:tc>
        <w:tc>
          <w:tcPr>
            <w:tcW w:type="dxa" w:w="1417"/>
            <w:shd w:val="clear" w:color="auto" w:fill="FFFFFF"/>
            <w:tcBorders>
              <w:top w:val="single" w:sz="6" w:space="0" w:color="D0D5DD"/>
              <w:left w:val="single" w:sz="6" w:space="0" w:color="D0D5DD"/>
              <w:bottom w:val="single" w:sz="6" w:space="0" w:color="D0D5DD"/>
              <w:right w:val="single" w:sz="6" w:space="0" w:color="D0D5DD"/>
            </w:tcBorders>
          </w:tcPr>
          <w:p>
            <w:r>
              <w:rPr>
                <w:sz w:val="18"/>
              </w:rPr>
              <w:t>Sí</w:t>
            </w:r>
          </w:p>
        </w:tc>
      </w:tr>
    </w:tbl>
    <w:p/>
    <w:p>
      <w:r>
        <w:rPr>
          <w:sz w:val="21"/>
        </w:rPr>
        <w:t>Fórmula de Score por transacción:</w:t>
      </w:r>
    </w:p>
    <w:p>
      <w:r>
        <w:rPr>
          <w:rFonts w:ascii="Courier New" w:hAnsi="Courier New"/>
          <w:sz w:val="18"/>
        </w:rPr>
        <w:t>Score = (Alerta_Absoluto × peso_absoluto) + (Alerta_Acumulado × peso_acumulado)</w:t>
        <w:br/>
        <w:t xml:space="preserve">      + (Alerta_15 × peso_perfil)  + (Alerta_Frecuencia × peso_frecuencia)</w:t>
        <w:br/>
        <w:t xml:space="preserve">      + (Smurfing × peso_smurfing) + (Pico × peso_pico)</w:t>
      </w:r>
    </w:p>
    <w:p>
      <w:pPr>
        <w:pStyle w:val="Heading1"/>
      </w:pPr>
      <w:r>
        <w:rPr>
          <w:color w:val="1A2744"/>
        </w:rPr>
        <w:t>6. Clasificación de Riesgo por Cliente</w:t>
      </w:r>
    </w:p>
    <w:p>
      <w:r>
        <w:rPr>
          <w:sz w:val="21"/>
        </w:rPr>
        <w:t>El nivel de riesgo final se asigna según el Score_Max (máximo score alcanzado por cualquier transacción del cliente) y el Total_Mensual:</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Nivel</w:t>
            </w:r>
          </w:p>
        </w:tc>
        <w:tc>
          <w:tcPr>
            <w:tcW w:type="dxa" w:w="3685"/>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Condición (default)</w:t>
            </w:r>
          </w:p>
        </w:tc>
        <w:tc>
          <w:tcPr>
            <w:tcW w:type="dxa" w:w="4252"/>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Acción recomendada</w:t>
            </w:r>
          </w:p>
        </w:tc>
      </w:tr>
      <w:tr>
        <w:tc>
          <w:tcPr>
            <w:tcW w:type="dxa" w:w="1417"/>
            <w:shd w:val="clear" w:color="auto" w:fill="F5F7FA"/>
            <w:tcBorders>
              <w:top w:val="single" w:sz="6" w:space="0" w:color="D0D5DD"/>
              <w:left w:val="single" w:sz="6" w:space="0" w:color="D0D5DD"/>
              <w:bottom w:val="single" w:sz="6" w:space="0" w:color="D0D5DD"/>
              <w:right w:val="single" w:sz="6" w:space="0" w:color="D0D5DD"/>
            </w:tcBorders>
          </w:tcPr>
          <w:p>
            <w:r>
              <w:rPr>
                <w:sz w:val="18"/>
              </w:rPr>
              <w:t>Crítico</w:t>
            </w:r>
          </w:p>
        </w:tc>
        <w:tc>
          <w:tcPr>
            <w:tcW w:type="dxa" w:w="3685"/>
            <w:shd w:val="clear" w:color="auto" w:fill="F5F7FA"/>
            <w:tcBorders>
              <w:top w:val="single" w:sz="6" w:space="0" w:color="D0D5DD"/>
              <w:left w:val="single" w:sz="6" w:space="0" w:color="D0D5DD"/>
              <w:bottom w:val="single" w:sz="6" w:space="0" w:color="D0D5DD"/>
              <w:right w:val="single" w:sz="6" w:space="0" w:color="D0D5DD"/>
            </w:tcBorders>
          </w:tcPr>
          <w:p>
            <w:r>
              <w:rPr>
                <w:sz w:val="18"/>
              </w:rPr>
              <w:t>Score_Max ≥ 8 O Total_Mensual &gt; Q30,000</w:t>
            </w:r>
          </w:p>
        </w:tc>
        <w:tc>
          <w:tcPr>
            <w:tcW w:type="dxa" w:w="4252"/>
            <w:shd w:val="clear" w:color="auto" w:fill="F5F7FA"/>
            <w:tcBorders>
              <w:top w:val="single" w:sz="6" w:space="0" w:color="D0D5DD"/>
              <w:left w:val="single" w:sz="6" w:space="0" w:color="D0D5DD"/>
              <w:bottom w:val="single" w:sz="6" w:space="0" w:color="D0D5DD"/>
              <w:right w:val="single" w:sz="6" w:space="0" w:color="D0D5DD"/>
            </w:tcBorders>
          </w:tcPr>
          <w:p>
            <w:r>
              <w:rPr>
                <w:sz w:val="18"/>
              </w:rPr>
              <w:t>Revisión inmediata, posible reporte a UIF</w:t>
            </w:r>
          </w:p>
        </w:tc>
      </w:tr>
      <w:tr>
        <w:tc>
          <w:tcPr>
            <w:tcW w:type="dxa" w:w="1417"/>
            <w:shd w:val="clear" w:color="auto" w:fill="FFFFFF"/>
            <w:tcBorders>
              <w:top w:val="single" w:sz="6" w:space="0" w:color="D0D5DD"/>
              <w:left w:val="single" w:sz="6" w:space="0" w:color="D0D5DD"/>
              <w:bottom w:val="single" w:sz="6" w:space="0" w:color="D0D5DD"/>
              <w:right w:val="single" w:sz="6" w:space="0" w:color="D0D5DD"/>
            </w:tcBorders>
          </w:tcPr>
          <w:p>
            <w:r>
              <w:rPr>
                <w:sz w:val="18"/>
              </w:rPr>
              <w:t>Alto</w:t>
            </w:r>
          </w:p>
        </w:tc>
        <w:tc>
          <w:tcPr>
            <w:tcW w:type="dxa" w:w="3685"/>
            <w:shd w:val="clear" w:color="auto" w:fill="FFFFFF"/>
            <w:tcBorders>
              <w:top w:val="single" w:sz="6" w:space="0" w:color="D0D5DD"/>
              <w:left w:val="single" w:sz="6" w:space="0" w:color="D0D5DD"/>
              <w:bottom w:val="single" w:sz="6" w:space="0" w:color="D0D5DD"/>
              <w:right w:val="single" w:sz="6" w:space="0" w:color="D0D5DD"/>
            </w:tcBorders>
          </w:tcPr>
          <w:p>
            <w:r>
              <w:rPr>
                <w:sz w:val="18"/>
              </w:rPr>
              <w:t>Score_Max ≥ 5</w:t>
            </w:r>
          </w:p>
        </w:tc>
        <w:tc>
          <w:tcPr>
            <w:tcW w:type="dxa" w:w="4252"/>
            <w:shd w:val="clear" w:color="auto" w:fill="FFFFFF"/>
            <w:tcBorders>
              <w:top w:val="single" w:sz="6" w:space="0" w:color="D0D5DD"/>
              <w:left w:val="single" w:sz="6" w:space="0" w:color="D0D5DD"/>
              <w:bottom w:val="single" w:sz="6" w:space="0" w:color="D0D5DD"/>
              <w:right w:val="single" w:sz="6" w:space="0" w:color="D0D5DD"/>
            </w:tcBorders>
          </w:tcPr>
          <w:p>
            <w:r>
              <w:rPr>
                <w:sz w:val="18"/>
              </w:rPr>
              <w:t>Investigación obligatoria en 5 días hábiles</w:t>
            </w:r>
          </w:p>
        </w:tc>
      </w:tr>
      <w:tr>
        <w:tc>
          <w:tcPr>
            <w:tcW w:type="dxa" w:w="1417"/>
            <w:shd w:val="clear" w:color="auto" w:fill="F5F7FA"/>
            <w:tcBorders>
              <w:top w:val="single" w:sz="6" w:space="0" w:color="D0D5DD"/>
              <w:left w:val="single" w:sz="6" w:space="0" w:color="D0D5DD"/>
              <w:bottom w:val="single" w:sz="6" w:space="0" w:color="D0D5DD"/>
              <w:right w:val="single" w:sz="6" w:space="0" w:color="D0D5DD"/>
            </w:tcBorders>
          </w:tcPr>
          <w:p>
            <w:r>
              <w:rPr>
                <w:sz w:val="18"/>
              </w:rPr>
              <w:t>Medio</w:t>
            </w:r>
          </w:p>
        </w:tc>
        <w:tc>
          <w:tcPr>
            <w:tcW w:type="dxa" w:w="3685"/>
            <w:shd w:val="clear" w:color="auto" w:fill="F5F7FA"/>
            <w:tcBorders>
              <w:top w:val="single" w:sz="6" w:space="0" w:color="D0D5DD"/>
              <w:left w:val="single" w:sz="6" w:space="0" w:color="D0D5DD"/>
              <w:bottom w:val="single" w:sz="6" w:space="0" w:color="D0D5DD"/>
              <w:right w:val="single" w:sz="6" w:space="0" w:color="D0D5DD"/>
            </w:tcBorders>
          </w:tcPr>
          <w:p>
            <w:r>
              <w:rPr>
                <w:sz w:val="18"/>
              </w:rPr>
              <w:t>Score_Max ≥ 3</w:t>
            </w:r>
          </w:p>
        </w:tc>
        <w:tc>
          <w:tcPr>
            <w:tcW w:type="dxa" w:w="4252"/>
            <w:shd w:val="clear" w:color="auto" w:fill="F5F7FA"/>
            <w:tcBorders>
              <w:top w:val="single" w:sz="6" w:space="0" w:color="D0D5DD"/>
              <w:left w:val="single" w:sz="6" w:space="0" w:color="D0D5DD"/>
              <w:bottom w:val="single" w:sz="6" w:space="0" w:color="D0D5DD"/>
              <w:right w:val="single" w:sz="6" w:space="0" w:color="D0D5DD"/>
            </w:tcBorders>
          </w:tcPr>
          <w:p>
            <w:r>
              <w:rPr>
                <w:sz w:val="18"/>
              </w:rPr>
              <w:t>Monitoreo continuo, revisión mensual</w:t>
            </w:r>
          </w:p>
        </w:tc>
      </w:tr>
      <w:tr>
        <w:tc>
          <w:tcPr>
            <w:tcW w:type="dxa" w:w="1417"/>
            <w:shd w:val="clear" w:color="auto" w:fill="FFFFFF"/>
            <w:tcBorders>
              <w:top w:val="single" w:sz="6" w:space="0" w:color="D0D5DD"/>
              <w:left w:val="single" w:sz="6" w:space="0" w:color="D0D5DD"/>
              <w:bottom w:val="single" w:sz="6" w:space="0" w:color="D0D5DD"/>
              <w:right w:val="single" w:sz="6" w:space="0" w:color="D0D5DD"/>
            </w:tcBorders>
          </w:tcPr>
          <w:p>
            <w:r>
              <w:rPr>
                <w:sz w:val="18"/>
              </w:rPr>
              <w:t>Bajo</w:t>
            </w:r>
          </w:p>
        </w:tc>
        <w:tc>
          <w:tcPr>
            <w:tcW w:type="dxa" w:w="3685"/>
            <w:shd w:val="clear" w:color="auto" w:fill="FFFFFF"/>
            <w:tcBorders>
              <w:top w:val="single" w:sz="6" w:space="0" w:color="D0D5DD"/>
              <w:left w:val="single" w:sz="6" w:space="0" w:color="D0D5DD"/>
              <w:bottom w:val="single" w:sz="6" w:space="0" w:color="D0D5DD"/>
              <w:right w:val="single" w:sz="6" w:space="0" w:color="D0D5DD"/>
            </w:tcBorders>
          </w:tcPr>
          <w:p>
            <w:r>
              <w:rPr>
                <w:sz w:val="18"/>
              </w:rPr>
              <w:t>Score_Max &lt; 3</w:t>
            </w:r>
          </w:p>
        </w:tc>
        <w:tc>
          <w:tcPr>
            <w:tcW w:type="dxa" w:w="4252"/>
            <w:shd w:val="clear" w:color="auto" w:fill="FFFFFF"/>
            <w:tcBorders>
              <w:top w:val="single" w:sz="6" w:space="0" w:color="D0D5DD"/>
              <w:left w:val="single" w:sz="6" w:space="0" w:color="D0D5DD"/>
              <w:bottom w:val="single" w:sz="6" w:space="0" w:color="D0D5DD"/>
              <w:right w:val="single" w:sz="6" w:space="0" w:color="D0D5DD"/>
            </w:tcBorders>
          </w:tcPr>
          <w:p>
            <w:r>
              <w:rPr>
                <w:sz w:val="18"/>
              </w:rPr>
              <w:t>Vigilancia rutinaria</w:t>
            </w:r>
          </w:p>
        </w:tc>
      </w:tr>
    </w:tbl>
    <w:p>
      <w:pPr>
        <w:pStyle w:val="Heading1"/>
      </w:pPr>
      <w:r>
        <w:rPr>
          <w:color w:val="1A2744"/>
        </w:rPr>
        <w:t>7. Vistas del Sistema</w:t>
      </w:r>
    </w:p>
    <w:p>
      <w:pPr>
        <w:pStyle w:val="Heading2"/>
      </w:pPr>
      <w:r>
        <w:rPr>
          <w:color w:val="1E3A5F"/>
        </w:rPr>
        <w:t>📋 Resumen Ejecutivo</w:t>
      </w:r>
    </w:p>
    <w:p>
      <w:r>
        <w:rPr>
          <w:sz w:val="21"/>
        </w:rPr>
        <w:t>Vista de alto nivel con KPIs principales y un Panel de Insights Estratégicos. Incluye gráficos de distribución de riesgo, barras de alertas por tipo y la Matriz de Oportunidad de Canal.</w:t>
      </w:r>
    </w:p>
    <w:p>
      <w:pPr>
        <w:pStyle w:val="Heading2"/>
      </w:pPr>
      <w:r>
        <w:rPr>
          <w:color w:val="1E3A5F"/>
        </w:rPr>
        <w:t>🎯 Inteligencia Estratégica</w:t>
      </w:r>
    </w:p>
    <w:p>
      <w:r>
        <w:rPr>
          <w:sz w:val="21"/>
        </w:rPr>
        <w:t>Módulo que visualiza la Matriz de Oportunidad (Burbujas: Volumen vs Clientes) y la Densidad de Riesgo Agrupada para identificar Canales de Alto Rendimiento.</w:t>
      </w:r>
    </w:p>
    <w:p>
      <w:pPr>
        <w:pStyle w:val="Heading2"/>
      </w:pPr>
      <w:r>
        <w:rPr>
          <w:color w:val="1E3A5F"/>
        </w:rPr>
        <w:t>🚨 Casos de Alerta</w:t>
      </w:r>
    </w:p>
    <w:p>
      <w:r>
        <w:rPr>
          <w:sz w:val="21"/>
        </w:rPr>
        <w:t>Tabla filtrable de todos los clientes con su Score_Max, Total_Mensual, número de transacciones y nivel de riesgo. Soporta filtros por nivel de riesgo (multiselect) y score mínimo (slider).</w:t>
      </w:r>
    </w:p>
    <w:p>
      <w:pPr>
        <w:pStyle w:val="Heading2"/>
      </w:pPr>
      <w:r>
        <w:rPr>
          <w:color w:val="1E3A5F"/>
        </w:rPr>
        <w:t>📄 Transacciones</w:t>
      </w:r>
    </w:p>
    <w:p>
      <w:r>
        <w:rPr>
          <w:sz w:val="21"/>
        </w:rPr>
        <w:t>Registro detallado de todas las transacciones con sus columnas de alerta booleanas y score individual. Permite filtrar por cliente y mostrar solo transacciones con alertas activas.</w:t>
      </w:r>
    </w:p>
    <w:p>
      <w:pPr>
        <w:pStyle w:val="Heading2"/>
      </w:pPr>
      <w:r>
        <w:rPr>
          <w:color w:val="1E3A5F"/>
        </w:rPr>
        <w:t>👤 Análisis por Cliente</w:t>
      </w:r>
    </w:p>
    <w:p>
      <w:r>
        <w:rPr>
          <w:sz w:val="21"/>
        </w:rPr>
        <w:t>Perfil individual del cliente: KPIs, resumen generado por IA (Claude API), gráfico de tendencia de montos vs. perfil, mapa de picos anómalos estadísticos y frecuencia diaria de operaciones.</w:t>
      </w:r>
    </w:p>
    <w:p>
      <w:pPr>
        <w:pStyle w:val="Heading2"/>
      </w:pPr>
      <w:r>
        <w:rPr>
          <w:color w:val="1E3A5F"/>
        </w:rPr>
        <w:t>🗂️ Matrices de Riesgo</w:t>
      </w:r>
    </w:p>
    <w:p>
      <w:r>
        <w:rPr>
          <w:sz w:val="21"/>
        </w:rPr>
        <w:t>Matriz de todos los clientes ordenada por score descendente y matriz de tipos de alerta con descripción, peso y cantidad de activaciones. Incluye gráfico de contribución al score por regla.</w:t>
      </w:r>
    </w:p>
    <w:p>
      <w:pPr>
        <w:pStyle w:val="Heading2"/>
      </w:pPr>
      <w:r>
        <w:rPr>
          <w:color w:val="1E3A5F"/>
        </w:rPr>
        <w:t>⚙️ Configuración de Reglas</w:t>
      </w:r>
    </w:p>
    <w:p>
      <w:r>
        <w:rPr>
          <w:sz w:val="21"/>
        </w:rPr>
        <w:t>Panel de control completo con 4 pestañas: Reglas de Detección (umbrales individuales con toggle on/off), Pesos del Score, Clasificación de Riesgo y Resumen con botón de aplicar. Todos los cambios son persistentes en la session_state de Streamlit.</w:t>
      </w:r>
    </w:p>
    <w:p>
      <w:pPr>
        <w:pStyle w:val="Heading1"/>
      </w:pPr>
      <w:r>
        <w:rPr>
          <w:color w:val="1A2744"/>
        </w:rPr>
        <w:t>8. Guía de Uso Paso a Paso</w:t>
      </w:r>
    </w:p>
    <w:p>
      <w:pPr>
        <w:pStyle w:val="Heading2"/>
      </w:pPr>
      <w:r>
        <w:rPr>
          <w:color w:val="1E3A5F"/>
        </w:rPr>
        <w:t>Paso 1 — Preparar el archivo Excel</w:t>
      </w:r>
    </w:p>
    <w:p>
      <w:r>
        <w:rPr>
          <w:sz w:val="21"/>
        </w:rPr>
        <w:t>Verificar que el archivo .xlsx tenga las columnas: Cliente, Monto, Perfil, Fecha. Los nombres son case-sensitive. Las fechas deben estar en formato compatible con pandas.</w:t>
      </w:r>
    </w:p>
    <w:p>
      <w:pPr>
        <w:pStyle w:val="Heading2"/>
      </w:pPr>
      <w:r>
        <w:rPr>
          <w:color w:val="1E3A5F"/>
        </w:rPr>
        <w:t>Paso 2 — Subir el archivo</w:t>
      </w:r>
    </w:p>
    <w:p>
      <w:r>
        <w:rPr>
          <w:sz w:val="21"/>
        </w:rPr>
        <w:t>En la sección '📁 Cargar Datos', hacer clic en el área de carga y seleccionar el archivo. El sistema procesará automáticamente todas las reglas AML.</w:t>
      </w:r>
    </w:p>
    <w:p>
      <w:pPr>
        <w:pStyle w:val="Heading2"/>
      </w:pPr>
      <w:r>
        <w:rPr>
          <w:color w:val="1E3A5F"/>
        </w:rPr>
        <w:t>Paso 3 — Revisar el Resumen Ejecutivo</w:t>
      </w:r>
    </w:p>
    <w:p>
      <w:r>
        <w:rPr>
          <w:sz w:val="21"/>
        </w:rPr>
        <w:t>La primera vista muestra los indicadores clave. Pasar el cursor sobre los gráficos para ver los valores exactos mediante tooltips interactivos.</w:t>
      </w:r>
    </w:p>
    <w:p>
      <w:pPr>
        <w:pStyle w:val="Heading2"/>
      </w:pPr>
      <w:r>
        <w:rPr>
          <w:color w:val="1E3A5F"/>
        </w:rPr>
        <w:t>Paso 4 — Analizar Casos Críticos</w:t>
      </w:r>
    </w:p>
    <w:p>
      <w:r>
        <w:rPr>
          <w:sz w:val="21"/>
        </w:rPr>
        <w:t>Ir a '🚨 Casos de Alerta', filtrar por nivel 'Crítico' y exportar si es necesario.</w:t>
      </w:r>
    </w:p>
    <w:p>
      <w:pPr>
        <w:pStyle w:val="Heading2"/>
      </w:pPr>
      <w:r>
        <w:rPr>
          <w:color w:val="1E3A5F"/>
        </w:rPr>
        <w:t>Paso 5 — Investigar Clientes</w:t>
      </w:r>
    </w:p>
    <w:p>
      <w:r>
        <w:rPr>
          <w:sz w:val="21"/>
        </w:rPr>
        <w:t>En '👤 Análisis por Cliente', seleccionar el cliente y usar el botón '🤖 Generar Resumen con IA' (requiere conexión a internet y API key configurada en el código).</w:t>
      </w:r>
    </w:p>
    <w:p>
      <w:pPr>
        <w:pStyle w:val="Heading2"/>
      </w:pPr>
      <w:r>
        <w:rPr>
          <w:color w:val="1E3A5F"/>
        </w:rPr>
        <w:t>Paso 6 — Ajustar Parámetros</w:t>
      </w:r>
    </w:p>
    <w:p>
      <w:r>
        <w:rPr>
          <w:sz w:val="21"/>
        </w:rPr>
        <w:t>Si los umbrales no se adaptan al perfil de la institución, ir a '⚙️ Configuración de Reglas' y ajustar. Luego volver a cargar el archivo para reprocesar con nuevos parámetros.</w:t>
      </w:r>
    </w:p>
    <w:p>
      <w:pPr>
        <w:pStyle w:val="Heading1"/>
      </w:pPr>
      <w:r>
        <w:rPr>
          <w:color w:val="1A2744"/>
        </w:rPr>
        <w:t>9. Glosario Técnico AML</w:t>
      </w:r>
    </w:p>
    <w:tbl>
      <w:tblPr>
        <w:tblStyle w:val="TableGrid"/>
        <w:tblW w:type="auto" w:w="0"/>
        <w:tblLook w:firstColumn="1" w:firstRow="1" w:lastColumn="0" w:lastRow="0" w:noHBand="0" w:noVBand="1" w:val="04A0"/>
      </w:tblPr>
      <w:tblGrid>
        <w:gridCol w:w="4561"/>
        <w:gridCol w:w="4561"/>
      </w:tblGrid>
      <w:tr>
        <w:tc>
          <w:tcPr>
            <w:tcW w:type="dxa" w:w="3118"/>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Término</w:t>
            </w:r>
          </w:p>
        </w:tc>
        <w:tc>
          <w:tcPr>
            <w:tcW w:type="dxa" w:w="6236"/>
            <w:shd w:val="clear" w:color="auto" w:fill="1A2744"/>
            <w:tcBorders>
              <w:top w:val="single" w:sz="6" w:space="0" w:color="1A2744"/>
              <w:left w:val="single" w:sz="6" w:space="0" w:color="1A2744"/>
              <w:bottom w:val="single" w:sz="6" w:space="0" w:color="1A2744"/>
              <w:right w:val="single" w:sz="6" w:space="0" w:color="1A2744"/>
            </w:tcBorders>
          </w:tcPr>
          <w:p>
            <w:pPr>
              <w:jc w:val="center"/>
            </w:pPr>
            <w:r>
              <w:rPr>
                <w:b/>
                <w:color w:val="FFFFFF"/>
                <w:sz w:val="19"/>
              </w:rPr>
              <w:t>Definición</w:t>
            </w:r>
          </w:p>
        </w:tc>
      </w:tr>
      <w:tr>
        <w:tc>
          <w:tcPr>
            <w:tcW w:type="dxa" w:w="3118"/>
            <w:shd w:val="clear" w:color="auto" w:fill="F5F7FA"/>
            <w:tcBorders>
              <w:top w:val="single" w:sz="6" w:space="0" w:color="D0D5DD"/>
              <w:left w:val="single" w:sz="6" w:space="0" w:color="D0D5DD"/>
              <w:bottom w:val="single" w:sz="6" w:space="0" w:color="D0D5DD"/>
              <w:right w:val="single" w:sz="6" w:space="0" w:color="D0D5DD"/>
            </w:tcBorders>
          </w:tcPr>
          <w:p>
            <w:r>
              <w:rPr>
                <w:sz w:val="18"/>
              </w:rPr>
              <w:t>AML (Anti-Money Laundering)</w:t>
            </w:r>
          </w:p>
        </w:tc>
        <w:tc>
          <w:tcPr>
            <w:tcW w:type="dxa" w:w="6236"/>
            <w:shd w:val="clear" w:color="auto" w:fill="F5F7FA"/>
            <w:tcBorders>
              <w:top w:val="single" w:sz="6" w:space="0" w:color="D0D5DD"/>
              <w:left w:val="single" w:sz="6" w:space="0" w:color="D0D5DD"/>
              <w:bottom w:val="single" w:sz="6" w:space="0" w:color="D0D5DD"/>
              <w:right w:val="single" w:sz="6" w:space="0" w:color="D0D5DD"/>
            </w:tcBorders>
          </w:tcPr>
          <w:p>
            <w:r>
              <w:rPr>
                <w:sz w:val="18"/>
              </w:rPr>
              <w:t>Conjunto de leyes, regulaciones y procedimientos para prevenir el lavado de activos.</w:t>
            </w:r>
          </w:p>
        </w:tc>
      </w:tr>
      <w:tr>
        <w:tc>
          <w:tcPr>
            <w:tcW w:type="dxa" w:w="3118"/>
            <w:shd w:val="clear" w:color="auto" w:fill="FFFFFF"/>
            <w:tcBorders>
              <w:top w:val="single" w:sz="6" w:space="0" w:color="D0D5DD"/>
              <w:left w:val="single" w:sz="6" w:space="0" w:color="D0D5DD"/>
              <w:bottom w:val="single" w:sz="6" w:space="0" w:color="D0D5DD"/>
              <w:right w:val="single" w:sz="6" w:space="0" w:color="D0D5DD"/>
            </w:tcBorders>
          </w:tcPr>
          <w:p>
            <w:r>
              <w:rPr>
                <w:sz w:val="18"/>
              </w:rPr>
              <w:t>Score de Riesgo</w:t>
            </w:r>
          </w:p>
        </w:tc>
        <w:tc>
          <w:tcPr>
            <w:tcW w:type="dxa" w:w="6236"/>
            <w:shd w:val="clear" w:color="auto" w:fill="FFFFFF"/>
            <w:tcBorders>
              <w:top w:val="single" w:sz="6" w:space="0" w:color="D0D5DD"/>
              <w:left w:val="single" w:sz="6" w:space="0" w:color="D0D5DD"/>
              <w:bottom w:val="single" w:sz="6" w:space="0" w:color="D0D5DD"/>
              <w:right w:val="single" w:sz="6" w:space="0" w:color="D0D5DD"/>
            </w:tcBorders>
          </w:tcPr>
          <w:p>
            <w:r>
              <w:rPr>
                <w:sz w:val="18"/>
              </w:rPr>
              <w:t>Puntuación compuesta (0–12) que refleja el nivel de actividad sospechosa de un cliente.</w:t>
            </w:r>
          </w:p>
        </w:tc>
      </w:tr>
      <w:tr>
        <w:tc>
          <w:tcPr>
            <w:tcW w:type="dxa" w:w="3118"/>
            <w:shd w:val="clear" w:color="auto" w:fill="F5F7FA"/>
            <w:tcBorders>
              <w:top w:val="single" w:sz="6" w:space="0" w:color="D0D5DD"/>
              <w:left w:val="single" w:sz="6" w:space="0" w:color="D0D5DD"/>
              <w:bottom w:val="single" w:sz="6" w:space="0" w:color="D0D5DD"/>
              <w:right w:val="single" w:sz="6" w:space="0" w:color="D0D5DD"/>
            </w:tcBorders>
          </w:tcPr>
          <w:p>
            <w:r>
              <w:rPr>
                <w:sz w:val="18"/>
              </w:rPr>
              <w:t>Smurfing</w:t>
            </w:r>
          </w:p>
        </w:tc>
        <w:tc>
          <w:tcPr>
            <w:tcW w:type="dxa" w:w="6236"/>
            <w:shd w:val="clear" w:color="auto" w:fill="F5F7FA"/>
            <w:tcBorders>
              <w:top w:val="single" w:sz="6" w:space="0" w:color="D0D5DD"/>
              <w:left w:val="single" w:sz="6" w:space="0" w:color="D0D5DD"/>
              <w:bottom w:val="single" w:sz="6" w:space="0" w:color="D0D5DD"/>
              <w:right w:val="single" w:sz="6" w:space="0" w:color="D0D5DD"/>
            </w:tcBorders>
          </w:tcPr>
          <w:p>
            <w:r>
              <w:rPr>
                <w:sz w:val="18"/>
              </w:rPr>
              <w:t>Técnica de fragmentar grandes sumas en múltiples transacciones pequeñas para evadir controles.</w:t>
            </w:r>
          </w:p>
        </w:tc>
      </w:tr>
      <w:tr>
        <w:tc>
          <w:tcPr>
            <w:tcW w:type="dxa" w:w="3118"/>
            <w:shd w:val="clear" w:color="auto" w:fill="FFFFFF"/>
            <w:tcBorders>
              <w:top w:val="single" w:sz="6" w:space="0" w:color="D0D5DD"/>
              <w:left w:val="single" w:sz="6" w:space="0" w:color="D0D5DD"/>
              <w:bottom w:val="single" w:sz="6" w:space="0" w:color="D0D5DD"/>
              <w:right w:val="single" w:sz="6" w:space="0" w:color="D0D5DD"/>
            </w:tcBorders>
          </w:tcPr>
          <w:p>
            <w:r>
              <w:rPr>
                <w:sz w:val="18"/>
              </w:rPr>
              <w:t>Pico Anómalo</w:t>
            </w:r>
          </w:p>
        </w:tc>
        <w:tc>
          <w:tcPr>
            <w:tcW w:type="dxa" w:w="6236"/>
            <w:shd w:val="clear" w:color="auto" w:fill="FFFFFF"/>
            <w:tcBorders>
              <w:top w:val="single" w:sz="6" w:space="0" w:color="D0D5DD"/>
              <w:left w:val="single" w:sz="6" w:space="0" w:color="D0D5DD"/>
              <w:bottom w:val="single" w:sz="6" w:space="0" w:color="D0D5DD"/>
              <w:right w:val="single" w:sz="6" w:space="0" w:color="D0D5DD"/>
            </w:tcBorders>
          </w:tcPr>
          <w:p>
            <w:r>
              <w:rPr>
                <w:sz w:val="18"/>
              </w:rPr>
              <w:t>Transacción cuyo monto supera la media histórica del cliente más 2 desviaciones estándar.</w:t>
            </w:r>
          </w:p>
        </w:tc>
      </w:tr>
      <w:tr>
        <w:tc>
          <w:tcPr>
            <w:tcW w:type="dxa" w:w="3118"/>
            <w:shd w:val="clear" w:color="auto" w:fill="F5F7FA"/>
            <w:tcBorders>
              <w:top w:val="single" w:sz="6" w:space="0" w:color="D0D5DD"/>
              <w:left w:val="single" w:sz="6" w:space="0" w:color="D0D5DD"/>
              <w:bottom w:val="single" w:sz="6" w:space="0" w:color="D0D5DD"/>
              <w:right w:val="single" w:sz="6" w:space="0" w:color="D0D5DD"/>
            </w:tcBorders>
          </w:tcPr>
          <w:p>
            <w:r>
              <w:rPr>
                <w:sz w:val="18"/>
              </w:rPr>
              <w:t>Perfil de Riesgo</w:t>
            </w:r>
          </w:p>
        </w:tc>
        <w:tc>
          <w:tcPr>
            <w:tcW w:type="dxa" w:w="6236"/>
            <w:shd w:val="clear" w:color="auto" w:fill="F5F7FA"/>
            <w:tcBorders>
              <w:top w:val="single" w:sz="6" w:space="0" w:color="D0D5DD"/>
              <w:left w:val="single" w:sz="6" w:space="0" w:color="D0D5DD"/>
              <w:bottom w:val="single" w:sz="6" w:space="0" w:color="D0D5DD"/>
              <w:right w:val="single" w:sz="6" w:space="0" w:color="D0D5DD"/>
            </w:tcBorders>
          </w:tcPr>
          <w:p>
            <w:r>
              <w:rPr>
                <w:sz w:val="18"/>
              </w:rPr>
              <w:t>Nivel de actividad transaccional esperado para un cliente según su tipo de negocio.</w:t>
            </w:r>
          </w:p>
        </w:tc>
      </w:tr>
      <w:tr>
        <w:tc>
          <w:tcPr>
            <w:tcW w:type="dxa" w:w="3118"/>
            <w:shd w:val="clear" w:color="auto" w:fill="FFFFFF"/>
            <w:tcBorders>
              <w:top w:val="single" w:sz="6" w:space="0" w:color="D0D5DD"/>
              <w:left w:val="single" w:sz="6" w:space="0" w:color="D0D5DD"/>
              <w:bottom w:val="single" w:sz="6" w:space="0" w:color="D0D5DD"/>
              <w:right w:val="single" w:sz="6" w:space="0" w:color="D0D5DD"/>
            </w:tcBorders>
          </w:tcPr>
          <w:p>
            <w:r>
              <w:rPr>
                <w:sz w:val="18"/>
              </w:rPr>
              <w:t>Score_Max</w:t>
            </w:r>
          </w:p>
        </w:tc>
        <w:tc>
          <w:tcPr>
            <w:tcW w:type="dxa" w:w="6236"/>
            <w:shd w:val="clear" w:color="auto" w:fill="FFFFFF"/>
            <w:tcBorders>
              <w:top w:val="single" w:sz="6" w:space="0" w:color="D0D5DD"/>
              <w:left w:val="single" w:sz="6" w:space="0" w:color="D0D5DD"/>
              <w:bottom w:val="single" w:sz="6" w:space="0" w:color="D0D5DD"/>
              <w:right w:val="single" w:sz="6" w:space="0" w:color="D0D5DD"/>
            </w:tcBorders>
          </w:tcPr>
          <w:p>
            <w:r>
              <w:rPr>
                <w:sz w:val="18"/>
              </w:rPr>
              <w:t>Máximo score obtenido por cualquier transacción individual de un cliente en el período.</w:t>
            </w:r>
          </w:p>
        </w:tc>
      </w:tr>
      <w:tr>
        <w:tc>
          <w:tcPr>
            <w:tcW w:type="dxa" w:w="3118"/>
            <w:shd w:val="clear" w:color="auto" w:fill="F5F7FA"/>
            <w:tcBorders>
              <w:top w:val="single" w:sz="6" w:space="0" w:color="D0D5DD"/>
              <w:left w:val="single" w:sz="6" w:space="0" w:color="D0D5DD"/>
              <w:bottom w:val="single" w:sz="6" w:space="0" w:color="D0D5DD"/>
              <w:right w:val="single" w:sz="6" w:space="0" w:color="D0D5DD"/>
            </w:tcBorders>
          </w:tcPr>
          <w:p>
            <w:r>
              <w:rPr>
                <w:sz w:val="18"/>
              </w:rPr>
              <w:t>UIF</w:t>
            </w:r>
          </w:p>
        </w:tc>
        <w:tc>
          <w:tcPr>
            <w:tcW w:type="dxa" w:w="6236"/>
            <w:shd w:val="clear" w:color="auto" w:fill="F5F7FA"/>
            <w:tcBorders>
              <w:top w:val="single" w:sz="6" w:space="0" w:color="D0D5DD"/>
              <w:left w:val="single" w:sz="6" w:space="0" w:color="D0D5DD"/>
              <w:bottom w:val="single" w:sz="6" w:space="0" w:color="D0D5DD"/>
              <w:right w:val="single" w:sz="6" w:space="0" w:color="D0D5DD"/>
            </w:tcBorders>
          </w:tcPr>
          <w:p>
            <w:r>
              <w:rPr>
                <w:sz w:val="18"/>
              </w:rPr>
              <w:t>Unidad de Información Financiera — entidad receptora de reportes de operaciones sospechosas.</w:t>
            </w:r>
          </w:p>
        </w:tc>
      </w:tr>
      <w:tr>
        <w:tc>
          <w:tcPr>
            <w:tcW w:type="dxa" w:w="3118"/>
            <w:shd w:val="clear" w:color="auto" w:fill="FFFFFF"/>
            <w:tcBorders>
              <w:top w:val="single" w:sz="6" w:space="0" w:color="D0D5DD"/>
              <w:left w:val="single" w:sz="6" w:space="0" w:color="D0D5DD"/>
              <w:bottom w:val="single" w:sz="6" w:space="0" w:color="D0D5DD"/>
              <w:right w:val="single" w:sz="6" w:space="0" w:color="D0D5DD"/>
            </w:tcBorders>
          </w:tcPr>
          <w:p>
            <w:r>
              <w:rPr>
                <w:sz w:val="18"/>
              </w:rPr>
              <w:t>Session State</w:t>
            </w:r>
          </w:p>
        </w:tc>
        <w:tc>
          <w:tcPr>
            <w:tcW w:type="dxa" w:w="6236"/>
            <w:shd w:val="clear" w:color="auto" w:fill="FFFFFF"/>
            <w:tcBorders>
              <w:top w:val="single" w:sz="6" w:space="0" w:color="D0D5DD"/>
              <w:left w:val="single" w:sz="6" w:space="0" w:color="D0D5DD"/>
              <w:bottom w:val="single" w:sz="6" w:space="0" w:color="D0D5DD"/>
              <w:right w:val="single" w:sz="6" w:space="0" w:color="D0D5DD"/>
            </w:tcBorders>
          </w:tcPr>
          <w:p>
            <w:r>
              <w:rPr>
                <w:sz w:val="18"/>
              </w:rPr>
              <w:t>Mecanismo de Streamlit para mantener variables persistentes entre reruns de la aplicación.</w:t>
            </w:r>
          </w:p>
        </w:tc>
      </w:tr>
      <w:tr>
        <w:tc>
          <w:tcPr>
            <w:tcW w:type="dxa" w:w="3118"/>
            <w:shd w:val="clear" w:color="auto" w:fill="F5F7FA"/>
            <w:tcBorders>
              <w:top w:val="single" w:sz="6" w:space="0" w:color="D0D5DD"/>
              <w:left w:val="single" w:sz="6" w:space="0" w:color="D0D5DD"/>
              <w:bottom w:val="single" w:sz="6" w:space="0" w:color="D0D5DD"/>
              <w:right w:val="single" w:sz="6" w:space="0" w:color="D0D5DD"/>
            </w:tcBorders>
          </w:tcPr>
          <w:p>
            <w:r>
              <w:rPr>
                <w:sz w:val="18"/>
              </w:rPr>
              <w:t>Hover Tooltip</w:t>
            </w:r>
          </w:p>
        </w:tc>
        <w:tc>
          <w:tcPr>
            <w:tcW w:type="dxa" w:w="6236"/>
            <w:shd w:val="clear" w:color="auto" w:fill="F5F7FA"/>
            <w:tcBorders>
              <w:top w:val="single" w:sz="6" w:space="0" w:color="D0D5DD"/>
              <w:left w:val="single" w:sz="6" w:space="0" w:color="D0D5DD"/>
              <w:bottom w:val="single" w:sz="6" w:space="0" w:color="D0D5DD"/>
              <w:right w:val="single" w:sz="6" w:space="0" w:color="D0D5DD"/>
            </w:tcBorders>
          </w:tcPr>
          <w:p>
            <w:r>
              <w:rPr>
                <w:sz w:val="18"/>
              </w:rPr>
              <w:t>Información emergente que aparece al posicionar el cursor sobre un punto del gráfico Plotly.</w:t>
            </w:r>
          </w:p>
        </w:tc>
      </w:tr>
    </w:tbl>
    <w:p>
      <w:pPr>
        <w:pStyle w:val="Heading1"/>
      </w:pPr>
      <w:r>
        <w:rPr>
          <w:color w:val="1A2744"/>
        </w:rPr>
        <w:t>10. Notas Técnicas Adicionales</w:t>
      </w:r>
    </w:p>
    <w:p>
      <w:pPr>
        <w:pStyle w:val="Heading2"/>
      </w:pPr>
      <w:r>
        <w:rPr>
          <w:color w:val="1E3A5F"/>
        </w:rPr>
        <w:t>Gráficos interactivos</w:t>
      </w:r>
    </w:p>
    <w:p>
      <w:r>
        <w:rPr>
          <w:sz w:val="21"/>
        </w:rPr>
        <w:t>Todos los gráficos utilizan Plotly. Cada punto, barra o segmento muestra un tooltip al posicionar el cursor. Los gráficos soportan zoom (arrastrar), paneo (shift+arrastrar) y descarga como PNG mediante el botón de cámara en la esquina superior derecha.</w:t>
      </w:r>
    </w:p>
    <w:p>
      <w:pPr>
        <w:pStyle w:val="Heading2"/>
      </w:pPr>
      <w:r>
        <w:rPr>
          <w:color w:val="1E3A5F"/>
        </w:rPr>
        <w:t>Portabilidad</w:t>
      </w:r>
    </w:p>
    <w:p>
      <w:r>
        <w:rPr>
          <w:sz w:val="21"/>
        </w:rPr>
        <w:t>La plataforma es completamente portable. Solo requiere Python 3.9+ y las dependencias listadas en la Sección 2. No requiere instalación de base de datos ni servicios externos (excepto la integración opcional con la API de IA).</w:t>
      </w:r>
    </w:p>
    <w:p>
      <w:pPr>
        <w:pStyle w:val="Heading2"/>
      </w:pPr>
      <w:r>
        <w:rPr>
          <w:color w:val="1E3A5F"/>
        </w:rPr>
        <w:t>Integración con IA</w:t>
      </w:r>
    </w:p>
    <w:p>
      <w:r>
        <w:rPr>
          <w:sz w:val="21"/>
        </w:rPr>
        <w:t>El módulo de resumen IA usa la API de Anthropic (Claude). Requiere que la API key esté configurada directamente en el código. Si no hay conexión o key válida, el resto de la plataforma funciona con normalidad.</w:t>
      </w:r>
    </w:p>
    <w:p>
      <w:pPr>
        <w:pStyle w:val="Heading2"/>
      </w:pPr>
      <w:r>
        <w:rPr>
          <w:color w:val="1E3A5F"/>
        </w:rPr>
        <w:t>Persistencia de datos</w:t>
      </w:r>
    </w:p>
    <w:p>
      <w:r>
        <w:rPr>
          <w:sz w:val="21"/>
        </w:rPr>
        <w:t>La plataforma no almacena datos entre sesiones. Cada vez que se sube un nuevo archivo, se reprocesa todo desde cero. Los cambios de configuración se mantienen durante la sesión activa mediante session_state.</w:t>
      </w:r>
    </w:p>
    <w:p/>
    <w:p>
      <w:pPr>
        <w:jc w:val="center"/>
      </w:pPr>
      <w:r>
        <w:rPr>
          <w:color w:val="888888"/>
          <w:sz w:val="18"/>
        </w:rPr>
        <w:t>AML Intelligence Platform v2.0  ·  Generado el 06/04/2026</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