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0A1A2E"/>
          <w:sz w:val="40"/>
        </w:rPr>
        <w:t>SOVEREIGN AML — IMPERATOR ENGINE</w:t>
      </w:r>
    </w:p>
    <w:p>
      <w:pPr>
        <w:jc w:val="center"/>
      </w:pPr>
      <w:r>
        <w:rPr>
          <w:b/>
          <w:color w:val="C9A227"/>
          <w:sz w:val="32"/>
        </w:rPr>
        <w:t>Análisis de Brechas y Plan de Alineación</w:t>
      </w:r>
    </w:p>
    <w:p>
      <w:pPr>
        <w:jc w:val="center"/>
      </w:pPr>
      <w:r>
        <w:rPr>
          <w:i/>
          <w:color w:val="0A1A2E"/>
          <w:sz w:val="26"/>
        </w:rPr>
        <w:t>Iniciativa de Ley No. 6593 — Guatemala</w:t>
      </w:r>
    </w:p>
    <w:p>
      <w:pPr>
        <w:jc w:val="center"/>
      </w:pPr>
      <w:r>
        <w:rPr>
          <w:color w:val="1E293B"/>
          <w:sz w:val="22"/>
        </w:rPr>
        <w:t>Ley Integral contra el Lavado de Dinero u Otros Activos,</w:t>
        <w:br/>
        <w:t>el Financiamiento del Terrorismo y el FPADM</w:t>
      </w:r>
    </w:p>
    <w:p/>
    <w:p>
      <w:pPr>
        <w:jc w:val="center"/>
      </w:pPr>
      <w:r>
        <w:rPr>
          <w:color w:val="6B7280"/>
          <w:sz w:val="18"/>
        </w:rPr>
        <w:t>Fecha: 08 de junio de 2026  |  Versión: 1.0  |  Confidencial</w:t>
      </w:r>
    </w:p>
    <w:p>
      <w:r>
        <w:br w:type="page"/>
      </w:r>
    </w:p>
    <w:p>
      <w:pPr>
        <w:spacing w:before="240" w:after="80"/>
        <w:pBdr>
          <w:bottom w:val="single" w:sz="6" w:space="1" w:color="C9A227"/>
        </w:pBdr>
      </w:pPr>
      <w:r>
        <w:rPr>
          <w:b/>
          <w:color w:val="0A1A2E"/>
          <w:sz w:val="32"/>
        </w:rPr>
        <w:t>1. RESUMEN EJECUTIVO</w:t>
      </w:r>
    </w:p>
    <w:p>
      <w:pPr>
        <w:spacing w:before="0" w:after="80"/>
      </w:pPr>
      <w:r>
        <w:rPr>
          <w:b w:val="0"/>
          <w:i w:val="0"/>
          <w:sz w:val="21"/>
        </w:rPr>
        <w:t>La Iniciativa de Ley 6593 presenta el nuevo marco regulatorio integral de Guatemala en materia de Lavado de Dinero/Financiamiento del Terrorismo/Financiamiento de la Proliferación de Armas de Destrucción Masiva (LD/FT/FPADM). Esta normativa deroga el Decreto 67-2001 y el Decreto 58-2005, y constituye la transposición directa de las 40 Recomendaciones del GAFI a la legislación guatemalteca.</w:t>
      </w:r>
    </w:p>
    <w:p>
      <w:pPr>
        <w:spacing w:before="0" w:after="160"/>
      </w:pPr>
      <w:r>
        <w:rPr>
          <w:b w:val="0"/>
          <w:i w:val="0"/>
          <w:sz w:val="21"/>
        </w:rPr>
        <w:t>La evaluación de SOVEREIGN AML frente a esta ley revela que la plataforma está bien posicionada en su arquitectura de riesgo base, pero requiere ajustes puntuales de terminología y la incorporación de tres nuevos bloques funcionales para alcanzar plena alineación regulatoria.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CUMPLE ✓</w:t>
            </w:r>
          </w:p>
        </w:tc>
        <w:tc>
          <w:tcPr>
            <w:tcW w:type="dxa" w:w="3135"/>
            <w:shd w:val="clear" w:color="auto" w:fill="7A4E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AJUSTE REQUERIDO ⚠</w:t>
            </w:r>
          </w:p>
        </w:tc>
        <w:tc>
          <w:tcPr>
            <w:tcW w:type="dxa" w:w="3135"/>
            <w:shd w:val="clear" w:color="auto" w:fill="7F1D1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GAP NUEVO ✗</w:t>
            </w:r>
          </w:p>
        </w:tc>
      </w:tr>
      <w:tr>
        <w:tc>
          <w:tcPr>
            <w:tcW w:type="dxa" w:w="31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4532D"/>
                <w:sz w:val="18"/>
              </w:rPr>
              <w:t>EsPEP (Art. 25a)</w:t>
            </w:r>
          </w:p>
        </w:tc>
        <w:tc>
          <w:tcPr>
            <w:tcW w:type="dxa" w:w="3135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783500"/>
                <w:sz w:val="18"/>
              </w:rPr>
              <w:t>Renombrar riesgo → Riesgo LD/FT/FPADM</w:t>
            </w:r>
          </w:p>
        </w:tc>
        <w:tc>
          <w:tcPr>
            <w:tcW w:type="dxa" w:w="3135"/>
            <w:shd w:val="clear" w:color="auto" w:fill="FFF1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7F1D1D"/>
                <w:sz w:val="18"/>
              </w:rPr>
              <w:t>Beneficiario Final (UBO) — Art. 21</w:t>
            </w:r>
          </w:p>
        </w:tc>
      </w:tr>
      <w:tr>
        <w:tc>
          <w:tcPr>
            <w:tcW w:type="dxa" w:w="31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4532D"/>
                <w:sz w:val="18"/>
              </w:rPr>
              <w:t>EsCPE (Art. 25b)</w:t>
            </w:r>
          </w:p>
        </w:tc>
        <w:tc>
          <w:tcPr>
            <w:tcW w:type="dxa" w:w="3135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783500"/>
                <w:sz w:val="18"/>
              </w:rPr>
              <w:t>Transacción Inusual vs. Sospechosa</w:t>
            </w:r>
          </w:p>
        </w:tc>
        <w:tc>
          <w:tcPr>
            <w:tcW w:type="dxa" w:w="3135"/>
            <w:shd w:val="clear" w:color="auto" w:fill="FFF1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7F1D1D"/>
                <w:sz w:val="18"/>
              </w:rPr>
              <w:t>Módulo FPADM — Arts. 8-11</w:t>
            </w:r>
          </w:p>
        </w:tc>
      </w:tr>
      <w:tr>
        <w:tc>
          <w:tcPr>
            <w:tcW w:type="dxa" w:w="31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4532D"/>
                <w:sz w:val="18"/>
              </w:rPr>
              <w:t>Scores ST/SC/SB/SN (EBR)</w:t>
            </w:r>
          </w:p>
        </w:tc>
        <w:tc>
          <w:tcPr>
            <w:tcW w:type="dxa" w:w="3135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783500"/>
                <w:sz w:val="18"/>
              </w:rPr>
              <w:t>Autoridad IVE en reportes</w:t>
            </w:r>
          </w:p>
        </w:tc>
        <w:tc>
          <w:tcPr>
            <w:tcW w:type="dxa" w:w="3135"/>
            <w:shd w:val="clear" w:color="auto" w:fill="FFF1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7F1D1D"/>
                <w:sz w:val="18"/>
              </w:rPr>
              <w:t>Listas ONU/Congelamiento — Art. 42</w:t>
            </w:r>
          </w:p>
        </w:tc>
      </w:tr>
      <w:tr>
        <w:tc>
          <w:tcPr>
            <w:tcW w:type="dxa" w:w="31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4532D"/>
                <w:sz w:val="18"/>
              </w:rPr>
              <w:t>Nivel_Riesgo (4 categorías)</w:t>
            </w:r>
          </w:p>
        </w:tc>
        <w:tc>
          <w:tcPr>
            <w:tcW w:type="dxa" w:w="3135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783500"/>
                <w:sz w:val="18"/>
              </w:rPr>
              <w:t>Score informativo: Manual de Prevención</w:t>
            </w:r>
          </w:p>
        </w:tc>
        <w:tc>
          <w:tcPr>
            <w:tcW w:type="dxa" w:w="3135"/>
            <w:shd w:val="clear" w:color="auto" w:fill="FFF1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7F1D1D"/>
                <w:sz w:val="18"/>
              </w:rPr>
              <w:t>PSAV como tipo de P. Obligada</w:t>
            </w:r>
          </w:p>
        </w:tc>
      </w:tr>
      <w:tr>
        <w:tc>
          <w:tcPr>
            <w:tcW w:type="dxa" w:w="31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4532D"/>
                <w:sz w:val="18"/>
              </w:rPr>
              <w:t>DDA — Debida Diligencia Ampliada</w:t>
            </w:r>
          </w:p>
        </w:tc>
        <w:tc>
          <w:tcPr>
            <w:tcW w:type="dxa" w:w="3135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783500"/>
                <w:sz w:val="18"/>
              </w:rPr>
              <w:t>RTS explícito en módulo reportes</w:t>
            </w:r>
          </w:p>
        </w:tc>
        <w:tc>
          <w:tcPr>
            <w:tcW w:type="dxa" w:w="3135"/>
            <w:shd w:val="clear" w:color="auto" w:fill="FFF1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7F1D1D"/>
                <w:sz w:val="18"/>
              </w:rPr>
              <w:t>RTE USD 10,000 — Art. 31</w:t>
            </w:r>
          </w:p>
        </w:tc>
      </w:tr>
      <w:tr>
        <w:tc>
          <w:tcPr>
            <w:tcW w:type="dxa" w:w="31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4532D"/>
                <w:sz w:val="18"/>
              </w:rPr>
              <w:t>Smurfing / Fragmentación</w:t>
            </w:r>
          </w:p>
        </w:tc>
        <w:tc>
          <w:tcPr>
            <w:tcW w:type="dxa" w:w="3135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783500"/>
                <w:sz w:val="18"/>
              </w:rPr>
            </w:r>
          </w:p>
        </w:tc>
        <w:tc>
          <w:tcPr>
            <w:tcW w:type="dxa" w:w="3135"/>
            <w:shd w:val="clear" w:color="auto" w:fill="FFF1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7F1D1D"/>
                <w:sz w:val="18"/>
              </w:rPr>
              <w:t>Estructura Jurídica — entidad nueva</w:t>
            </w:r>
          </w:p>
        </w:tc>
      </w:tr>
      <w:tr>
        <w:tc>
          <w:tcPr>
            <w:tcW w:type="dxa" w:w="31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4532D"/>
                <w:sz w:val="18"/>
              </w:rPr>
              <w:t>Referencia RTS en mitigación</w:t>
            </w:r>
          </w:p>
        </w:tc>
        <w:tc>
          <w:tcPr>
            <w:tcW w:type="dxa" w:w="3135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783500"/>
                <w:sz w:val="18"/>
              </w:rPr>
            </w:r>
          </w:p>
        </w:tc>
        <w:tc>
          <w:tcPr>
            <w:tcW w:type="dxa" w:w="3135"/>
            <w:shd w:val="clear" w:color="auto" w:fill="FFF1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7F1D1D"/>
                <w:sz w:val="18"/>
              </w:rPr>
              <w:t>Workflow Inusual → Sospechosa</w:t>
            </w:r>
          </w:p>
        </w:tc>
      </w:tr>
      <w:tr>
        <w:tc>
          <w:tcPr>
            <w:tcW w:type="dxa" w:w="31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14532D"/>
                <w:sz w:val="18"/>
              </w:rPr>
              <w:t>GAFI Rec. en catálogo</w:t>
            </w:r>
          </w:p>
        </w:tc>
        <w:tc>
          <w:tcPr>
            <w:tcW w:type="dxa" w:w="3135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783500"/>
                <w:sz w:val="18"/>
              </w:rPr>
            </w:r>
          </w:p>
        </w:tc>
        <w:tc>
          <w:tcPr>
            <w:tcW w:type="dxa" w:w="3135"/>
            <w:shd w:val="clear" w:color="auto" w:fill="FFF1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7F1D1D"/>
                <w:sz w:val="18"/>
              </w:rPr>
            </w:r>
          </w:p>
        </w:tc>
      </w:tr>
    </w:tbl>
    <w:p/>
    <w:p>
      <w:pPr>
        <w:spacing w:before="240" w:after="80"/>
        <w:pBdr>
          <w:bottom w:val="single" w:sz="6" w:space="1" w:color="C9A227"/>
        </w:pBdr>
      </w:pPr>
      <w:r>
        <w:rPr>
          <w:b/>
          <w:color w:val="0A1A2E"/>
          <w:sz w:val="32"/>
        </w:rPr>
        <w:t>2. POSICIÓN ESTRATÉGICA: ESTÁNDARES INTERNACIONALES VS. NORMATIVA LOCAL</w:t>
      </w:r>
    </w:p>
    <w:p>
      <w:pPr>
        <w:spacing w:before="0" w:after="80"/>
      </w:pPr>
      <w:r>
        <w:rPr>
          <w:b w:val="0"/>
          <w:i w:val="0"/>
          <w:sz w:val="21"/>
        </w:rPr>
        <w:t>La pregunta sobre qué marco priorizar parte de una premisa incorrecta: la Iniciativa 6593 NO compite con los estándares GAFI — los implementa. La ley guatemalteca es la transposición legal directa de las 40 Recomendaciones GAFI, citando explícitamente las Convenciones de Viena, Palermo y Mérida como fundamentos.</w:t>
      </w:r>
    </w:p>
    <w:p>
      <w:pPr>
        <w:spacing w:before="160" w:after="80"/>
      </w:pPr>
      <w:r>
        <w:rPr>
          <w:b/>
          <w:color w:val="0A1A2E"/>
          <w:sz w:val="26"/>
        </w:rPr>
        <w:t>2.1 Son convergentes, no alternativos</w:t>
      </w:r>
    </w:p>
    <w:p>
      <w:pPr>
        <w:spacing w:before="0" w:after="80"/>
      </w:pPr>
      <w:r>
        <w:rPr>
          <w:b w:val="0"/>
          <w:i w:val="0"/>
          <w:sz w:val="21"/>
        </w:rPr>
        <w:t>Cumplir la Ley 6593 equivale a cumplir con los estándares internacionales GAFI en el contexto guatemalteco. No existe contradicción: la ley local agrega especificidades operativas (IVE como UIF, CPE, umbrales en quetzales/USD) pero no difiere en filosofía ni metodología.</w:t>
      </w:r>
    </w:p>
    <w:p>
      <w:pPr>
        <w:spacing w:before="160" w:after="80"/>
      </w:pPr>
      <w:r>
        <w:rPr>
          <w:b/>
          <w:color w:val="0A1A2E"/>
          <w:sz w:val="26"/>
        </w:rPr>
        <w:t>2.2 La recomendación para SOVEREIGN</w:t>
      </w:r>
    </w:p>
    <w:p>
      <w:pPr>
        <w:spacing w:before="0" w:after="80"/>
      </w:pPr>
      <w:r>
        <w:rPr>
          <w:b w:val="0"/>
          <w:i w:val="0"/>
          <w:sz w:val="21"/>
        </w:rPr>
        <w:t>La estrategia óptima es etiquetado dual: mantener la referencia a estándares internacionales (GAFI Rec. X, ISO 31000, COSO ERM) como fundamento técnico de credibilidad, y añadir el mapeo explícito a la normativa local guatemalteca (Art. X, Ley 6593) para demostración de cumplimiento regulatorio ante la IVE/SIB.</w:t>
      </w:r>
    </w:p>
    <w:p>
      <w:pPr>
        <w:spacing w:before="160" w:after="80"/>
      </w:pPr>
      <w:r>
        <w:rPr>
          <w:b/>
          <w:color w:val="0A1A2E"/>
          <w:sz w:val="26"/>
        </w:rPr>
        <w:t>2.3 Argumentario de valor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VENTAJA</w:t>
            </w:r>
          </w:p>
        </w:tc>
        <w:tc>
          <w:tcPr>
            <w:tcW w:type="dxa" w:w="4703"/>
            <w:shd w:val="clear" w:color="auto" w:fill="0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  <w:shd w:val="clear" w:color="auto" w:fill="EF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color w:val="0A1A2E"/>
                <w:sz w:val="19"/>
              </w:rPr>
              <w:t>Cumplimiento regulatorio local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9"/>
              </w:rPr>
              <w:t>El mapeo Art. por Art. a Ley 6593 permite a la Persona Obligada demostrar ante la IVE que su sistema de monitoreo cumple con los Arts. 28-30 (monitoreo, inusual, sospechosa).</w:t>
            </w:r>
          </w:p>
        </w:tc>
      </w:tr>
      <w:tr>
        <w:tc>
          <w:tcPr>
            <w:tcW w:type="dxa" w:w="4703"/>
            <w:shd w:val="clear" w:color="auto" w:fill="EF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color w:val="0A1A2E"/>
                <w:sz w:val="19"/>
              </w:rPr>
              <w:t>Credibilidad técnica internacional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9"/>
              </w:rPr>
              <w:t>Las referencias GAFI/ISO 31000 posicionan a SOVEREIGN como solución de clase mundial, no solo una herramienta de cumplimiento local, facilitando su comercialización regional.</w:t>
            </w:r>
          </w:p>
        </w:tc>
      </w:tr>
      <w:tr>
        <w:tc>
          <w:tcPr>
            <w:tcW w:type="dxa" w:w="4703"/>
            <w:shd w:val="clear" w:color="auto" w:fill="EF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color w:val="0A1A2E"/>
                <w:sz w:val="19"/>
              </w:rPr>
              <w:t>Auditabilidad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9"/>
              </w:rPr>
              <w:t>El doble mapeo (estándar internacional + artículo local) facilita auditorías internas y externas requeridas por el Art. 15 sobre revisión de Programas de Prevención LD/FT/FPADM.</w:t>
            </w:r>
          </w:p>
        </w:tc>
      </w:tr>
      <w:tr>
        <w:tc>
          <w:tcPr>
            <w:tcW w:type="dxa" w:w="4703"/>
            <w:shd w:val="clear" w:color="auto" w:fill="EF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color w:val="0A1A2E"/>
                <w:sz w:val="19"/>
              </w:rPr>
              <w:t>Actualización futura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9"/>
              </w:rPr>
              <w:t>Si cambia la normativa local pero el estándar GAFI permanece, el motor IMPERATOR mantiene su vigencia con ajuste solo de etiquetado, no de lógica de negocio.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6" w:space="1" w:color="C9A227"/>
        </w:pBdr>
      </w:pPr>
      <w:r>
        <w:rPr>
          <w:b/>
          <w:color w:val="0A1A2E"/>
          <w:sz w:val="32"/>
        </w:rPr>
        <w:t>3. BRECHAS DE TERMINOLOGÍA</w:t>
      </w:r>
    </w:p>
    <w:p>
      <w:pPr>
        <w:spacing w:before="0" w:after="120"/>
      </w:pPr>
      <w:r>
        <w:rPr>
          <w:b w:val="0"/>
          <w:i w:val="0"/>
          <w:sz w:val="21"/>
        </w:rPr>
        <w:t>La ley introduce terminología precisa con implicaciones jurídicas. Los cambios de vocabulario en SOVEREIGN son obligatorios para que la plataforma sea auditable ante la 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MÓDULO SOVEREIGN</w:t>
            </w:r>
          </w:p>
        </w:tc>
        <w:tc>
          <w:tcPr>
            <w:tcW w:type="dxa" w:w="1881"/>
            <w:shd w:val="clear" w:color="auto" w:fill="0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TÉRMINO ACTUAL</w:t>
            </w:r>
          </w:p>
        </w:tc>
        <w:tc>
          <w:tcPr>
            <w:tcW w:type="dxa" w:w="1881"/>
            <w:shd w:val="clear" w:color="auto" w:fill="0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TÉRMINO CORRECTO (LEY 6593)</w:t>
            </w:r>
          </w:p>
        </w:tc>
        <w:tc>
          <w:tcPr>
            <w:tcW w:type="dxa" w:w="1881"/>
            <w:shd w:val="clear" w:color="auto" w:fill="0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ART. REFERENCIA</w:t>
            </w:r>
          </w:p>
        </w:tc>
        <w:tc>
          <w:tcPr>
            <w:tcW w:type="dxa" w:w="1881"/>
            <w:shd w:val="clear" w:color="auto" w:fill="0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Todos los módulos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Riesgo LD/FT</w:t>
            </w:r>
          </w:p>
        </w:tc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Riesgo LD/FT/FPADM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Arts. 8–11</w:t>
            </w:r>
          </w:p>
        </w:tc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color w:val="DC2626"/>
                <w:sz w:val="18"/>
              </w:rPr>
              <w:t>ALTO — La ley incluye FPADM como tercer riesgo obligatorio. Omitirlo genera incumplimiento formal.</w:t>
            </w:r>
          </w:p>
        </w:tc>
      </w:tr>
      <w:tr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mod_alertas.py</w:t>
              <w:br/>
              <w:t>mod_cliente.py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Casos de Alerta</w:t>
            </w:r>
          </w:p>
        </w:tc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Transacciones Inusuales / Transacciones Sospechosas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Arts. 28–29</w:t>
            </w:r>
          </w:p>
        </w:tc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color w:val="DC2626"/>
                <w:sz w:val="18"/>
              </w:rPr>
              <w:t>ALTO — La ley distingue dos estados: inusual (bajo investigación) y sospechosa (confirmada, genera RTS).</w:t>
            </w:r>
          </w:p>
        </w:tc>
      </w:tr>
      <w:tr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mod_reportes.py</w:t>
              <w:br/>
              <w:t>mod_mitigacion.py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Reporte / RTI</w:t>
            </w:r>
          </w:p>
        </w:tc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RTS (Reporte de Transacción Sospechosa)</w:t>
              <w:br/>
              <w:t>RTE (Reporte de Transacciones en Efectivo)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Arts. 30–31</w:t>
            </w:r>
          </w:p>
        </w:tc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color w:val="DC2626"/>
                <w:sz w:val="18"/>
              </w:rPr>
              <w:t>ALTO — El término "RTI" no existe en la nueva ley. "RTS" es el término legal vigente.</w:t>
            </w:r>
          </w:p>
        </w:tc>
      </w:tr>
      <w:tr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mod_cliente.py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Sin campo</w:t>
            </w:r>
          </w:p>
        </w:tc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Beneficiario Final (UBO)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Art. 21 num. 2</w:t>
            </w:r>
          </w:p>
        </w:tc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color w:val="DC2626"/>
                <w:sz w:val="18"/>
              </w:rPr>
              <w:t>ALTO — Identificación obligatoria en debida diligencia. La plataforma no captura este dato.</w:t>
            </w:r>
          </w:p>
        </w:tc>
      </w:tr>
      <w:tr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mod_reportes.py</w:t>
              <w:br/>
              <w:t>mod_mitigacion.py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SIB / Superintendencia</w:t>
            </w:r>
          </w:p>
        </w:tc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IVE (Intendencia de Verificación Especial)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Arts. 4–5, 30</w:t>
            </w:r>
          </w:p>
        </w:tc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color w:val="D97706"/>
                <w:sz w:val="18"/>
              </w:rPr>
              <w:t>MEDIO — La IVE es la UIF/FIU formal. Los reportes deben referenciarse a ella.</w:t>
            </w:r>
          </w:p>
        </w:tc>
      </w:tr>
      <w:tr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mod_configuracion.py</w:t>
              <w:br/>
              <w:t>mod_manual.py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Manual de Cumplimiento</w:t>
            </w:r>
          </w:p>
        </w:tc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Manual de Prevención LD/FT/FPADM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Art. 12</w:t>
            </w:r>
          </w:p>
        </w:tc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color w:val="D97706"/>
                <w:sz w:val="18"/>
              </w:rPr>
              <w:t>MEDIO — Nomenclatura obligatoria para el documento de programa de prevención.</w:t>
            </w:r>
          </w:p>
        </w:tc>
      </w:tr>
      <w:tr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mod_cliente.py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Sin distinción</w:t>
            </w:r>
          </w:p>
        </w:tc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Persona Individual / Persona Jurídica / Estructura Jurídica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Art. 2</w:t>
            </w:r>
          </w:p>
        </w:tc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color w:val="D97706"/>
                <w:sz w:val="18"/>
              </w:rPr>
              <w:t>MEDIO — Nueva categoría 'Estructura Jurídica' (fideicomisos, fundaciones, etc.) con EDD específica.</w:t>
            </w:r>
          </w:p>
        </w:tc>
      </w:tr>
      <w:tr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Varios módulos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PEP / CPE</w:t>
            </w:r>
          </w:p>
        </w:tc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PEP — Persona Expuesta Políticamente</w:t>
              <w:br/>
              <w:t>CPE — Contratista y Proveedor del Estado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Art. 25 a), b)</w:t>
            </w:r>
          </w:p>
        </w:tc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color w:val="16A34A"/>
                <w:sz w:val="18"/>
              </w:rPr>
              <w:t>BAJO — Ya existen en el sistema. Solo verificar que la descripción en UI coincida con definición legal.</w:t>
            </w:r>
          </w:p>
        </w:tc>
      </w:tr>
      <w:tr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mod_transacciones.py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Sin tipo</w:t>
            </w:r>
          </w:p>
        </w:tc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PSAV — Proveedor de Servicios de Activos Virtuales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sz w:val="18"/>
              </w:rPr>
              <w:t>Art. 3 c) 1 vii</w:t>
            </w:r>
          </w:p>
        </w:tc>
        <w:tc>
          <w:tcPr>
            <w:tcW w:type="dxa" w:w="1881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color w:val="16A34A"/>
                <w:sz w:val="18"/>
              </w:rPr>
              <w:t>BAJO — Nuevo tipo de Persona Obligada. Debe poder registrarse como tipo de cliente/entidad.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6" w:space="1" w:color="C9A227"/>
        </w:pBdr>
      </w:pPr>
      <w:r>
        <w:rPr>
          <w:b/>
          <w:color w:val="0A1A2E"/>
          <w:sz w:val="32"/>
        </w:rPr>
        <w:t>4. BRECHAS FUNCIONALES — NUEVAS CAPACIDADES REQUERIDAS</w:t>
      </w:r>
    </w:p>
    <w:p>
      <w:pPr>
        <w:spacing w:before="160" w:after="80"/>
      </w:pPr>
      <w:r>
        <w:rPr>
          <w:b/>
          <w:color w:val="0A1A2E"/>
          <w:sz w:val="26"/>
        </w:rPr>
        <w:t>4.1 Beneficiario Final (UBO) — Art. 21 Numeral 2</w:t>
      </w:r>
    </w:p>
    <w:p>
      <w:pPr>
        <w:spacing w:before="0" w:after="60"/>
      </w:pPr>
      <w:r>
        <w:rPr>
          <w:b w:val="0"/>
          <w:i w:val="0"/>
          <w:sz w:val="21"/>
        </w:rPr>
        <w:t>La ley obliga a identificar y verificar al beneficiario final de todo cliente persona jurídica o estructura jurídica. SOVEREIGN actualmente captura EsPEP y EsCPE sobre el cliente directo, pero no almacena datos del controlador final.</w:t>
      </w:r>
    </w:p>
    <w:p>
      <w:pPr>
        <w:spacing w:before="0" w:after="40"/>
      </w:pPr>
      <w:r>
        <w:rPr>
          <w:b/>
          <w:i w:val="0"/>
          <w:sz w:val="21"/>
        </w:rPr>
        <w:t>Cambios requeridos en mod_cliente.py:</w:t>
      </w:r>
    </w:p>
    <w:p>
      <w:pPr>
        <w:pStyle w:val="ListBullet"/>
        <w:spacing w:before="20" w:after="40"/>
      </w:pPr>
      <w:r>
        <w:rPr>
          <w:b/>
          <w:color w:val="0A1A2E"/>
          <w:sz w:val="20"/>
        </w:rPr>
        <w:t>Campo:</w:t>
      </w:r>
      <w:r>
        <w:rPr>
          <w:sz w:val="20"/>
        </w:rPr>
        <w:t xml:space="preserve"> Beneficiario_Final (nombre/identificación del UBO)</w:t>
      </w:r>
    </w:p>
    <w:p>
      <w:pPr>
        <w:pStyle w:val="ListBullet"/>
        <w:spacing w:before="20" w:after="40"/>
      </w:pPr>
      <w:r>
        <w:rPr>
          <w:b/>
          <w:color w:val="0A1A2E"/>
          <w:sz w:val="20"/>
        </w:rPr>
        <w:t>Campo:</w:t>
      </w:r>
      <w:r>
        <w:rPr>
          <w:sz w:val="20"/>
        </w:rPr>
        <w:t xml:space="preserve"> Porcentaje_Participacion (% de control — umbral reglamentario pendiente de IVE)</w:t>
      </w:r>
    </w:p>
    <w:p>
      <w:pPr>
        <w:pStyle w:val="ListBullet"/>
        <w:spacing w:before="20" w:after="40"/>
      </w:pPr>
      <w:r>
        <w:rPr>
          <w:b/>
          <w:color w:val="0A1A2E"/>
          <w:sz w:val="20"/>
        </w:rPr>
        <w:t>Campo:</w:t>
      </w:r>
      <w:r>
        <w:rPr>
          <w:sz w:val="20"/>
        </w:rPr>
        <w:t xml:space="preserve"> EsPEP_UBO (booleano — si el UBO es PEP aplica EDD automática)</w:t>
      </w:r>
    </w:p>
    <w:p>
      <w:pPr>
        <w:pStyle w:val="ListBullet"/>
        <w:spacing w:before="20" w:after="40"/>
      </w:pPr>
      <w:r>
        <w:rPr>
          <w:b/>
          <w:color w:val="0A1A2E"/>
          <w:sz w:val="20"/>
        </w:rPr>
        <w:t>Campo:</w:t>
      </w:r>
      <w:r>
        <w:rPr>
          <w:sz w:val="20"/>
        </w:rPr>
        <w:t xml:space="preserve"> Fuente_Verificacion_UBO (documento, registro mercantil, fuente confiable — Art. 21 num. 1)</w:t>
      </w:r>
    </w:p>
    <w:p>
      <w:pPr>
        <w:pStyle w:val="ListBullet"/>
        <w:spacing w:before="20" w:after="40"/>
      </w:pPr>
      <w:r>
        <w:rPr>
          <w:b/>
          <w:color w:val="0A1A2E"/>
          <w:sz w:val="20"/>
        </w:rPr>
        <w:t>Score SC:</w:t>
      </w:r>
      <w:r>
        <w:rPr>
          <w:sz w:val="20"/>
        </w:rPr>
        <w:t xml:space="preserve"> El Score Contextual (SC) debe sumar puntos adicionales si UBO es PEP o CPE</w:t>
      </w:r>
    </w:p>
    <w:p>
      <w:pPr>
        <w:spacing w:before="160" w:after="80"/>
      </w:pPr>
      <w:r>
        <w:rPr>
          <w:b/>
          <w:color w:val="0A1A2E"/>
          <w:sz w:val="26"/>
        </w:rPr>
        <w:t>4.2 Flujo Transacción Inusual → Sospechosa (Arts. 28–29–30)</w:t>
      </w:r>
    </w:p>
    <w:p>
      <w:pPr>
        <w:spacing w:before="0" w:after="60"/>
      </w:pPr>
      <w:r>
        <w:rPr>
          <w:b w:val="0"/>
          <w:i w:val="0"/>
          <w:sz w:val="21"/>
        </w:rPr>
        <w:t>La ley define un proceso de dos fases obligatorio: primero el sistema detecta una Transacción Inusual; el analista la examina; si carece de fundamento económico/legal evidente, se clasifica Sospechosa y genera RTS a la IVE. Actualmente SOVEREIGN maneja solo "Casos de Alerta" sin esta distinción.</w:t>
      </w:r>
    </w:p>
    <w:p>
      <w:pPr>
        <w:spacing w:before="0" w:after="40"/>
      </w:pPr>
      <w:r>
        <w:rPr>
          <w:b/>
          <w:i w:val="0"/>
          <w:sz w:val="21"/>
        </w:rPr>
        <w:t>Cambios requeridos:</w:t>
      </w:r>
    </w:p>
    <w:p>
      <w:pPr>
        <w:pStyle w:val="ListBullet"/>
        <w:spacing w:before="20" w:after="40"/>
      </w:pPr>
      <w:r>
        <w:rPr>
          <w:sz w:val="20"/>
        </w:rPr>
        <w:t>Campo Estado_Alerta con valores: [Inusual_Pendiente | Inusual_Examinada | Sospechosa_Confirmada | Descartada]</w:t>
      </w:r>
    </w:p>
    <w:p>
      <w:pPr>
        <w:pStyle w:val="ListBullet"/>
        <w:spacing w:before="20" w:after="40"/>
      </w:pPr>
      <w:r>
        <w:rPr>
          <w:sz w:val="20"/>
        </w:rPr>
        <w:t>Campo Fundamento_Examen: texto libre donde el analista registra su evaluación (Art. 29)</w:t>
      </w:r>
    </w:p>
    <w:p>
      <w:pPr>
        <w:pStyle w:val="ListBullet"/>
        <w:spacing w:before="20" w:after="40"/>
      </w:pPr>
      <w:r>
        <w:rPr>
          <w:sz w:val="20"/>
        </w:rPr>
        <w:t>Campo Fecha_Clasificacion_Sospechosa para auditoría y SLA de reporte</w:t>
      </w:r>
    </w:p>
    <w:p>
      <w:pPr>
        <w:pStyle w:val="ListBullet"/>
        <w:spacing w:before="20" w:after="40"/>
      </w:pPr>
      <w:r>
        <w:rPr>
          <w:sz w:val="20"/>
        </w:rPr>
        <w:t>Botón/acción en mod_alertas.py: 'Escalar a Sospechosa' → genera RTS en mod_reportes.py</w:t>
      </w:r>
    </w:p>
    <w:p>
      <w:pPr>
        <w:pStyle w:val="ListBullet"/>
        <w:spacing w:before="20" w:after="40"/>
      </w:pPr>
      <w:r>
        <w:rPr>
          <w:sz w:val="20"/>
        </w:rPr>
        <w:t>KPI en mod_resumen.py: conteo de inusuales pendientes de examen y sospechosas no reportadas</w:t>
      </w:r>
    </w:p>
    <w:p>
      <w:pPr>
        <w:spacing w:before="160" w:after="80"/>
      </w:pPr>
      <w:r>
        <w:rPr>
          <w:b/>
          <w:color w:val="0A1A2E"/>
          <w:sz w:val="26"/>
        </w:rPr>
        <w:t>4.3 Módulo FPADM — Financiamiento de la Proliferación de ADM (Arts. 8–11)</w:t>
      </w:r>
    </w:p>
    <w:p>
      <w:pPr>
        <w:spacing w:before="0" w:after="60"/>
      </w:pPr>
      <w:r>
        <w:rPr>
          <w:b w:val="0"/>
          <w:i w:val="0"/>
          <w:sz w:val="21"/>
        </w:rPr>
        <w:t>El FPADM es el tercer vector de riesgo introducido por la ley. Las Personas Obligadas deben identificarlo, evaluarlo y mitigarlo junto con LD y FT. Actualmente SOVEREIGN no tiene ningún indicador de riesgo de proliferación.</w:t>
      </w:r>
    </w:p>
    <w:p>
      <w:pPr>
        <w:spacing w:before="0" w:after="40"/>
      </w:pPr>
      <w:r>
        <w:rPr>
          <w:b/>
          <w:i w:val="0"/>
          <w:sz w:val="21"/>
        </w:rPr>
        <w:t>Alcance mínimo requerido:</w:t>
      </w:r>
    </w:p>
    <w:p>
      <w:pPr>
        <w:pStyle w:val="ListBullet"/>
        <w:spacing w:before="20" w:after="40"/>
      </w:pPr>
      <w:r>
        <w:rPr>
          <w:sz w:val="20"/>
        </w:rPr>
        <w:t>Flag Es_FPADM_Risk en perfil de cliente/contraparte (entidades en jurisdicciones de proliferación)</w:t>
      </w:r>
    </w:p>
    <w:p>
      <w:pPr>
        <w:pStyle w:val="ListBullet"/>
        <w:spacing w:before="20" w:after="40"/>
      </w:pPr>
      <w:r>
        <w:rPr>
          <w:sz w:val="20"/>
        </w:rPr>
        <w:t>Sub-score S_FPADM dentro del Score Contextual (SC) para clientes en sectores de doble uso</w:t>
      </w:r>
    </w:p>
    <w:p>
      <w:pPr>
        <w:pStyle w:val="ListBullet"/>
        <w:spacing w:before="20" w:after="40"/>
      </w:pPr>
      <w:r>
        <w:rPr>
          <w:sz w:val="20"/>
        </w:rPr>
        <w:t>Señales de alerta específicas: transacciones con jurisdicciones bajo Resoluciones ONU de proliferación</w:t>
      </w:r>
    </w:p>
    <w:p>
      <w:pPr>
        <w:pStyle w:val="ListBullet"/>
        <w:spacing w:before="20" w:after="40"/>
      </w:pPr>
      <w:r>
        <w:rPr>
          <w:sz w:val="20"/>
        </w:rPr>
        <w:t>Mención explícita 'Riesgo LD/FT/FPADM' en mod_resumen.py, mod_matrices.py y reportes</w:t>
      </w:r>
    </w:p>
    <w:p>
      <w:pPr>
        <w:pStyle w:val="ListBullet"/>
        <w:spacing w:before="20" w:after="40"/>
      </w:pPr>
      <w:r>
        <w:rPr>
          <w:sz w:val="20"/>
        </w:rPr>
        <w:t>Referencia en el catálogo de mitigación: GAFI Rec. 7 (Sanciones financieras — proliferación)</w:t>
      </w:r>
    </w:p>
    <w:p>
      <w:pPr>
        <w:spacing w:before="160" w:after="80"/>
      </w:pPr>
      <w:r>
        <w:rPr>
          <w:b/>
          <w:color w:val="0A1A2E"/>
          <w:sz w:val="26"/>
        </w:rPr>
        <w:t>4.4 Listas de Sanciones ONU y Congelamiento de Bienes — Art. 42</w:t>
      </w:r>
    </w:p>
    <w:p>
      <w:pPr>
        <w:spacing w:before="0" w:after="60"/>
      </w:pPr>
      <w:r>
        <w:rPr>
          <w:b w:val="0"/>
          <w:i w:val="0"/>
          <w:sz w:val="21"/>
        </w:rPr>
        <w:t>El Art. 42 obliga a controlar de forma permanente si los clientes aparecen en listas del Consejo de Seguridad de las Naciones Unidas (Resoluciones 1267, 1988, 1373 y sucesoras). Esta funcionalidad está completamente ausente en SOVEREIGN.</w:t>
      </w:r>
    </w:p>
    <w:p>
      <w:pPr>
        <w:spacing w:before="0" w:after="40"/>
      </w:pPr>
      <w:r>
        <w:rPr>
          <w:b/>
          <w:i w:val="0"/>
          <w:sz w:val="21"/>
        </w:rPr>
        <w:t>Cambios requeridos:</w:t>
      </w:r>
    </w:p>
    <w:p>
      <w:pPr>
        <w:pStyle w:val="ListBullet"/>
        <w:spacing w:before="20" w:after="40"/>
      </w:pPr>
      <w:r>
        <w:rPr>
          <w:sz w:val="20"/>
        </w:rPr>
        <w:t>Módulo mod_listas_sanciones.py con integración o carga de listas OFAC/ONU/CONASSIF</w:t>
      </w:r>
    </w:p>
    <w:p>
      <w:pPr>
        <w:pStyle w:val="ListBullet"/>
        <w:spacing w:before="20" w:after="40"/>
      </w:pPr>
      <w:r>
        <w:rPr>
          <w:sz w:val="20"/>
        </w:rPr>
        <w:t>Screening automático al registrar o actualizar cliente — resultado: COINCIDENCIA / SIN COINCIDENCIA</w:t>
      </w:r>
    </w:p>
    <w:p>
      <w:pPr>
        <w:pStyle w:val="ListBullet"/>
        <w:spacing w:before="20" w:after="40"/>
      </w:pPr>
      <w:r>
        <w:rPr>
          <w:sz w:val="20"/>
        </w:rPr>
        <w:t>Flag En_Lista_ONU con fecha de detección y lista origen</w:t>
      </w:r>
    </w:p>
    <w:p>
      <w:pPr>
        <w:pStyle w:val="ListBullet"/>
        <w:spacing w:before="20" w:after="40"/>
      </w:pPr>
      <w:r>
        <w:rPr>
          <w:sz w:val="20"/>
        </w:rPr>
        <w:t>Alerta crítica (Score+++) con bloqueo operativo si hay coincidencia confirmada</w:t>
      </w:r>
    </w:p>
    <w:p>
      <w:pPr>
        <w:pStyle w:val="ListBullet"/>
        <w:spacing w:before="20" w:after="40"/>
      </w:pPr>
      <w:r>
        <w:rPr>
          <w:sz w:val="20"/>
        </w:rPr>
        <w:t>Log de auditoría inmutable de cada consulta (requerimiento implícito de control permanente)</w:t>
      </w:r>
    </w:p>
    <w:p>
      <w:pPr>
        <w:spacing w:before="160" w:after="80"/>
      </w:pPr>
      <w:r>
        <w:rPr>
          <w:b/>
          <w:color w:val="0A1A2E"/>
          <w:sz w:val="26"/>
        </w:rPr>
        <w:t>4.5 Reporte de Transacciones en Efectivo (RTE) — Art. 31</w:t>
      </w:r>
    </w:p>
    <w:p>
      <w:pPr>
        <w:spacing w:before="0" w:after="60"/>
      </w:pPr>
      <w:r>
        <w:rPr>
          <w:b w:val="0"/>
          <w:i w:val="0"/>
          <w:sz w:val="21"/>
        </w:rPr>
        <w:t>La ley exige registrar y reportar periódicamente a la IVE todas las transacciones en efectivo mayores a USD 10,000 (o su equivalente en otra divisa). Actualmente mod_reportes.py no genera este tipo de reporte.</w:t>
      </w:r>
    </w:p>
    <w:p>
      <w:pPr>
        <w:spacing w:before="0" w:after="40"/>
      </w:pPr>
      <w:r>
        <w:rPr>
          <w:b/>
          <w:i w:val="0"/>
          <w:sz w:val="21"/>
        </w:rPr>
        <w:t>Cambios requeridos:</w:t>
      </w:r>
    </w:p>
    <w:p>
      <w:pPr>
        <w:pStyle w:val="ListBullet"/>
        <w:spacing w:before="20" w:after="40"/>
      </w:pPr>
      <w:r>
        <w:rPr>
          <w:sz w:val="20"/>
        </w:rPr>
        <w:t>Regla de alerta RTE en el motor IMPERATOR: detectar transacciones en efectivo ≥ USD 10,000</w:t>
      </w:r>
    </w:p>
    <w:p>
      <w:pPr>
        <w:pStyle w:val="ListBullet"/>
        <w:spacing w:before="20" w:after="40"/>
      </w:pPr>
      <w:r>
        <w:rPr>
          <w:sz w:val="20"/>
        </w:rPr>
        <w:t>Generación de reporte RTE en mod_reportes.py con estructura compatible con formulario IVE</w:t>
      </w:r>
    </w:p>
    <w:p>
      <w:pPr>
        <w:pStyle w:val="ListBullet"/>
        <w:spacing w:before="20" w:after="40"/>
      </w:pPr>
      <w:r>
        <w:rPr>
          <w:sz w:val="20"/>
        </w:rPr>
        <w:t>Campo Tipo_Instrumento en mod_transacciones.py: [Efectivo | Transferencia | Cheque | Otro]</w:t>
      </w:r>
    </w:p>
    <w:p>
      <w:pPr>
        <w:pStyle w:val="ListBullet"/>
        <w:spacing w:before="20" w:after="40"/>
      </w:pPr>
      <w:r>
        <w:rPr>
          <w:sz w:val="20"/>
        </w:rPr>
        <w:t>Umbral configurable por tipo de Persona Obligada (la reglamentación puede ajustarlo)</w:t>
      </w:r>
    </w:p>
    <w:p>
      <w:pPr>
        <w:spacing w:before="160" w:after="80"/>
      </w:pPr>
      <w:r>
        <w:rPr>
          <w:b/>
          <w:color w:val="0A1A2E"/>
          <w:sz w:val="26"/>
        </w:rPr>
        <w:t>4.6 Política de Retención de Datos — Art. 34 (5 años)</w:t>
      </w:r>
    </w:p>
    <w:p>
      <w:pPr>
        <w:spacing w:before="0" w:after="60"/>
      </w:pPr>
      <w:r>
        <w:rPr>
          <w:b w:val="0"/>
          <w:i w:val="0"/>
          <w:sz w:val="21"/>
        </w:rPr>
        <w:t>El Art. 34 exige conservar toda documentación y registros mínimo 5 años. SOVEREIGN debe tener un mecanismo explícito de retención y política de purga que respete este plazo.</w:t>
      </w:r>
    </w:p>
    <w:p>
      <w:pPr>
        <w:pStyle w:val="ListBullet"/>
        <w:spacing w:before="20" w:after="40"/>
      </w:pPr>
      <w:r>
        <w:rPr>
          <w:sz w:val="20"/>
        </w:rPr>
        <w:t>Agregar en mod_configuracion.py: Política de Retención (fecha inicio, fecha purga programada)</w:t>
      </w:r>
    </w:p>
    <w:p>
      <w:pPr>
        <w:pStyle w:val="ListBullet"/>
        <w:spacing w:before="20" w:after="40"/>
      </w:pPr>
      <w:r>
        <w:rPr>
          <w:sz w:val="20"/>
        </w:rPr>
        <w:t>Advertencia visual si se intenta eliminar registros dentro del período de retención</w:t>
      </w:r>
    </w:p>
    <w:p>
      <w:pPr>
        <w:pStyle w:val="ListBullet"/>
        <w:spacing w:before="20" w:after="40"/>
      </w:pPr>
      <w:r>
        <w:rPr>
          <w:sz w:val="20"/>
        </w:rPr>
        <w:t>Log de auditoría no editable para todas las acciones del sistema (OWASP A09 — Logging)</w:t>
      </w:r>
    </w:p>
    <w:p/>
    <w:p>
      <w:r>
        <w:br w:type="page"/>
      </w:r>
    </w:p>
    <w:p>
      <w:pPr>
        <w:spacing w:before="240" w:after="80"/>
        <w:pBdr>
          <w:bottom w:val="single" w:sz="6" w:space="1" w:color="C9A227"/>
        </w:pBdr>
      </w:pPr>
      <w:r>
        <w:rPr>
          <w:b/>
          <w:color w:val="0A1A2E"/>
          <w:sz w:val="32"/>
        </w:rPr>
        <w:t>5. ESTADO ACTUAL DE CUMPLIMIENTO POR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2351"/>
            <w:shd w:val="clear" w:color="auto" w:fill="0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351"/>
            <w:shd w:val="clear" w:color="auto" w:fill="0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ARTÍCULOS CUBIERTOS</w:t>
            </w:r>
          </w:p>
        </w:tc>
        <w:tc>
          <w:tcPr>
            <w:tcW w:type="dxa" w:w="2351"/>
            <w:shd w:val="clear" w:color="auto" w:fill="0A1A2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ACCIÓN REQUERIDA</w:t>
            </w:r>
          </w:p>
        </w:tc>
      </w:tr>
      <w:tr>
        <w:tc>
          <w:tcPr>
            <w:tcW w:type="dxa" w:w="2351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mod_cliente.py</w:t>
            </w:r>
          </w:p>
        </w:tc>
        <w:tc>
          <w:tcPr>
            <w:tcW w:type="dxa" w:w="2351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color w:val="7A4E00"/>
                <w:sz w:val="18"/>
              </w:rPr>
              <w:t>⚠ PARCIAL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Arts. 21–25 (PEP/CPE)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Agregar UBO, Estructura Jurídica, flag FPADM</w:t>
            </w:r>
          </w:p>
        </w:tc>
      </w:tr>
      <w:tr>
        <w:tc>
          <w:tcPr>
            <w:tcW w:type="dxa" w:w="2351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mod_alertas.py</w:t>
            </w:r>
          </w:p>
        </w:tc>
        <w:tc>
          <w:tcPr>
            <w:tcW w:type="dxa" w:w="2351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color w:val="7A4E00"/>
                <w:sz w:val="18"/>
              </w:rPr>
              <w:t>⚠ PARCIAL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Art. 28 (monitoreo)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Distinguir Inusual vs. Sospechosa (Arts. 28-29)</w:t>
            </w:r>
          </w:p>
        </w:tc>
      </w:tr>
      <w:tr>
        <w:tc>
          <w:tcPr>
            <w:tcW w:type="dxa" w:w="2351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mod_transacciones.py</w:t>
            </w:r>
          </w:p>
        </w:tc>
        <w:tc>
          <w:tcPr>
            <w:tcW w:type="dxa" w:w="2351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color w:val="7A4E00"/>
                <w:sz w:val="18"/>
              </w:rPr>
              <w:t>⚠ PARCIAL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Art. 28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Agregar tipo instrumento (efectivo), regla RTE</w:t>
            </w:r>
          </w:p>
        </w:tc>
      </w:tr>
      <w:tr>
        <w:tc>
          <w:tcPr>
            <w:tcW w:type="dxa" w:w="2351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mod_reportes.py</w:t>
            </w:r>
          </w:p>
        </w:tc>
        <w:tc>
          <w:tcPr>
            <w:tcW w:type="dxa" w:w="2351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color w:val="7A4E00"/>
                <w:sz w:val="18"/>
              </w:rPr>
              <w:t>⚠ PARCIAL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Art. 30 (RTS parcial)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Generar RTS formal + RTE + estructura IVE</w:t>
            </w:r>
          </w:p>
        </w:tc>
      </w:tr>
      <w:tr>
        <w:tc>
          <w:tcPr>
            <w:tcW w:type="dxa" w:w="2351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mod_mitigacion.py</w:t>
            </w:r>
          </w:p>
        </w:tc>
        <w:tc>
          <w:tcPr>
            <w:tcW w:type="dxa" w:w="2351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color w:val="1A5C38"/>
                <w:sz w:val="18"/>
              </w:rPr>
              <w:t>✓ COMPATIBLE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GAFI Recs. / ISO 31000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Agregar GAFI Rec. 7 (FPADM), actualizar norma refs.</w:t>
            </w:r>
          </w:p>
        </w:tc>
      </w:tr>
      <w:tr>
        <w:tc>
          <w:tcPr>
            <w:tcW w:type="dxa" w:w="2351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mod_matrices.py</w:t>
            </w:r>
          </w:p>
        </w:tc>
        <w:tc>
          <w:tcPr>
            <w:tcW w:type="dxa" w:w="2351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color w:val="7A4E00"/>
                <w:sz w:val="18"/>
              </w:rPr>
              <w:t>⚠ PARCIAL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Arts. 9-11 (EBR)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Incluir dimensión FPADM, renombrar 'Riesgo LD/FT'</w:t>
            </w:r>
          </w:p>
        </w:tc>
      </w:tr>
      <w:tr>
        <w:tc>
          <w:tcPr>
            <w:tcW w:type="dxa" w:w="2351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mod_resumen.py</w:t>
            </w:r>
          </w:p>
        </w:tc>
        <w:tc>
          <w:tcPr>
            <w:tcW w:type="dxa" w:w="2351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color w:val="7A4E00"/>
                <w:sz w:val="18"/>
              </w:rPr>
              <w:t>⚠ PARCIAL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Arts. 8-11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KPIs de inusuales pendientes, sospechosas no reportadas</w:t>
            </w:r>
          </w:p>
        </w:tc>
      </w:tr>
      <w:tr>
        <w:tc>
          <w:tcPr>
            <w:tcW w:type="dxa" w:w="2351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mod_manual.py</w:t>
            </w:r>
          </w:p>
        </w:tc>
        <w:tc>
          <w:tcPr>
            <w:tcW w:type="dxa" w:w="2351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color w:val="7A4E00"/>
                <w:sz w:val="18"/>
              </w:rPr>
              <w:t>⚠ PARCIAL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Art. 12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Renombrar a 'Manual de Prevención LD/FT/FPADM'</w:t>
            </w:r>
          </w:p>
        </w:tc>
      </w:tr>
      <w:tr>
        <w:tc>
          <w:tcPr>
            <w:tcW w:type="dxa" w:w="2351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mod_configuracion.py</w:t>
            </w:r>
          </w:p>
        </w:tc>
        <w:tc>
          <w:tcPr>
            <w:tcW w:type="dxa" w:w="2351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color w:val="7A4E00"/>
                <w:sz w:val="18"/>
              </w:rPr>
              <w:t>⚠ PARCIAL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Art. 34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Agregar política de retención 5 años</w:t>
            </w:r>
          </w:p>
        </w:tc>
      </w:tr>
      <w:tr>
        <w:tc>
          <w:tcPr>
            <w:tcW w:type="dxa" w:w="2351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mod_red_transaccional.py</w:t>
            </w:r>
          </w:p>
        </w:tc>
        <w:tc>
          <w:tcPr>
            <w:tcW w:type="dxa" w:w="2351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color w:val="1A5C38"/>
                <w:sz w:val="18"/>
              </w:rPr>
              <w:t>✓ COMPATIBLE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Arts. 9, 21 num.5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Sin cambios críticos. Revisar etiquetas.</w:t>
            </w:r>
          </w:p>
        </w:tc>
      </w:tr>
      <w:tr>
        <w:tc>
          <w:tcPr>
            <w:tcW w:type="dxa" w:w="2351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mod_ubicaciones.py</w:t>
            </w:r>
          </w:p>
        </w:tc>
        <w:tc>
          <w:tcPr>
            <w:tcW w:type="dxa" w:w="2351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color w:val="1A5C38"/>
                <w:sz w:val="18"/>
              </w:rPr>
              <w:t>✓ COMPATIBLE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Art. 9 (factores geo)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Sin cambios críticos.</w:t>
            </w:r>
          </w:p>
        </w:tc>
      </w:tr>
      <w:tr>
        <w:tc>
          <w:tcPr>
            <w:tcW w:type="dxa" w:w="2351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mod_sesion.py</w:t>
            </w:r>
          </w:p>
        </w:tc>
        <w:tc>
          <w:tcPr>
            <w:tcW w:type="dxa" w:w="2351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color w:val="1A5C38"/>
                <w:sz w:val="18"/>
              </w:rPr>
              <w:t>✓ COMPATIBLE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Art. 19 (confidencialidad)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Verificar log de auditoría de acceso.</w:t>
            </w:r>
          </w:p>
        </w:tc>
      </w:tr>
      <w:tr>
        <w:tc>
          <w:tcPr>
            <w:tcW w:type="dxa" w:w="2351"/>
            <w:shd w:val="clear" w:color="auto" w:fill="FFF1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sz w:val="18"/>
              </w:rPr>
              <w:t>— NUEVO —</w:t>
            </w:r>
          </w:p>
        </w:tc>
        <w:tc>
          <w:tcPr>
            <w:tcW w:type="dxa" w:w="2351"/>
            <w:shd w:val="clear" w:color="auto" w:fill="FFF1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/>
                <w:color w:val="7F1D1D"/>
                <w:sz w:val="18"/>
              </w:rPr>
              <w:t>✗ AUSENTE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Art. 42 (ONU)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Crear mod_listas_sanciones.py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6" w:space="1" w:color="C9A227"/>
        </w:pBdr>
      </w:pPr>
      <w:r>
        <w:rPr>
          <w:b/>
          <w:color w:val="0A1A2E"/>
          <w:sz w:val="32"/>
        </w:rPr>
        <w:t>6. ROADMAP DE IMPLEMENTACIÓN SUGERIDO</w:t>
      </w:r>
    </w:p>
    <w:p>
      <w:pPr>
        <w:spacing w:before="0" w:after="120"/>
      </w:pPr>
      <w:r>
        <w:rPr>
          <w:b w:val="0"/>
          <w:i w:val="0"/>
          <w:sz w:val="21"/>
        </w:rPr>
        <w:t>Se propone una implementación en tres fases priorizando los elementos de mayor impacto regulatorio y menor complejidad técnica primero.</w:t>
      </w:r>
    </w:p>
    <w:p>
      <w:pPr>
        <w:spacing w:before="160" w:after="40"/>
      </w:pPr>
      <w:r>
        <w:rPr>
          <w:b/>
          <w:color w:val="DC2626"/>
          <w:sz w:val="22"/>
        </w:rPr>
        <w:t>FASE 1 — Terminología y Ajustes de Bajo Costo  [1–2 semanas]</w:t>
      </w:r>
    </w:p>
    <w:p>
      <w:pPr>
        <w:pStyle w:val="ListBullet"/>
        <w:spacing w:before="20" w:after="40"/>
      </w:pPr>
      <w:r>
        <w:rPr>
          <w:sz w:val="20"/>
        </w:rPr>
        <w:t>Renombrar 'Riesgo LD/FT' → 'Riesgo LD/FT/FPADM' en todos los módulos</w:t>
      </w:r>
    </w:p>
    <w:p>
      <w:pPr>
        <w:pStyle w:val="ListBullet"/>
        <w:spacing w:before="20" w:after="40"/>
      </w:pPr>
      <w:r>
        <w:rPr>
          <w:sz w:val="20"/>
        </w:rPr>
        <w:t>Actualizar descripciones UI: 'Casos de Alerta' añadir subtipo Inusual/Sospechosa</w:t>
      </w:r>
    </w:p>
    <w:p>
      <w:pPr>
        <w:pStyle w:val="ListBullet"/>
        <w:spacing w:before="20" w:after="40"/>
      </w:pPr>
      <w:r>
        <w:rPr>
          <w:sz w:val="20"/>
        </w:rPr>
        <w:t>Renombrar RTI → RTS en mod_mitigacion.py y mod_reportes.py</w:t>
      </w:r>
    </w:p>
    <w:p>
      <w:pPr>
        <w:pStyle w:val="ListBullet"/>
        <w:spacing w:before="20" w:after="40"/>
      </w:pPr>
      <w:r>
        <w:rPr>
          <w:sz w:val="20"/>
        </w:rPr>
        <w:t>Actualizar el glosario en todos los módulos con definiciones de Art. 2 Ley 6593</w:t>
      </w:r>
    </w:p>
    <w:p>
      <w:pPr>
        <w:pStyle w:val="ListBullet"/>
        <w:spacing w:before="20" w:after="40"/>
      </w:pPr>
      <w:r>
        <w:rPr>
          <w:sz w:val="20"/>
        </w:rPr>
        <w:t>Agregar GAFI Rec. 7 al catálogo de mitigación (FPADM)</w:t>
      </w:r>
    </w:p>
    <w:p>
      <w:pPr>
        <w:pStyle w:val="ListBullet"/>
        <w:spacing w:before="20" w:after="40"/>
      </w:pPr>
      <w:r>
        <w:rPr>
          <w:sz w:val="20"/>
        </w:rPr>
        <w:t>Cambiar referencias 'SIB' → 'SIB/IVE' en reportes</w:t>
      </w:r>
    </w:p>
    <w:p>
      <w:pPr>
        <w:spacing w:before="160" w:after="40"/>
      </w:pPr>
      <w:r>
        <w:rPr>
          <w:b/>
          <w:color w:val="D97706"/>
          <w:sz w:val="22"/>
        </w:rPr>
        <w:t>FASE 2 — Datos y Flujos Críticos  [3–5 semanas]</w:t>
      </w:r>
    </w:p>
    <w:p>
      <w:pPr>
        <w:pStyle w:val="ListBullet"/>
        <w:spacing w:before="20" w:after="40"/>
      </w:pPr>
      <w:r>
        <w:rPr>
          <w:sz w:val="20"/>
        </w:rPr>
        <w:t>Agregar campo Beneficiario_Final + EsPEP_UBO + Fuente_Verificacion_UBO a mod_cliente.py</w:t>
      </w:r>
    </w:p>
    <w:p>
      <w:pPr>
        <w:pStyle w:val="ListBullet"/>
        <w:spacing w:before="20" w:after="40"/>
      </w:pPr>
      <w:r>
        <w:rPr>
          <w:sz w:val="20"/>
        </w:rPr>
        <w:t>Implementar Estado_Alerta (Inusual_Pendiente → Sospechosa_Confirmada) en mod_alertas.py</w:t>
      </w:r>
    </w:p>
    <w:p>
      <w:pPr>
        <w:pStyle w:val="ListBullet"/>
        <w:spacing w:before="20" w:after="40"/>
      </w:pPr>
      <w:r>
        <w:rPr>
          <w:sz w:val="20"/>
        </w:rPr>
        <w:t>Agregar campo Tipo_Instrumento (efectivo/transferencia) en mod_transacciones.py</w:t>
      </w:r>
    </w:p>
    <w:p>
      <w:pPr>
        <w:pStyle w:val="ListBullet"/>
        <w:spacing w:before="20" w:after="40"/>
      </w:pPr>
      <w:r>
        <w:rPr>
          <w:sz w:val="20"/>
        </w:rPr>
        <w:t>Crear regla RTE (efectivo ≥ USD 10,000) en motor IMPERATOR</w:t>
      </w:r>
    </w:p>
    <w:p>
      <w:pPr>
        <w:pStyle w:val="ListBullet"/>
        <w:spacing w:before="20" w:after="40"/>
      </w:pPr>
      <w:r>
        <w:rPr>
          <w:sz w:val="20"/>
        </w:rPr>
        <w:t>Generar RTE en mod_reportes.py con estructura IVE</w:t>
      </w:r>
    </w:p>
    <w:p>
      <w:pPr>
        <w:pStyle w:val="ListBullet"/>
        <w:spacing w:before="20" w:after="40"/>
      </w:pPr>
      <w:r>
        <w:rPr>
          <w:sz w:val="20"/>
        </w:rPr>
        <w:t>Agregar campo Estructura_Juridica como tipo de cliente en mod_cliente.py</w:t>
      </w:r>
    </w:p>
    <w:p>
      <w:pPr>
        <w:pStyle w:val="ListBullet"/>
        <w:spacing w:before="20" w:after="40"/>
      </w:pPr>
      <w:r>
        <w:rPr>
          <w:sz w:val="20"/>
        </w:rPr>
        <w:t>Agregar PSAV como tipo de Persona Obligada</w:t>
      </w:r>
    </w:p>
    <w:p>
      <w:pPr>
        <w:spacing w:before="160" w:after="40"/>
      </w:pPr>
      <w:r>
        <w:rPr>
          <w:b/>
          <w:color w:val="16A34A"/>
          <w:sz w:val="22"/>
        </w:rPr>
        <w:t>FASE 3 — Nuevos Módulos  [6–12 semanas]</w:t>
      </w:r>
    </w:p>
    <w:p>
      <w:pPr>
        <w:pStyle w:val="ListBullet"/>
        <w:spacing w:before="20" w:after="40"/>
      </w:pPr>
      <w:r>
        <w:rPr>
          <w:sz w:val="20"/>
        </w:rPr>
        <w:t>Desarrollar mod_listas_sanciones.py con screening ONU/OFAC (Art. 42)</w:t>
      </w:r>
    </w:p>
    <w:p>
      <w:pPr>
        <w:pStyle w:val="ListBullet"/>
        <w:spacing w:before="20" w:after="40"/>
      </w:pPr>
      <w:r>
        <w:rPr>
          <w:sz w:val="20"/>
        </w:rPr>
        <w:t>Implementar sub-score FPADM dentro del Score Contextual (SC)</w:t>
      </w:r>
    </w:p>
    <w:p>
      <w:pPr>
        <w:pStyle w:val="ListBullet"/>
        <w:spacing w:before="20" w:after="40"/>
      </w:pPr>
      <w:r>
        <w:rPr>
          <w:sz w:val="20"/>
        </w:rPr>
        <w:t>Crear panel de Oficial de Cumplimiento con KPIs regulatorios (Art. 16)</w:t>
      </w:r>
    </w:p>
    <w:p>
      <w:pPr>
        <w:pStyle w:val="ListBullet"/>
        <w:spacing w:before="20" w:after="40"/>
      </w:pPr>
      <w:r>
        <w:rPr>
          <w:sz w:val="20"/>
        </w:rPr>
        <w:t>Implementar política de retención 5 años en mod_configuracion.py</w:t>
      </w:r>
    </w:p>
    <w:p>
      <w:pPr>
        <w:pStyle w:val="ListBullet"/>
        <w:spacing w:before="20" w:after="40"/>
      </w:pPr>
      <w:r>
        <w:rPr>
          <w:sz w:val="20"/>
        </w:rPr>
        <w:t>Documentar Manual de Prevención LD/FT/FPADM generado por la plataforma (Art. 12)</w:t>
      </w:r>
    </w:p>
    <w:p/>
    <w:p>
      <w:r>
        <w:br w:type="page"/>
      </w:r>
    </w:p>
    <w:p>
      <w:pPr>
        <w:spacing w:before="240" w:after="80"/>
        <w:pBdr>
          <w:bottom w:val="single" w:sz="6" w:space="1" w:color="C9A227"/>
        </w:pBdr>
      </w:pPr>
      <w:r>
        <w:rPr>
          <w:b/>
          <w:color w:val="0A1A2E"/>
          <w:sz w:val="32"/>
        </w:rPr>
        <w:t>7. CONSIDERACIONES DE SEGURIDAD (OWASP Top 10)</w:t>
      </w:r>
    </w:p>
    <w:p>
      <w:pPr>
        <w:spacing w:before="0" w:after="80"/>
      </w:pPr>
      <w:r>
        <w:rPr>
          <w:b w:val="0"/>
          <w:i w:val="0"/>
          <w:sz w:val="21"/>
        </w:rPr>
        <w:t>Los nuevos módulos y cambios introducen superficies de ataque que deben gestionarse conforme a OWASP Top 10. Se destacan las más relevantes:</w:t>
      </w:r>
    </w:p>
    <w:p>
      <w:pPr>
        <w:pStyle w:val="ListBullet"/>
        <w:spacing w:before="20" w:after="40"/>
      </w:pPr>
      <w:r>
        <w:rPr>
          <w:b/>
          <w:color w:val="0A1A2E"/>
          <w:sz w:val="20"/>
        </w:rPr>
        <w:t>A01 — Control de Acceso:</w:t>
      </w:r>
      <w:r>
        <w:rPr>
          <w:sz w:val="20"/>
        </w:rPr>
        <w:t xml:space="preserve"> El módulo de listas de sanciones y datos UBO deben estar restringidos por rol. Solo el Oficial de Cumplimiento debe modificar clasificaciones Inusual → Sospechosa.</w:t>
      </w:r>
    </w:p>
    <w:p>
      <w:pPr>
        <w:pStyle w:val="ListBullet"/>
        <w:spacing w:before="20" w:after="40"/>
      </w:pPr>
      <w:r>
        <w:rPr>
          <w:b/>
          <w:color w:val="0A1A2E"/>
          <w:sz w:val="20"/>
        </w:rPr>
        <w:t>A02 — Fallos Criptográficos:</w:t>
      </w:r>
      <w:r>
        <w:rPr>
          <w:sz w:val="20"/>
        </w:rPr>
        <w:t xml:space="preserve"> Los datos de Beneficiario Final (UBO) son información personal sensible. Deben almacenarse cifrados en reposo (AES-256) y en tránsito (TLS 1.3).</w:t>
      </w:r>
    </w:p>
    <w:p>
      <w:pPr>
        <w:pStyle w:val="ListBullet"/>
        <w:spacing w:before="20" w:after="40"/>
      </w:pPr>
      <w:r>
        <w:rPr>
          <w:b/>
          <w:color w:val="0A1A2E"/>
          <w:sz w:val="20"/>
        </w:rPr>
        <w:t>A03 — Inyección:</w:t>
      </w:r>
      <w:r>
        <w:rPr>
          <w:sz w:val="20"/>
        </w:rPr>
        <w:t xml:space="preserve"> Los campos de texto libre (Fundamento_Examen, Fuente_Verificacion_UBO) deben sanitizarse antes de almacenarse o renderizarse. Usar validación explícita, no filtros implícitos.</w:t>
      </w:r>
    </w:p>
    <w:p>
      <w:pPr>
        <w:pStyle w:val="ListBullet"/>
        <w:spacing w:before="20" w:after="40"/>
      </w:pPr>
      <w:r>
        <w:rPr>
          <w:b/>
          <w:color w:val="0A1A2E"/>
          <w:sz w:val="20"/>
        </w:rPr>
        <w:t>A09 — Registro y Monitoreo:</w:t>
      </w:r>
      <w:r>
        <w:rPr>
          <w:sz w:val="20"/>
        </w:rPr>
        <w:t xml:space="preserve"> El Art. 34 (retención 5 años) y Art. 38 (prohibición de revelación) exigen logs de auditoría inmutables. Toda acción sobre alertas, RTS y UBO debe registrarse con timestamp, usuario y IP. Los logs no deben ser editables por ningún rol.</w:t>
      </w:r>
    </w:p>
    <w:p>
      <w:pPr>
        <w:pStyle w:val="ListBullet"/>
        <w:spacing w:before="20" w:after="40"/>
      </w:pPr>
      <w:r>
        <w:rPr>
          <w:b/>
          <w:color w:val="0A1A2E"/>
          <w:sz w:val="20"/>
        </w:rPr>
        <w:t>A10 — SSRF:</w:t>
      </w:r>
      <w:r>
        <w:rPr>
          <w:sz w:val="20"/>
        </w:rPr>
        <w:t xml:space="preserve"> Si el módulo de listas de sanciones consume APIs externas (OFAC, ONU), debe validarse estrictamente la URL destino para prevenir SSRF.</w:t>
      </w:r>
    </w:p>
    <w:p/>
    <w:p>
      <w:pPr>
        <w:spacing w:before="240" w:after="80"/>
        <w:pBdr>
          <w:bottom w:val="single" w:sz="6" w:space="1" w:color="C9A227"/>
        </w:pBdr>
      </w:pPr>
      <w:r>
        <w:rPr>
          <w:b/>
          <w:color w:val="0A1A2E"/>
          <w:sz w:val="32"/>
        </w:rPr>
        <w:t>8. CONCLUSIONES</w:t>
      </w:r>
    </w:p>
    <w:p>
      <w:pPr>
        <w:pStyle w:val="ListBullet"/>
        <w:spacing w:before="20" w:after="40"/>
      </w:pPr>
      <w:r>
        <w:rPr>
          <w:b/>
          <w:color w:val="0A1A2E"/>
          <w:sz w:val="20"/>
        </w:rPr>
        <w:t>SOVEREIGN está bien posicionado:</w:t>
      </w:r>
      <w:r>
        <w:rPr>
          <w:sz w:val="20"/>
        </w:rPr>
        <w:t xml:space="preserve"> La arquitectura de scores (ST/SC/SB/SN), el catálogo de mitigación y las banderas PEP/CPE ya cubren la filosofía EBR que la ley demanda. No es una plataforma que deba reconstruirse, sino actualizarse.</w:t>
      </w:r>
    </w:p>
    <w:p>
      <w:pPr>
        <w:pStyle w:val="ListBullet"/>
        <w:spacing w:before="20" w:after="40"/>
      </w:pPr>
      <w:r>
        <w:rPr>
          <w:b/>
          <w:color w:val="0A1A2E"/>
          <w:sz w:val="20"/>
        </w:rPr>
        <w:t>Los cambios urgentes son de bajo costo:</w:t>
      </w:r>
      <w:r>
        <w:rPr>
          <w:sz w:val="20"/>
        </w:rPr>
        <w:t xml:space="preserve"> La mayor parte de la Fase 1 es refactorización de nomenclatura y glosarios — menos de 2 semanas de trabajo para alcanzar alineación terminológica completa.</w:t>
      </w:r>
    </w:p>
    <w:p>
      <w:pPr>
        <w:pStyle w:val="ListBullet"/>
        <w:spacing w:before="20" w:after="40"/>
      </w:pPr>
      <w:r>
        <w:rPr>
          <w:b/>
          <w:color w:val="0A1A2E"/>
          <w:sz w:val="20"/>
        </w:rPr>
        <w:t>El gap más crítico es el UBO y las listas ONU:</w:t>
      </w:r>
      <w:r>
        <w:rPr>
          <w:sz w:val="20"/>
        </w:rPr>
        <w:t xml:space="preserve"> Son los dos requisitos con consecuencias jurídicas directas ante la IVE. Deben priorizarse aunque impliquen mayor esfuerzo de desarrollo.</w:t>
      </w:r>
    </w:p>
    <w:p>
      <w:pPr>
        <w:pStyle w:val="ListBullet"/>
        <w:spacing w:before="20" w:after="40"/>
      </w:pPr>
      <w:r>
        <w:rPr>
          <w:b/>
          <w:color w:val="0A1A2E"/>
          <w:sz w:val="20"/>
        </w:rPr>
        <w:t>Doble etiquetado = máximo valor:</w:t>
      </w:r>
      <w:r>
        <w:rPr>
          <w:sz w:val="20"/>
        </w:rPr>
        <w:t xml:space="preserve"> Mantener GAFI + mapeo a Ley 6593 posiciona a SOVEREIGN como la única plataforma AML guatemalteca con respaldo en estándar internacional y cumplimiento normativo local demostrable.</w:t>
      </w:r>
    </w:p>
    <w:p>
      <w:pPr>
        <w:pStyle w:val="ListBullet"/>
        <w:spacing w:before="20" w:after="40"/>
      </w:pPr>
      <w:r>
        <w:rPr>
          <w:b/>
          <w:color w:val="0A1A2E"/>
          <w:sz w:val="20"/>
        </w:rPr>
        <w:t>Siguiente paso recomendado:</w:t>
      </w:r>
      <w:r>
        <w:rPr>
          <w:sz w:val="20"/>
        </w:rPr>
        <w:t xml:space="preserve"> Iniciar Fase 1 inmediatamente mientras se define el modelo de datos para UBO y listas de sanciones (Fase 2/3). El impacto regulatorio de la Fase 1 es alto y el esfuerzo muy bajo.</w:t>
      </w:r>
    </w:p>
    <w:p/>
    <w:p>
      <w:pPr>
        <w:jc w:val="center"/>
      </w:pPr>
      <w:r>
        <w:rPr>
          <w:i/>
          <w:color w:val="9CA3AF"/>
          <w:sz w:val="16"/>
        </w:rPr>
        <w:t>SOVEREIGN AML — IMPERATOR ENGINE  |  Análisis Confidencial  |  Iniciativa de Ley 6593 — Guatemala  |  Junio 2026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