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</w:pPr>
    </w:p>
    <w:p>
      <w:pPr>
        <w:jc w:val="center"/>
      </w:pPr>
      <w:r>
        <w:rPr>
          <w:b/>
          <w:color w:val="F59E0B"/>
          <w:sz w:val="64"/>
        </w:rPr>
        <w:t>SOVEREIGN AML</w:t>
        <w:br/>
        <w:t>Intelligence Platform</w:t>
      </w:r>
    </w:p>
    <w:p>
      <w:pPr>
        <w:jc w:val="center"/>
      </w:pPr>
      <w:r>
        <w:rPr>
          <w:color w:val="3B82F6"/>
          <w:sz w:val="32"/>
        </w:rPr>
        <w:t>Presentación de Resultados Analíticos — v3.0</w:t>
      </w:r>
    </w:p>
    <w:p/>
    <w:p>
      <w:pPr>
        <w:jc w:val="center"/>
      </w:pPr>
      <w:r>
        <w:rPr>
          <w:sz w:val="20"/>
        </w:rPr>
        <w:t>Reporte generado automáticamente\nArchivo base: Transacciones_AML_200.xlsx\nFecha: 17/04/2026</w:t>
      </w:r>
    </w:p>
    <w:p>
      <w:r>
        <w:br w:type="page"/>
      </w:r>
    </w:p>
    <w:p>
      <w:pPr>
        <w:pStyle w:val="Heading1"/>
      </w:pPr>
      <w:r>
        <w:rPr>
          <w:color w:val="1B2027"/>
        </w:rPr>
        <w:t>1. Resumen Ejecutivo</w:t>
      </w:r>
    </w:p>
    <w:p>
      <w:r>
        <w:drawing>
          <wp:inline xmlns:a="http://schemas.openxmlformats.org/drawingml/2006/main" xmlns:pic="http://schemas.openxmlformats.org/drawingml/2006/picture">
            <wp:extent cx="5486400" cy="3048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_resumen_17764748228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B2027"/>
        </w:rPr>
        <w:t>2. Casos de Alerta</w:t>
      </w:r>
    </w:p>
    <w:p>
      <w:r>
        <w:drawing>
          <wp:inline xmlns:a="http://schemas.openxmlformats.org/drawingml/2006/main" xmlns:pic="http://schemas.openxmlformats.org/drawingml/2006/picture">
            <wp:extent cx="5486400" cy="3048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_alertas_17764748455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B2027"/>
        </w:rPr>
        <w:t>3. Transacciones</w:t>
      </w:r>
    </w:p>
    <w:p>
      <w:r>
        <w:drawing>
          <wp:inline xmlns:a="http://schemas.openxmlformats.org/drawingml/2006/main" xmlns:pic="http://schemas.openxmlformats.org/drawingml/2006/picture">
            <wp:extent cx="5486400" cy="3048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_transacciones_17764748695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B2027"/>
        </w:rPr>
        <w:t>4. Análisis por Cliente</w:t>
      </w:r>
    </w:p>
    <w:p>
      <w:r>
        <w:drawing>
          <wp:inline xmlns:a="http://schemas.openxmlformats.org/drawingml/2006/main" xmlns:pic="http://schemas.openxmlformats.org/drawingml/2006/picture">
            <wp:extent cx="5486400" cy="3048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_cliente_17764748912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B2027"/>
        </w:rPr>
        <w:t>5. Matrices de Riesgo</w:t>
      </w:r>
    </w:p>
    <w:p>
      <w:r>
        <w:drawing>
          <wp:inline xmlns:a="http://schemas.openxmlformats.org/drawingml/2006/main" xmlns:pic="http://schemas.openxmlformats.org/drawingml/2006/picture">
            <wp:extent cx="5486400" cy="3048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_matrices_17764749077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B2027"/>
        </w:rPr>
        <w:t>6. Red Transaccional</w:t>
      </w:r>
    </w:p>
    <w:p>
      <w:r>
        <w:drawing>
          <wp:inline xmlns:a="http://schemas.openxmlformats.org/drawingml/2006/main" xmlns:pic="http://schemas.openxmlformats.org/drawingml/2006/picture">
            <wp:extent cx="5486400" cy="3048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_red_177647492478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B2027"/>
        </w:rPr>
        <w:t>7. Acciones de Mitigación</w:t>
      </w:r>
    </w:p>
    <w:p>
      <w:r>
        <w:drawing>
          <wp:inline xmlns:a="http://schemas.openxmlformats.org/drawingml/2006/main" xmlns:pic="http://schemas.openxmlformats.org/drawingml/2006/picture">
            <wp:extent cx="5486400" cy="3048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_mitigacion_177647494252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B2027"/>
        </w:rPr>
        <w:t>8. Gestión de Ubicaciones</w:t>
      </w:r>
    </w:p>
    <w:p>
      <w:r>
        <w:drawing>
          <wp:inline xmlns:a="http://schemas.openxmlformats.org/drawingml/2006/main" xmlns:pic="http://schemas.openxmlformats.org/drawingml/2006/picture">
            <wp:extent cx="5486400" cy="3048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8_ubicaciones_17764749713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B2027"/>
        </w:rPr>
        <w:t>9. Informes y Reportes</w:t>
      </w:r>
    </w:p>
    <w:p>
      <w:r>
        <w:drawing>
          <wp:inline xmlns:a="http://schemas.openxmlformats.org/drawingml/2006/main" xmlns:pic="http://schemas.openxmlformats.org/drawingml/2006/picture">
            <wp:extent cx="5486400" cy="3048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9_reportes_177647499044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B2027"/>
        </w:rPr>
        <w:t>10. Configuración</w:t>
      </w:r>
    </w:p>
    <w:p>
      <w:r>
        <w:drawing>
          <wp:inline xmlns:a="http://schemas.openxmlformats.org/drawingml/2006/main" xmlns:pic="http://schemas.openxmlformats.org/drawingml/2006/picture">
            <wp:extent cx="5486400" cy="3048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_configuracion_177647500932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B2027"/>
        </w:rPr>
        <w:t>11. Manual de Usuario</w:t>
      </w:r>
    </w:p>
    <w:p>
      <w:r>
        <w:drawing>
          <wp:inline xmlns:a="http://schemas.openxmlformats.org/drawingml/2006/main" xmlns:pic="http://schemas.openxmlformats.org/drawingml/2006/picture">
            <wp:extent cx="5486400" cy="30484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1_manual_177647503057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