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pPr>
      <w:r>
        <w:rPr>
          <w:rFonts w:ascii="Calibri" w:hAnsi="Calibri"/>
          <w:b/>
          <w:color w:val="2E74B5"/>
          <w:sz w:val="20"/>
        </w:rPr>
        <w:t>IMPLEMENTATION BRIEF</w:t>
      </w:r>
    </w:p>
    <w:p>
      <w:pPr>
        <w:pStyle w:val="Title"/>
      </w:pPr>
      <w:r>
        <w:t>Morphing Importance</w:t>
        <w:br/>
        <w:t>Nested Sampling (MINS)</w:t>
      </w:r>
    </w:p>
    <w:p>
      <w:pPr>
        <w:pStyle w:val="Subtitle"/>
      </w:pPr>
      <w:r>
        <w:t>Agent implementation plan - Phases 1 and 2</w:t>
      </w:r>
    </w:p>
    <w:tbl>
      <w:tblPr>
        <w:tblStyle w:val="TableGrid"/>
        <w:tblW w:type="dxa" w:w="9360"/>
        <w:jc w:val="left"/>
        <w:tblLayout w:type="fixed"/>
        <w:tblLook w:firstColumn="1" w:firstRow="1" w:lastColumn="0" w:lastRow="0" w:noHBand="0" w:noVBand="1" w:val="04A0"/>
        <w:tblInd w:type="dxa" w:w="120"/>
      </w:tblPr>
      <w:tblGrid>
        <w:gridCol w:w="1900"/>
        <w:gridCol w:w="7460"/>
      </w:tblGrid>
      <w:tr>
        <w:trPr>
          <w:cantSplit w:val="true"/>
        </w:trPr>
        <w:tc>
          <w:tcPr>
            <w:tcW w:type="dxa" w:w="1900"/>
            <w:shd w:fill="E8EEF5"/>
            <w:vAlign w:val="center"/>
            <w:tcMar>
              <w:top w:w="80" w:type="dxa"/>
              <w:bottom w:w="80" w:type="dxa"/>
              <w:start w:w="120" w:type="dxa"/>
              <w:end w:w="120" w:type="dxa"/>
            </w:tcMar>
          </w:tcPr>
          <w:p>
            <w:pPr>
              <w:spacing w:after="0"/>
            </w:pPr>
            <w:r>
              <w:rPr>
                <w:rFonts w:ascii="Calibri" w:hAnsi="Calibri"/>
                <w:b/>
                <w:color w:val="1F4D78"/>
                <w:sz w:val="19"/>
              </w:rPr>
              <w:t>Project</w:t>
            </w:r>
          </w:p>
        </w:tc>
        <w:tc>
          <w:tcPr>
            <w:tcW w:type="dxa" w:w="7460"/>
            <w:vAlign w:val="center"/>
            <w:tcMar>
              <w:top w:w="80" w:type="dxa"/>
              <w:bottom w:w="80" w:type="dxa"/>
              <w:start w:w="120" w:type="dxa"/>
              <w:end w:w="120" w:type="dxa"/>
            </w:tcMar>
          </w:tcPr>
          <w:p>
            <w:pPr>
              <w:spacing w:after="0"/>
            </w:pPr>
            <w:r>
              <w:rPr>
                <w:rFonts w:ascii="Calibri" w:hAnsi="Calibri"/>
                <w:color w:val="1D2530"/>
                <w:sz w:val="19"/>
              </w:rPr>
              <w:t>Morphing Importance Nested Sampling</w:t>
            </w:r>
          </w:p>
        </w:tc>
      </w:tr>
      <w:tr>
        <w:trPr>
          <w:cantSplit w:val="true"/>
        </w:trPr>
        <w:tc>
          <w:tcPr>
            <w:tcW w:type="dxa" w:w="1900"/>
            <w:shd w:fill="E8EEF5"/>
            <w:vAlign w:val="center"/>
            <w:tcMar>
              <w:top w:w="80" w:type="dxa"/>
              <w:bottom w:w="80" w:type="dxa"/>
              <w:start w:w="120" w:type="dxa"/>
              <w:end w:w="120" w:type="dxa"/>
            </w:tcMar>
          </w:tcPr>
          <w:p>
            <w:pPr>
              <w:spacing w:after="0"/>
            </w:pPr>
            <w:r>
              <w:rPr>
                <w:rFonts w:ascii="Calibri" w:hAnsi="Calibri"/>
                <w:b/>
                <w:color w:val="1F4D78"/>
                <w:sz w:val="19"/>
              </w:rPr>
              <w:t>Purpose</w:t>
            </w:r>
          </w:p>
        </w:tc>
        <w:tc>
          <w:tcPr>
            <w:tcW w:type="dxa" w:w="7460"/>
            <w:vAlign w:val="center"/>
            <w:tcMar>
              <w:top w:w="80" w:type="dxa"/>
              <w:bottom w:w="80" w:type="dxa"/>
              <w:start w:w="120" w:type="dxa"/>
              <w:end w:w="120" w:type="dxa"/>
            </w:tcMar>
          </w:tcPr>
          <w:p>
            <w:pPr>
              <w:spacing w:after="0"/>
            </w:pPr>
            <w:r>
              <w:rPr>
                <w:rFonts w:ascii="Calibri" w:hAnsi="Calibri"/>
                <w:color w:val="1D2530"/>
                <w:sz w:val="19"/>
              </w:rPr>
              <w:t>Build a clean Python sampler package and validate a minimal Morph-based standard nested-sampling prototype</w:t>
            </w:r>
          </w:p>
        </w:tc>
      </w:tr>
      <w:tr>
        <w:trPr>
          <w:cantSplit w:val="true"/>
        </w:trPr>
        <w:tc>
          <w:tcPr>
            <w:tcW w:type="dxa" w:w="1900"/>
            <w:shd w:fill="E8EEF5"/>
            <w:vAlign w:val="center"/>
            <w:tcMar>
              <w:top w:w="80" w:type="dxa"/>
              <w:bottom w:w="80" w:type="dxa"/>
              <w:start w:w="120" w:type="dxa"/>
              <w:end w:w="120" w:type="dxa"/>
            </w:tcMar>
          </w:tcPr>
          <w:p>
            <w:pPr>
              <w:spacing w:after="0"/>
            </w:pPr>
            <w:r>
              <w:rPr>
                <w:rFonts w:ascii="Calibri" w:hAnsi="Calibri"/>
                <w:b/>
                <w:color w:val="1F4D78"/>
                <w:sz w:val="19"/>
              </w:rPr>
              <w:t>Current scope</w:t>
            </w:r>
          </w:p>
        </w:tc>
        <w:tc>
          <w:tcPr>
            <w:tcW w:type="dxa" w:w="7460"/>
            <w:vAlign w:val="center"/>
            <w:tcMar>
              <w:top w:w="80" w:type="dxa"/>
              <w:bottom w:w="80" w:type="dxa"/>
              <w:start w:w="120" w:type="dxa"/>
              <w:end w:w="120" w:type="dxa"/>
            </w:tcMar>
          </w:tcPr>
          <w:p>
            <w:pPr>
              <w:spacing w:after="0"/>
            </w:pPr>
            <w:r>
              <w:rPr>
                <w:rFonts w:ascii="Calibri" w:hAnsi="Calibri"/>
                <w:color w:val="1D2530"/>
                <w:sz w:val="19"/>
              </w:rPr>
              <w:t>Phase 1 and Phase 2 only</w:t>
            </w:r>
          </w:p>
        </w:tc>
      </w:tr>
      <w:tr>
        <w:trPr>
          <w:cantSplit w:val="true"/>
        </w:trPr>
        <w:tc>
          <w:tcPr>
            <w:tcW w:type="dxa" w:w="1900"/>
            <w:shd w:fill="E8EEF5"/>
            <w:vAlign w:val="center"/>
            <w:tcMar>
              <w:top w:w="80" w:type="dxa"/>
              <w:bottom w:w="80" w:type="dxa"/>
              <w:start w:w="120" w:type="dxa"/>
              <w:end w:w="120" w:type="dxa"/>
            </w:tcMar>
          </w:tcPr>
          <w:p>
            <w:pPr>
              <w:spacing w:after="0"/>
            </w:pPr>
            <w:r>
              <w:rPr>
                <w:rFonts w:ascii="Calibri" w:hAnsi="Calibri"/>
                <w:b/>
                <w:color w:val="1F4D78"/>
                <w:sz w:val="19"/>
              </w:rPr>
              <w:t>Decision gate</w:t>
            </w:r>
          </w:p>
        </w:tc>
        <w:tc>
          <w:tcPr>
            <w:tcW w:type="dxa" w:w="7460"/>
            <w:vAlign w:val="center"/>
            <w:tcMar>
              <w:top w:w="80" w:type="dxa"/>
              <w:bottom w:w="80" w:type="dxa"/>
              <w:start w:w="120" w:type="dxa"/>
              <w:end w:w="120" w:type="dxa"/>
            </w:tcMar>
          </w:tcPr>
          <w:p>
            <w:pPr>
              <w:spacing w:after="0"/>
            </w:pPr>
            <w:r>
              <w:rPr>
                <w:rFonts w:ascii="Calibri" w:hAnsi="Calibri"/>
                <w:color w:val="1D2530"/>
                <w:sz w:val="19"/>
              </w:rPr>
              <w:t>Stop after Phase 2 and wait for the project owner to test and approve continuation</w:t>
            </w:r>
          </w:p>
        </w:tc>
      </w:tr>
    </w:tbl>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FF4D6"/>
            <w:tcBorders>
              <w:top w:val="single" w:sz="6" w:color="FFF4D6"/>
              <w:left w:val="single" w:sz="6" w:color="FFF4D6"/>
              <w:bottom w:val="single" w:sz="6" w:color="FFF4D6"/>
              <w:right w:val="single" w:sz="6" w:color="FFF4D6"/>
              <w:insideH w:val="single" w:sz="6" w:color="FFF4D6"/>
              <w:insideV w:val="single" w:sz="6" w:color="FFF4D6"/>
            </w:tcBorders>
            <w:vAlign w:val="center"/>
            <w:tcMar>
              <w:top w:w="80" w:type="dxa"/>
              <w:bottom w:w="80" w:type="dxa"/>
              <w:start w:w="120" w:type="dxa"/>
              <w:end w:w="120" w:type="dxa"/>
            </w:tcMar>
          </w:tcPr>
          <w:p>
            <w:pPr>
              <w:spacing w:before="40" w:after="40" w:line="276" w:lineRule="auto"/>
            </w:pPr>
            <w:r>
              <w:rPr>
                <w:rFonts w:ascii="Calibri" w:hAnsi="Calibri"/>
                <w:b/>
                <w:color w:val="1F4D78"/>
              </w:rPr>
              <w:t xml:space="preserve">Primary instruction: </w:t>
            </w:r>
            <w:r>
              <w:t>Implement the smallest scientifically inspectable system. Keep statistical logic, Morph logic, diagnostics, plotting, persistence and package infrastructure in separate modules. Do not begin defensive Morph, advanced diagnostics, optimization or publication work until the project owner explicitly approves the next phase.</w:t>
            </w:r>
          </w:p>
        </w:tc>
      </w:tr>
    </w:tbl>
    <w:p>
      <w:pPr>
        <w:spacing w:after="20"/>
      </w:pPr>
    </w:p>
    <w:p>
      <w:pPr>
        <w:pStyle w:val="Heading1"/>
      </w:pPr>
      <w:r>
        <w:t>1. Mission and operating rules</w:t>
      </w:r>
    </w:p>
    <w:p>
      <w:r>
        <w:t>The agent is building the foundation of MINS from existing experiments and algorithms supplied by the project owner. The first objective is not to create a feature-complete sampler. It is to obtain a small, readable and testable implementation whose statistical assumptions can be inspected before complexity is added.</w:t>
      </w:r>
    </w:p>
    <w:p>
      <w:pPr>
        <w:pStyle w:val="Heading2"/>
      </w:pPr>
      <w:r>
        <w:t>1.1 Non-negotiable rules</w:t>
      </w:r>
    </w:p>
    <w:p>
      <w:pPr>
        <w:pStyle w:val="ListBullet"/>
        <w:spacing w:after="80" w:line="300" w:lineRule="auto"/>
      </w:pPr>
      <w:r>
        <w:t>Treat the project owner's mathematical algorithm and reference experiments as authoritative inputs. Preserve their behavior before refactoring or optimizing.</w:t>
      </w:r>
    </w:p>
    <w:p>
      <w:pPr>
        <w:pStyle w:val="ListBullet"/>
        <w:spacing w:after="80" w:line="300" w:lineRule="auto"/>
      </w:pPr>
      <w:r>
        <w:t>Never silently change the target distribution, weight formula, likelihood threshold rule, live-point update rule or Morph training set.</w:t>
      </w:r>
    </w:p>
    <w:p>
      <w:pPr>
        <w:pStyle w:val="ListBullet"/>
        <w:spacing w:after="80" w:line="300" w:lineRule="auto"/>
      </w:pPr>
      <w:r>
        <w:t>Keep a reference implementation or regression fixture that can be compared with the cleaned implementation.</w:t>
      </w:r>
    </w:p>
    <w:p>
      <w:pPr>
        <w:pStyle w:val="ListBullet"/>
        <w:spacing w:after="80" w:line="300" w:lineRule="auto"/>
      </w:pPr>
      <w:r>
        <w:t>Use log-space calculations for evidence and weights whenever products or exponentials can underflow or overflow.</w:t>
      </w:r>
    </w:p>
    <w:p>
      <w:pPr>
        <w:pStyle w:val="ListBullet"/>
        <w:spacing w:after="80" w:line="300" w:lineRule="auto"/>
      </w:pPr>
      <w:r>
        <w:t>Pass an explicit NumPy Generator through stochastic components. Do not rely on global random state.</w:t>
      </w:r>
    </w:p>
    <w:p>
      <w:pPr>
        <w:pStyle w:val="ListBullet"/>
        <w:spacing w:after="80" w:line="300" w:lineRule="auto"/>
      </w:pPr>
      <w:r>
        <w:t>Do not combine the sampler loop with plotting, file I/O, package metadata, Morph density internals or benchmark definitions.</w:t>
      </w:r>
    </w:p>
    <w:p>
      <w:pPr>
        <w:pStyle w:val="ListBullet"/>
        <w:spacing w:after="80" w:line="300" w:lineRule="auto"/>
      </w:pPr>
      <w:r>
        <w:t>Every phase must leave its own documentation, tests, change summary, known limitations and exact reproduction command.</w:t>
      </w:r>
    </w:p>
    <w:p>
      <w:pPr>
        <w:pStyle w:val="ListBullet"/>
        <w:spacing w:after="80" w:line="300" w:lineRule="auto"/>
      </w:pPr>
      <w:r>
        <w:t>Do not publish to PyPI, create a public release or start Phase 3 without explicit approval.</w:t>
      </w:r>
    </w:p>
    <w:p>
      <w:pPr>
        <w:pStyle w:val="Heading2"/>
      </w:pPr>
      <w:r>
        <w:t>1.2 Statistical guardrail for Phase 2</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CE8E6"/>
            <w:tcBorders>
              <w:top w:val="single" w:sz="6" w:color="FCE8E6"/>
              <w:left w:val="single" w:sz="6" w:color="FCE8E6"/>
              <w:bottom w:val="single" w:sz="6" w:color="FCE8E6"/>
              <w:right w:val="single" w:sz="6" w:color="FCE8E6"/>
              <w:insideH w:val="single" w:sz="6" w:color="FCE8E6"/>
              <w:insideV w:val="single" w:sz="6" w:color="FCE8E6"/>
            </w:tcBorders>
            <w:vAlign w:val="center"/>
            <w:tcMar>
              <w:top w:w="80" w:type="dxa"/>
              <w:bottom w:w="80" w:type="dxa"/>
              <w:start w:w="120" w:type="dxa"/>
              <w:end w:w="120" w:type="dxa"/>
            </w:tcMar>
          </w:tcPr>
          <w:p>
            <w:pPr>
              <w:spacing w:before="40" w:after="40" w:line="276" w:lineRule="auto"/>
            </w:pPr>
            <w:r>
              <w:rPr>
                <w:rFonts w:ascii="Calibri" w:hAnsi="Calibri"/>
                <w:b/>
                <w:color w:val="1F4D78"/>
              </w:rPr>
              <w:t xml:space="preserve">Critical: </w:t>
            </w:r>
            <w:r>
              <w:t>Drawing from a density fitted to the live points and merely rejecting draws below the current likelihood threshold does not, by itself, guarantee samples from the likelihood-constrained prior. The agent must write down the actual target distribution and proposal density used by the supplied algorithm. If correctness depends on an importance correction, Metropolis-Hastings correction, transformed likelihood or other mechanism, that mechanism must be explicit in both code and documentation.</w:t>
            </w:r>
          </w:p>
        </w:tc>
      </w:tr>
    </w:tbl>
    <w:p>
      <w:pPr>
        <w:spacing w:after="20"/>
      </w:pPr>
    </w:p>
    <w:p>
      <w:pPr>
        <w:pStyle w:val="Heading2"/>
      </w:pPr>
      <w:r>
        <w:t>1.3 Inputs expected from the project owner</w:t>
      </w:r>
    </w:p>
    <w:p>
      <w:pPr>
        <w:pStyle w:val="ListBullet"/>
        <w:spacing w:after="80" w:line="300" w:lineRule="auto"/>
      </w:pPr>
      <w:r>
        <w:t>The central sampling algorithm or pseudocode.</w:t>
      </w:r>
    </w:p>
    <w:p>
      <w:pPr>
        <w:pStyle w:val="ListBullet"/>
        <w:spacing w:after="80" w:line="300" w:lineRule="auto"/>
      </w:pPr>
      <w:r>
        <w:t>The existing Morph approximation implementation and its exact sample/log-density interface.</w:t>
      </w:r>
    </w:p>
    <w:p>
      <w:pPr>
        <w:pStyle w:val="ListBullet"/>
        <w:spacing w:after="80" w:line="300" w:lineRule="auto"/>
      </w:pPr>
      <w:r>
        <w:t>Any working experimental notebooks or scripts to preserve as regression references.</w:t>
      </w:r>
    </w:p>
    <w:p>
      <w:pPr>
        <w:pStyle w:val="ListBullet"/>
        <w:spacing w:after="80" w:line="300" w:lineRule="auto"/>
      </w:pPr>
      <w:r>
        <w:t>At least one analytic or previously validated benchmark, including the expected log-evidence where known.</w:t>
      </w:r>
    </w:p>
    <w:p>
      <w:pPr>
        <w:pStyle w:val="ListBullet"/>
        <w:spacing w:after="80" w:line="300" w:lineRule="auto"/>
      </w:pPr>
      <w:r>
        <w:t>Preferred package distribution name if different from the import name `mins`.</w:t>
      </w:r>
    </w:p>
    <w:p>
      <w:r>
        <w:t>Missing inputs should be represented by narrow adapters and clearly marked placeholders. They are not permission to redesign the algorithm.</w:t>
      </w:r>
    </w:p>
    <w:p>
      <w:pPr>
        <w:pStyle w:val="Heading1"/>
      </w:pPr>
      <w:r>
        <w:t>2. Phased roadmap</w:t>
      </w:r>
    </w:p>
    <w:tbl>
      <w:tblPr>
        <w:tblStyle w:val="TableGrid"/>
        <w:tblW w:type="dxa" w:w="9360"/>
        <w:jc w:val="left"/>
        <w:tblLayout w:type="fixed"/>
        <w:tblLook w:firstColumn="1" w:firstRow="1" w:lastColumn="0" w:lastRow="0" w:noHBand="0" w:noVBand="1" w:val="04A0"/>
        <w:tblInd w:type="dxa" w:w="120"/>
      </w:tblPr>
      <w:tblGrid>
        <w:gridCol w:w="750"/>
        <w:gridCol w:w="3650"/>
        <w:gridCol w:w="3300"/>
        <w:gridCol w:w="1660"/>
      </w:tblGrid>
      <w:tr>
        <w:trPr>
          <w:tblHeader w:val="true"/>
          <w:cantSplit w:val="true"/>
        </w:trPr>
        <w:tc>
          <w:tcPr>
            <w:tcW w:type="dxa" w:w="750"/>
            <w:shd w:fill="E8EEF5"/>
            <w:vAlign w:val="center"/>
            <w:tcMar>
              <w:top w:w="80" w:type="dxa"/>
              <w:bottom w:w="80" w:type="dxa"/>
              <w:start w:w="120" w:type="dxa"/>
              <w:end w:w="120" w:type="dxa"/>
            </w:tcMar>
          </w:tcPr>
          <w:p>
            <w:pPr>
              <w:spacing w:after="0"/>
              <w:jc w:val="left"/>
            </w:pPr>
            <w:r>
              <w:rPr>
                <w:rFonts w:ascii="Calibri" w:hAnsi="Calibri"/>
                <w:b/>
                <w:color w:val="1F4D78"/>
                <w:sz w:val="19"/>
              </w:rPr>
              <w:t>Phase</w:t>
            </w:r>
          </w:p>
        </w:tc>
        <w:tc>
          <w:tcPr>
            <w:tcW w:type="dxa" w:w="3650"/>
            <w:shd w:fill="E8EEF5"/>
            <w:vAlign w:val="center"/>
            <w:tcMar>
              <w:top w:w="80" w:type="dxa"/>
              <w:bottom w:w="80" w:type="dxa"/>
              <w:start w:w="120" w:type="dxa"/>
              <w:end w:w="120" w:type="dxa"/>
            </w:tcMar>
          </w:tcPr>
          <w:p>
            <w:pPr>
              <w:spacing w:after="0"/>
              <w:jc w:val="left"/>
            </w:pPr>
            <w:r>
              <w:rPr>
                <w:rFonts w:ascii="Calibri" w:hAnsi="Calibri"/>
                <w:b/>
                <w:color w:val="1F4D78"/>
                <w:sz w:val="19"/>
              </w:rPr>
              <w:t>Objective</w:t>
            </w:r>
          </w:p>
        </w:tc>
        <w:tc>
          <w:tcPr>
            <w:tcW w:type="dxa" w:w="3300"/>
            <w:shd w:fill="E8EEF5"/>
            <w:vAlign w:val="center"/>
            <w:tcMar>
              <w:top w:w="80" w:type="dxa"/>
              <w:bottom w:w="80" w:type="dxa"/>
              <w:start w:w="120" w:type="dxa"/>
              <w:end w:w="120" w:type="dxa"/>
            </w:tcMar>
          </w:tcPr>
          <w:p>
            <w:pPr>
              <w:spacing w:after="0"/>
              <w:jc w:val="left"/>
            </w:pPr>
            <w:r>
              <w:rPr>
                <w:rFonts w:ascii="Calibri" w:hAnsi="Calibri"/>
                <w:b/>
                <w:color w:val="1F4D78"/>
                <w:sz w:val="19"/>
              </w:rPr>
              <w:t>Exit condition</w:t>
            </w:r>
          </w:p>
        </w:tc>
        <w:tc>
          <w:tcPr>
            <w:tcW w:type="dxa" w:w="1660"/>
            <w:shd w:fill="E8EEF5"/>
            <w:vAlign w:val="center"/>
            <w:tcMar>
              <w:top w:w="80" w:type="dxa"/>
              <w:bottom w:w="80" w:type="dxa"/>
              <w:start w:w="120" w:type="dxa"/>
              <w:end w:w="120" w:type="dxa"/>
            </w:tcMar>
          </w:tcPr>
          <w:p>
            <w:pPr>
              <w:spacing w:after="0"/>
              <w:jc w:val="left"/>
            </w:pPr>
            <w:r>
              <w:rPr>
                <w:rFonts w:ascii="Calibri" w:hAnsi="Calibri"/>
                <w:b/>
                <w:color w:val="1F4D78"/>
                <w:sz w:val="19"/>
              </w:rPr>
              <w:t>Status</w:t>
            </w:r>
          </w:p>
        </w:tc>
      </w:tr>
      <w:tr>
        <w:trPr>
          <w:cantSplit w:val="true"/>
        </w:trPr>
        <w:tc>
          <w:tcPr>
            <w:tcW w:type="dxa" w:w="750"/>
            <w:vAlign w:val="center"/>
            <w:tcMar>
              <w:top w:w="80" w:type="dxa"/>
              <w:bottom w:w="80" w:type="dxa"/>
              <w:start w:w="120" w:type="dxa"/>
              <w:end w:w="120" w:type="dxa"/>
            </w:tcMar>
          </w:tcPr>
          <w:p>
            <w:pPr>
              <w:spacing w:after="0" w:line="259" w:lineRule="auto"/>
            </w:pPr>
            <w:r>
              <w:rPr>
                <w:rFonts w:ascii="Calibri" w:hAnsi="Calibri"/>
                <w:color w:val="1D2530"/>
                <w:sz w:val="18"/>
              </w:rPr>
              <w:t>1</w:t>
            </w:r>
          </w:p>
        </w:tc>
        <w:tc>
          <w:tcPr>
            <w:tcW w:type="dxa" w:w="3650"/>
            <w:vAlign w:val="center"/>
            <w:tcMar>
              <w:top w:w="80" w:type="dxa"/>
              <w:bottom w:w="80" w:type="dxa"/>
              <w:start w:w="120" w:type="dxa"/>
              <w:end w:w="120" w:type="dxa"/>
            </w:tcMar>
          </w:tcPr>
          <w:p>
            <w:pPr>
              <w:spacing w:after="0" w:line="259" w:lineRule="auto"/>
            </w:pPr>
            <w:r>
              <w:rPr>
                <w:rFonts w:ascii="Calibri" w:hAnsi="Calibri"/>
                <w:color w:val="1D2530"/>
                <w:sz w:val="18"/>
              </w:rPr>
              <w:t>Prepare a professional Python package environment suitable for building PyPI distributions.</w:t>
            </w:r>
          </w:p>
        </w:tc>
        <w:tc>
          <w:tcPr>
            <w:tcW w:type="dxa" w:w="3300"/>
            <w:vAlign w:val="center"/>
            <w:tcMar>
              <w:top w:w="80" w:type="dxa"/>
              <w:bottom w:w="80" w:type="dxa"/>
              <w:start w:w="120" w:type="dxa"/>
              <w:end w:w="120" w:type="dxa"/>
            </w:tcMar>
          </w:tcPr>
          <w:p>
            <w:pPr>
              <w:spacing w:after="0" w:line="259" w:lineRule="auto"/>
            </w:pPr>
            <w:r>
              <w:rPr>
                <w:rFonts w:ascii="Calibri" w:hAnsi="Calibri"/>
                <w:color w:val="1D2530"/>
                <w:sz w:val="18"/>
              </w:rPr>
              <w:t>A clean wheel and source distribution build, install and pass smoke tests.</w:t>
            </w:r>
          </w:p>
        </w:tc>
        <w:tc>
          <w:tcPr>
            <w:tcW w:type="dxa" w:w="1660"/>
            <w:vAlign w:val="center"/>
            <w:shd w:fill="E8F3EC"/>
            <w:tcMar>
              <w:top w:w="80" w:type="dxa"/>
              <w:bottom w:w="80" w:type="dxa"/>
              <w:start w:w="120" w:type="dxa"/>
              <w:end w:w="120" w:type="dxa"/>
            </w:tcMar>
          </w:tcPr>
          <w:p>
            <w:pPr>
              <w:spacing w:after="0" w:line="259" w:lineRule="auto"/>
            </w:pPr>
            <w:r>
              <w:rPr>
                <w:rFonts w:ascii="Calibri" w:hAnsi="Calibri"/>
                <w:color w:val="1D2530"/>
                <w:sz w:val="18"/>
              </w:rPr>
              <w:t>Required now</w:t>
            </w:r>
          </w:p>
        </w:tc>
      </w:tr>
      <w:tr>
        <w:trPr>
          <w:cantSplit w:val="true"/>
        </w:trPr>
        <w:tc>
          <w:tcPr>
            <w:tcW w:type="dxa" w:w="750"/>
            <w:vAlign w:val="center"/>
            <w:tcMar>
              <w:top w:w="80" w:type="dxa"/>
              <w:bottom w:w="80" w:type="dxa"/>
              <w:start w:w="120" w:type="dxa"/>
              <w:end w:w="120" w:type="dxa"/>
            </w:tcMar>
          </w:tcPr>
          <w:p>
            <w:pPr>
              <w:spacing w:after="0" w:line="259" w:lineRule="auto"/>
            </w:pPr>
            <w:r>
              <w:rPr>
                <w:rFonts w:ascii="Calibri" w:hAnsi="Calibri"/>
                <w:color w:val="1D2530"/>
                <w:sz w:val="18"/>
              </w:rPr>
              <w:t>2</w:t>
            </w:r>
          </w:p>
        </w:tc>
        <w:tc>
          <w:tcPr>
            <w:tcW w:type="dxa" w:w="3650"/>
            <w:vAlign w:val="center"/>
            <w:tcMar>
              <w:top w:w="80" w:type="dxa"/>
              <w:bottom w:w="80" w:type="dxa"/>
              <w:start w:w="120" w:type="dxa"/>
              <w:end w:w="120" w:type="dxa"/>
            </w:tcMar>
          </w:tcPr>
          <w:p>
            <w:pPr>
              <w:spacing w:after="0" w:line="259" w:lineRule="auto"/>
            </w:pPr>
            <w:r>
              <w:rPr>
                <w:rFonts w:ascii="Calibri" w:hAnsi="Calibri"/>
                <w:color w:val="1D2530"/>
                <w:sz w:val="18"/>
              </w:rPr>
              <w:t>Implement the minimal standard/naive nested sampler with a non-defensive Morph component and minimal diagnostics.</w:t>
            </w:r>
          </w:p>
        </w:tc>
        <w:tc>
          <w:tcPr>
            <w:tcW w:type="dxa" w:w="3300"/>
            <w:vAlign w:val="center"/>
            <w:tcMar>
              <w:top w:w="80" w:type="dxa"/>
              <w:bottom w:w="80" w:type="dxa"/>
              <w:start w:w="120" w:type="dxa"/>
              <w:end w:w="120" w:type="dxa"/>
            </w:tcMar>
          </w:tcPr>
          <w:p>
            <w:pPr>
              <w:spacing w:after="0" w:line="259" w:lineRule="auto"/>
            </w:pPr>
            <w:r>
              <w:rPr>
                <w:rFonts w:ascii="Calibri" w:hAnsi="Calibri"/>
                <w:color w:val="1D2530"/>
                <w:sz w:val="18"/>
              </w:rPr>
              <w:t>Benchmarks run reproducibly; invariants and limitations are documented; owner can test the sampler.</w:t>
            </w:r>
          </w:p>
        </w:tc>
        <w:tc>
          <w:tcPr>
            <w:tcW w:type="dxa" w:w="1660"/>
            <w:vAlign w:val="center"/>
            <w:shd w:fill="E8F3EC"/>
            <w:tcMar>
              <w:top w:w="80" w:type="dxa"/>
              <w:bottom w:w="80" w:type="dxa"/>
              <w:start w:w="120" w:type="dxa"/>
              <w:end w:w="120" w:type="dxa"/>
            </w:tcMar>
          </w:tcPr>
          <w:p>
            <w:pPr>
              <w:spacing w:after="0" w:line="259" w:lineRule="auto"/>
            </w:pPr>
            <w:r>
              <w:rPr>
                <w:rFonts w:ascii="Calibri" w:hAnsi="Calibri"/>
                <w:color w:val="1D2530"/>
                <w:sz w:val="18"/>
              </w:rPr>
              <w:t>Required now</w:t>
            </w:r>
          </w:p>
        </w:tc>
      </w:tr>
      <w:tr>
        <w:trPr>
          <w:cantSplit w:val="true"/>
        </w:trPr>
        <w:tc>
          <w:tcPr>
            <w:tcW w:type="dxa" w:w="750"/>
            <w:vAlign w:val="center"/>
            <w:tcMar>
              <w:top w:w="80" w:type="dxa"/>
              <w:bottom w:w="80" w:type="dxa"/>
              <w:start w:w="120" w:type="dxa"/>
              <w:end w:w="120" w:type="dxa"/>
            </w:tcMar>
          </w:tcPr>
          <w:p>
            <w:pPr>
              <w:spacing w:after="0" w:line="259" w:lineRule="auto"/>
            </w:pPr>
            <w:r>
              <w:rPr>
                <w:rFonts w:ascii="Calibri" w:hAnsi="Calibri"/>
                <w:color w:val="1D2530"/>
                <w:sz w:val="18"/>
              </w:rPr>
              <w:t>3</w:t>
            </w:r>
          </w:p>
        </w:tc>
        <w:tc>
          <w:tcPr>
            <w:tcW w:type="dxa" w:w="3650"/>
            <w:vAlign w:val="center"/>
            <w:tcMar>
              <w:top w:w="80" w:type="dxa"/>
              <w:bottom w:w="80" w:type="dxa"/>
              <w:start w:w="120" w:type="dxa"/>
              <w:end w:w="120" w:type="dxa"/>
            </w:tcMar>
          </w:tcPr>
          <w:p>
            <w:pPr>
              <w:spacing w:after="0" w:line="259" w:lineRule="auto"/>
            </w:pPr>
            <w:r>
              <w:rPr>
                <w:rFonts w:ascii="Calibri" w:hAnsi="Calibri"/>
                <w:color w:val="1D2530"/>
                <w:sz w:val="18"/>
              </w:rPr>
              <w:t>Add the defensive Morph construction and exact reference/importance bookkeeping.</w:t>
            </w:r>
          </w:p>
        </w:tc>
        <w:tc>
          <w:tcPr>
            <w:tcW w:type="dxa" w:w="3300"/>
            <w:vAlign w:val="center"/>
            <w:tcMar>
              <w:top w:w="80" w:type="dxa"/>
              <w:bottom w:w="80" w:type="dxa"/>
              <w:start w:w="120" w:type="dxa"/>
              <w:end w:w="120" w:type="dxa"/>
            </w:tcMar>
          </w:tcPr>
          <w:p>
            <w:pPr>
              <w:spacing w:after="0" w:line="259" w:lineRule="auto"/>
            </w:pPr>
            <w:r>
              <w:rPr>
                <w:rFonts w:ascii="Calibri" w:hAnsi="Calibri"/>
                <w:color w:val="1D2530"/>
                <w:sz w:val="18"/>
              </w:rPr>
              <w:t>Locked until owner approval.</w:t>
            </w:r>
          </w:p>
        </w:tc>
        <w:tc>
          <w:tcPr>
            <w:tcW w:type="dxa" w:w="1660"/>
            <w:vAlign w:val="center"/>
            <w:shd w:fill="F2F4F7"/>
            <w:tcMar>
              <w:top w:w="80" w:type="dxa"/>
              <w:bottom w:w="80" w:type="dxa"/>
              <w:start w:w="120" w:type="dxa"/>
              <w:end w:w="120" w:type="dxa"/>
            </w:tcMar>
          </w:tcPr>
          <w:p>
            <w:pPr>
              <w:spacing w:after="0" w:line="259" w:lineRule="auto"/>
            </w:pPr>
            <w:r>
              <w:rPr>
                <w:rFonts w:ascii="Calibri" w:hAnsi="Calibri"/>
                <w:color w:val="1D2530"/>
                <w:sz w:val="18"/>
              </w:rPr>
              <w:t>Future - locked</w:t>
            </w:r>
          </w:p>
        </w:tc>
      </w:tr>
      <w:tr>
        <w:trPr>
          <w:cantSplit w:val="true"/>
        </w:trPr>
        <w:tc>
          <w:tcPr>
            <w:tcW w:type="dxa" w:w="750"/>
            <w:vAlign w:val="center"/>
            <w:tcMar>
              <w:top w:w="80" w:type="dxa"/>
              <w:bottom w:w="80" w:type="dxa"/>
              <w:start w:w="120" w:type="dxa"/>
              <w:end w:w="120" w:type="dxa"/>
            </w:tcMar>
          </w:tcPr>
          <w:p>
            <w:pPr>
              <w:spacing w:after="0" w:line="259" w:lineRule="auto"/>
            </w:pPr>
            <w:r>
              <w:rPr>
                <w:rFonts w:ascii="Calibri" w:hAnsi="Calibri"/>
                <w:color w:val="1D2530"/>
                <w:sz w:val="18"/>
              </w:rPr>
              <w:t>4</w:t>
            </w:r>
          </w:p>
        </w:tc>
        <w:tc>
          <w:tcPr>
            <w:tcW w:type="dxa" w:w="3650"/>
            <w:vAlign w:val="center"/>
            <w:tcMar>
              <w:top w:w="80" w:type="dxa"/>
              <w:bottom w:w="80" w:type="dxa"/>
              <w:start w:w="120" w:type="dxa"/>
              <w:end w:w="120" w:type="dxa"/>
            </w:tcMar>
          </w:tcPr>
          <w:p>
            <w:pPr>
              <w:spacing w:after="0" w:line="259" w:lineRule="auto"/>
            </w:pPr>
            <w:r>
              <w:rPr>
                <w:rFonts w:ascii="Calibri" w:hAnsi="Calibri"/>
                <w:color w:val="1D2530"/>
                <w:sz w:val="18"/>
              </w:rPr>
              <w:t>Add importance nested sampling, frozen production redraw and meta-proposal logic.</w:t>
            </w:r>
          </w:p>
        </w:tc>
        <w:tc>
          <w:tcPr>
            <w:tcW w:type="dxa" w:w="3300"/>
            <w:vAlign w:val="center"/>
            <w:tcMar>
              <w:top w:w="80" w:type="dxa"/>
              <w:bottom w:w="80" w:type="dxa"/>
              <w:start w:w="120" w:type="dxa"/>
              <w:end w:w="120" w:type="dxa"/>
            </w:tcMar>
          </w:tcPr>
          <w:p>
            <w:pPr>
              <w:spacing w:after="0" w:line="259" w:lineRule="auto"/>
            </w:pPr>
            <w:r>
              <w:rPr>
                <w:rFonts w:ascii="Calibri" w:hAnsi="Calibri"/>
                <w:color w:val="1D2530"/>
                <w:sz w:val="18"/>
              </w:rPr>
              <w:t>Locked until owner approval.</w:t>
            </w:r>
          </w:p>
        </w:tc>
        <w:tc>
          <w:tcPr>
            <w:tcW w:type="dxa" w:w="1660"/>
            <w:vAlign w:val="center"/>
            <w:shd w:fill="F2F4F7"/>
            <w:tcMar>
              <w:top w:w="80" w:type="dxa"/>
              <w:bottom w:w="80" w:type="dxa"/>
              <w:start w:w="120" w:type="dxa"/>
              <w:end w:w="120" w:type="dxa"/>
            </w:tcMar>
          </w:tcPr>
          <w:p>
            <w:pPr>
              <w:spacing w:after="0" w:line="259" w:lineRule="auto"/>
            </w:pPr>
            <w:r>
              <w:rPr>
                <w:rFonts w:ascii="Calibri" w:hAnsi="Calibri"/>
                <w:color w:val="1D2530"/>
                <w:sz w:val="18"/>
              </w:rPr>
              <w:t>Future - locked</w:t>
            </w:r>
          </w:p>
        </w:tc>
      </w:tr>
      <w:tr>
        <w:trPr>
          <w:cantSplit w:val="true"/>
        </w:trPr>
        <w:tc>
          <w:tcPr>
            <w:tcW w:type="dxa" w:w="750"/>
            <w:vAlign w:val="center"/>
            <w:tcMar>
              <w:top w:w="80" w:type="dxa"/>
              <w:bottom w:w="80" w:type="dxa"/>
              <w:start w:w="120" w:type="dxa"/>
              <w:end w:w="120" w:type="dxa"/>
            </w:tcMar>
          </w:tcPr>
          <w:p>
            <w:pPr>
              <w:spacing w:after="0" w:line="259" w:lineRule="auto"/>
            </w:pPr>
            <w:r>
              <w:rPr>
                <w:rFonts w:ascii="Calibri" w:hAnsi="Calibri"/>
                <w:color w:val="1D2530"/>
                <w:sz w:val="18"/>
              </w:rPr>
              <w:t>5</w:t>
            </w:r>
          </w:p>
        </w:tc>
        <w:tc>
          <w:tcPr>
            <w:tcW w:type="dxa" w:w="3650"/>
            <w:vAlign w:val="center"/>
            <w:tcMar>
              <w:top w:w="80" w:type="dxa"/>
              <w:bottom w:w="80" w:type="dxa"/>
              <w:start w:w="120" w:type="dxa"/>
              <w:end w:w="120" w:type="dxa"/>
            </w:tcMar>
          </w:tcPr>
          <w:p>
            <w:pPr>
              <w:spacing w:after="0" w:line="259" w:lineRule="auto"/>
            </w:pPr>
            <w:r>
              <w:rPr>
                <w:rFonts w:ascii="Calibri" w:hAnsi="Calibri"/>
                <w:color w:val="1D2530"/>
                <w:sz w:val="18"/>
              </w:rPr>
              <w:t>Expand diagnostics, plotting, checkpointing, repeated-run calibration and performance tooling.</w:t>
            </w:r>
          </w:p>
        </w:tc>
        <w:tc>
          <w:tcPr>
            <w:tcW w:type="dxa" w:w="3300"/>
            <w:vAlign w:val="center"/>
            <w:tcMar>
              <w:top w:w="80" w:type="dxa"/>
              <w:bottom w:w="80" w:type="dxa"/>
              <w:start w:w="120" w:type="dxa"/>
              <w:end w:w="120" w:type="dxa"/>
            </w:tcMar>
          </w:tcPr>
          <w:p>
            <w:pPr>
              <w:spacing w:after="0" w:line="259" w:lineRule="auto"/>
            </w:pPr>
            <w:r>
              <w:rPr>
                <w:rFonts w:ascii="Calibri" w:hAnsi="Calibri"/>
                <w:color w:val="1D2530"/>
                <w:sz w:val="18"/>
              </w:rPr>
              <w:t>Locked until owner approval.</w:t>
            </w:r>
          </w:p>
        </w:tc>
        <w:tc>
          <w:tcPr>
            <w:tcW w:type="dxa" w:w="1660"/>
            <w:vAlign w:val="center"/>
            <w:shd w:fill="F2F4F7"/>
            <w:tcMar>
              <w:top w:w="80" w:type="dxa"/>
              <w:bottom w:w="80" w:type="dxa"/>
              <w:start w:w="120" w:type="dxa"/>
              <w:end w:w="120" w:type="dxa"/>
            </w:tcMar>
          </w:tcPr>
          <w:p>
            <w:pPr>
              <w:spacing w:after="0" w:line="259" w:lineRule="auto"/>
            </w:pPr>
            <w:r>
              <w:rPr>
                <w:rFonts w:ascii="Calibri" w:hAnsi="Calibri"/>
                <w:color w:val="1D2530"/>
                <w:sz w:val="18"/>
              </w:rPr>
              <w:t>Future - locked</w:t>
            </w:r>
          </w:p>
        </w:tc>
      </w:tr>
      <w:tr>
        <w:trPr>
          <w:cantSplit w:val="true"/>
        </w:trPr>
        <w:tc>
          <w:tcPr>
            <w:tcW w:type="dxa" w:w="750"/>
            <w:vAlign w:val="center"/>
            <w:tcMar>
              <w:top w:w="80" w:type="dxa"/>
              <w:bottom w:w="80" w:type="dxa"/>
              <w:start w:w="120" w:type="dxa"/>
              <w:end w:w="120" w:type="dxa"/>
            </w:tcMar>
          </w:tcPr>
          <w:p>
            <w:pPr>
              <w:spacing w:after="0" w:line="259" w:lineRule="auto"/>
            </w:pPr>
            <w:r>
              <w:rPr>
                <w:rFonts w:ascii="Calibri" w:hAnsi="Calibri"/>
                <w:color w:val="1D2530"/>
                <w:sz w:val="18"/>
              </w:rPr>
              <w:t>6</w:t>
            </w:r>
          </w:p>
        </w:tc>
        <w:tc>
          <w:tcPr>
            <w:tcW w:type="dxa" w:w="3650"/>
            <w:vAlign w:val="center"/>
            <w:tcMar>
              <w:top w:w="80" w:type="dxa"/>
              <w:bottom w:w="80" w:type="dxa"/>
              <w:start w:w="120" w:type="dxa"/>
              <w:end w:w="120" w:type="dxa"/>
            </w:tcMar>
          </w:tcPr>
          <w:p>
            <w:pPr>
              <w:spacing w:after="0" w:line="259" w:lineRule="auto"/>
            </w:pPr>
            <w:r>
              <w:rPr>
                <w:rFonts w:ascii="Calibri" w:hAnsi="Calibri"/>
                <w:color w:val="1D2530"/>
                <w:sz w:val="18"/>
              </w:rPr>
              <w:t>Optimize, compare against established samplers and prepare a public PyPI release.</w:t>
            </w:r>
          </w:p>
        </w:tc>
        <w:tc>
          <w:tcPr>
            <w:tcW w:type="dxa" w:w="3300"/>
            <w:vAlign w:val="center"/>
            <w:tcMar>
              <w:top w:w="80" w:type="dxa"/>
              <w:bottom w:w="80" w:type="dxa"/>
              <w:start w:w="120" w:type="dxa"/>
              <w:end w:w="120" w:type="dxa"/>
            </w:tcMar>
          </w:tcPr>
          <w:p>
            <w:pPr>
              <w:spacing w:after="0" w:line="259" w:lineRule="auto"/>
            </w:pPr>
            <w:r>
              <w:rPr>
                <w:rFonts w:ascii="Calibri" w:hAnsi="Calibri"/>
                <w:color w:val="1D2530"/>
                <w:sz w:val="18"/>
              </w:rPr>
              <w:t>Locked until owner approval.</w:t>
            </w:r>
          </w:p>
        </w:tc>
        <w:tc>
          <w:tcPr>
            <w:tcW w:type="dxa" w:w="1660"/>
            <w:vAlign w:val="center"/>
            <w:shd w:fill="F2F4F7"/>
            <w:tcMar>
              <w:top w:w="80" w:type="dxa"/>
              <w:bottom w:w="80" w:type="dxa"/>
              <w:start w:w="120" w:type="dxa"/>
              <w:end w:w="120" w:type="dxa"/>
            </w:tcMar>
          </w:tcPr>
          <w:p>
            <w:pPr>
              <w:spacing w:after="0" w:line="259" w:lineRule="auto"/>
            </w:pPr>
            <w:r>
              <w:rPr>
                <w:rFonts w:ascii="Calibri" w:hAnsi="Calibri"/>
                <w:color w:val="1D2530"/>
                <w:sz w:val="18"/>
              </w:rPr>
              <w:t>Future - locked</w:t>
            </w:r>
          </w:p>
        </w:tc>
      </w:tr>
    </w:tbl>
    <w:p>
      <w:pPr>
        <w:spacing w:after="20"/>
      </w:pP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FF4D6"/>
            <w:tcBorders>
              <w:top w:val="single" w:sz="6" w:color="FFF4D6"/>
              <w:left w:val="single" w:sz="6" w:color="FFF4D6"/>
              <w:bottom w:val="single" w:sz="6" w:color="FFF4D6"/>
              <w:right w:val="single" w:sz="6" w:color="FFF4D6"/>
              <w:insideH w:val="single" w:sz="6" w:color="FFF4D6"/>
              <w:insideV w:val="single" w:sz="6" w:color="FFF4D6"/>
            </w:tcBorders>
            <w:vAlign w:val="center"/>
            <w:tcMar>
              <w:top w:w="80" w:type="dxa"/>
              <w:bottom w:w="80" w:type="dxa"/>
              <w:start w:w="120" w:type="dxa"/>
              <w:end w:w="120" w:type="dxa"/>
            </w:tcMar>
          </w:tcPr>
          <w:p>
            <w:pPr>
              <w:spacing w:before="40" w:after="40" w:line="276" w:lineRule="auto"/>
            </w:pPr>
            <w:r>
              <w:rPr>
                <w:rFonts w:ascii="Calibri" w:hAnsi="Calibri"/>
                <w:b/>
                <w:color w:val="1F4D78"/>
              </w:rPr>
              <w:t xml:space="preserve">Hard pause: </w:t>
            </w:r>
            <w:r>
              <w:t>When the Phase 2 handoff is complete, stop. Return the code, documentation, benchmark outputs, warnings and exact commands. Wait for the project owner to run independent tests and decide whether Phase 3 may begin.</w:t>
            </w:r>
          </w:p>
        </w:tc>
      </w:tr>
    </w:tbl>
    <w:p>
      <w:pPr>
        <w:spacing w:after="20"/>
      </w:pPr>
    </w:p>
    <w:p>
      <w:pPr>
        <w:pStyle w:val="Heading1"/>
      </w:pPr>
      <w:r>
        <w:t>3. Phase 1 - PyPI-ready package environment</w:t>
      </w:r>
    </w:p>
    <w:p>
      <w:r>
        <w:t>Goal: create a modern package skeleton that can safely receive the scientific implementation. This phase prepares distributions and quality controls but does not upload anything to PyPI.</w:t>
      </w:r>
    </w:p>
    <w:p>
      <w:pPr>
        <w:pStyle w:val="Heading2"/>
      </w:pPr>
      <w:r>
        <w:t>3.1 Repository structure</w:t>
      </w:r>
    </w:p>
    <w:p>
      <w:pPr>
        <w:spacing w:before="60" w:after="140" w:line="252" w:lineRule="auto"/>
        <w:ind w:left="317" w:right="216"/>
        <w:shd w:fill="F5F7FA"/>
      </w:pPr>
      <w:r>
        <w:rPr>
          <w:rFonts w:ascii="Consolas" w:hAnsi="Consolas"/>
          <w:color w:val="1D2530"/>
          <w:sz w:val="18"/>
        </w:rPr>
        <w:t>project-root/</w:t>
      </w:r>
      <w:r>
        <w:br/>
      </w:r>
      <w:r>
        <w:rPr>
          <w:rFonts w:ascii="Consolas" w:hAnsi="Consolas"/>
          <w:color w:val="1D2530"/>
          <w:sz w:val="18"/>
        </w:rPr>
        <w:t xml:space="preserve">  pyproject.toml</w:t>
      </w:r>
      <w:r>
        <w:br/>
      </w:r>
      <w:r>
        <w:rPr>
          <w:rFonts w:ascii="Consolas" w:hAnsi="Consolas"/>
          <w:color w:val="1D2530"/>
          <w:sz w:val="18"/>
        </w:rPr>
        <w:t xml:space="preserve">  README.md</w:t>
      </w:r>
      <w:r>
        <w:br/>
      </w:r>
      <w:r>
        <w:rPr>
          <w:rFonts w:ascii="Consolas" w:hAnsi="Consolas"/>
          <w:color w:val="1D2530"/>
          <w:sz w:val="18"/>
        </w:rPr>
        <w:t xml:space="preserve">  LICENSE</w:t>
      </w:r>
      <w:r>
        <w:br/>
      </w:r>
      <w:r>
        <w:rPr>
          <w:rFonts w:ascii="Consolas" w:hAnsi="Consolas"/>
          <w:color w:val="1D2530"/>
          <w:sz w:val="18"/>
        </w:rPr>
        <w:t xml:space="preserve">  CHANGELOG.md</w:t>
      </w:r>
      <w:r>
        <w:br/>
      </w:r>
      <w:r>
        <w:rPr>
          <w:rFonts w:ascii="Consolas" w:hAnsi="Consolas"/>
          <w:color w:val="1D2530"/>
          <w:sz w:val="18"/>
        </w:rPr>
        <w:t xml:space="preserve">  CONTRIBUTING.md</w:t>
      </w:r>
      <w:r>
        <w:br/>
      </w:r>
      <w:r>
        <w:rPr>
          <w:rFonts w:ascii="Consolas" w:hAnsi="Consolas"/>
          <w:color w:val="1D2530"/>
          <w:sz w:val="18"/>
        </w:rPr>
        <w:t xml:space="preserve">  CITATION.cff</w:t>
      </w:r>
      <w:r>
        <w:br/>
      </w:r>
      <w:r>
        <w:rPr>
          <w:rFonts w:ascii="Consolas" w:hAnsi="Consolas"/>
          <w:color w:val="1D2530"/>
          <w:sz w:val="18"/>
        </w:rPr>
        <w:t xml:space="preserve">  src/</w:t>
      </w:r>
      <w:r>
        <w:br/>
      </w:r>
      <w:r>
        <w:rPr>
          <w:rFonts w:ascii="Consolas" w:hAnsi="Consolas"/>
          <w:color w:val="1D2530"/>
          <w:sz w:val="18"/>
        </w:rPr>
        <w:t xml:space="preserve">    mins/</w:t>
      </w:r>
      <w:r>
        <w:br/>
      </w:r>
      <w:r>
        <w:rPr>
          <w:rFonts w:ascii="Consolas" w:hAnsi="Consolas"/>
          <w:color w:val="1D2530"/>
          <w:sz w:val="18"/>
        </w:rPr>
        <w:t xml:space="preserve">      __init__.py</w:t>
      </w:r>
      <w:r>
        <w:br/>
      </w:r>
      <w:r>
        <w:rPr>
          <w:rFonts w:ascii="Consolas" w:hAnsi="Consolas"/>
          <w:color w:val="1D2530"/>
          <w:sz w:val="18"/>
        </w:rPr>
        <w:t xml:space="preserve">      _version.py</w:t>
      </w:r>
      <w:r>
        <w:br/>
      </w:r>
      <w:r>
        <w:rPr>
          <w:rFonts w:ascii="Consolas" w:hAnsi="Consolas"/>
          <w:color w:val="1D2530"/>
          <w:sz w:val="18"/>
        </w:rPr>
        <w:t xml:space="preserve">      model.py</w:t>
      </w:r>
      <w:r>
        <w:br/>
      </w:r>
      <w:r>
        <w:rPr>
          <w:rFonts w:ascii="Consolas" w:hAnsi="Consolas"/>
          <w:color w:val="1D2530"/>
          <w:sz w:val="18"/>
        </w:rPr>
        <w:t xml:space="preserve">      proposal.py</w:t>
      </w:r>
      <w:r>
        <w:br/>
      </w:r>
      <w:r>
        <w:rPr>
          <w:rFonts w:ascii="Consolas" w:hAnsi="Consolas"/>
          <w:color w:val="1D2530"/>
          <w:sz w:val="18"/>
        </w:rPr>
        <w:t xml:space="preserve">      morph.py</w:t>
      </w:r>
      <w:r>
        <w:br/>
      </w:r>
      <w:r>
        <w:rPr>
          <w:rFonts w:ascii="Consolas" w:hAnsi="Consolas"/>
          <w:color w:val="1D2530"/>
          <w:sz w:val="18"/>
        </w:rPr>
        <w:t xml:space="preserve">      sampler.py</w:t>
      </w:r>
      <w:r>
        <w:br/>
      </w:r>
      <w:r>
        <w:rPr>
          <w:rFonts w:ascii="Consolas" w:hAnsi="Consolas"/>
          <w:color w:val="1D2530"/>
          <w:sz w:val="18"/>
        </w:rPr>
        <w:t xml:space="preserve">      state.py</w:t>
      </w:r>
      <w:r>
        <w:br/>
      </w:r>
      <w:r>
        <w:rPr>
          <w:rFonts w:ascii="Consolas" w:hAnsi="Consolas"/>
          <w:color w:val="1D2530"/>
          <w:sz w:val="18"/>
        </w:rPr>
        <w:t xml:space="preserve">      results.py</w:t>
      </w:r>
      <w:r>
        <w:br/>
      </w:r>
      <w:r>
        <w:rPr>
          <w:rFonts w:ascii="Consolas" w:hAnsi="Consolas"/>
          <w:color w:val="1D2530"/>
          <w:sz w:val="18"/>
        </w:rPr>
        <w:t xml:space="preserve">      evidence.py</w:t>
      </w:r>
      <w:r>
        <w:br/>
      </w:r>
      <w:r>
        <w:rPr>
          <w:rFonts w:ascii="Consolas" w:hAnsi="Consolas"/>
          <w:color w:val="1D2530"/>
          <w:sz w:val="18"/>
        </w:rPr>
        <w:t xml:space="preserve">      diagnostics.py</w:t>
      </w:r>
      <w:r>
        <w:br/>
      </w:r>
      <w:r>
        <w:rPr>
          <w:rFonts w:ascii="Consolas" w:hAnsi="Consolas"/>
          <w:color w:val="1D2530"/>
          <w:sz w:val="18"/>
        </w:rPr>
        <w:t xml:space="preserve">      exceptions.py</w:t>
      </w:r>
      <w:r>
        <w:br/>
      </w:r>
      <w:r>
        <w:rPr>
          <w:rFonts w:ascii="Consolas" w:hAnsi="Consolas"/>
          <w:color w:val="1D2530"/>
          <w:sz w:val="18"/>
        </w:rPr>
        <w:t xml:space="preserve">      typing.py</w:t>
      </w:r>
      <w:r>
        <w:br/>
      </w:r>
      <w:r>
        <w:rPr>
          <w:rFonts w:ascii="Consolas" w:hAnsi="Consolas"/>
          <w:color w:val="1D2530"/>
          <w:sz w:val="18"/>
        </w:rPr>
        <w:t xml:space="preserve">  tests/</w:t>
      </w:r>
      <w:r>
        <w:br/>
      </w:r>
      <w:r>
        <w:rPr>
          <w:rFonts w:ascii="Consolas" w:hAnsi="Consolas"/>
          <w:color w:val="1D2530"/>
          <w:sz w:val="18"/>
        </w:rPr>
        <w:t xml:space="preserve">    unit/</w:t>
      </w:r>
      <w:r>
        <w:br/>
      </w:r>
      <w:r>
        <w:rPr>
          <w:rFonts w:ascii="Consolas" w:hAnsi="Consolas"/>
          <w:color w:val="1D2530"/>
          <w:sz w:val="18"/>
        </w:rPr>
        <w:t xml:space="preserve">    integration/</w:t>
      </w:r>
      <w:r>
        <w:br/>
      </w:r>
      <w:r>
        <w:rPr>
          <w:rFonts w:ascii="Consolas" w:hAnsi="Consolas"/>
          <w:color w:val="1D2530"/>
          <w:sz w:val="18"/>
        </w:rPr>
        <w:t xml:space="preserve">    statistical/</w:t>
      </w:r>
      <w:r>
        <w:br/>
      </w:r>
      <w:r>
        <w:rPr>
          <w:rFonts w:ascii="Consolas" w:hAnsi="Consolas"/>
          <w:color w:val="1D2530"/>
          <w:sz w:val="18"/>
        </w:rPr>
        <w:t xml:space="preserve">  benchmarks/</w:t>
      </w:r>
      <w:r>
        <w:br/>
      </w:r>
      <w:r>
        <w:rPr>
          <w:rFonts w:ascii="Consolas" w:hAnsi="Consolas"/>
          <w:color w:val="1D2530"/>
          <w:sz w:val="18"/>
        </w:rPr>
        <w:t xml:space="preserve">  docs/</w:t>
      </w:r>
      <w:r>
        <w:br/>
      </w:r>
      <w:r>
        <w:rPr>
          <w:rFonts w:ascii="Consolas" w:hAnsi="Consolas"/>
          <w:color w:val="1D2530"/>
          <w:sz w:val="18"/>
        </w:rPr>
        <w:t xml:space="preserve">    architecture.md</w:t>
      </w:r>
      <w:r>
        <w:br/>
      </w:r>
      <w:r>
        <w:rPr>
          <w:rFonts w:ascii="Consolas" w:hAnsi="Consolas"/>
          <w:color w:val="1D2530"/>
          <w:sz w:val="18"/>
        </w:rPr>
        <w:t xml:space="preserve">    mathematical_contract.md</w:t>
      </w:r>
      <w:r>
        <w:br/>
      </w:r>
      <w:r>
        <w:rPr>
          <w:rFonts w:ascii="Consolas" w:hAnsi="Consolas"/>
          <w:color w:val="1D2530"/>
          <w:sz w:val="18"/>
        </w:rPr>
        <w:t xml:space="preserve">    api.md</w:t>
      </w:r>
      <w:r>
        <w:br/>
      </w:r>
      <w:r>
        <w:rPr>
          <w:rFonts w:ascii="Consolas" w:hAnsi="Consolas"/>
          <w:color w:val="1D2530"/>
          <w:sz w:val="18"/>
        </w:rPr>
        <w:t xml:space="preserve">    phases/</w:t>
      </w:r>
      <w:r>
        <w:br/>
      </w:r>
      <w:r>
        <w:rPr>
          <w:rFonts w:ascii="Consolas" w:hAnsi="Consolas"/>
          <w:color w:val="1D2530"/>
          <w:sz w:val="18"/>
        </w:rPr>
        <w:t xml:space="preserve">      phase_1.md</w:t>
      </w:r>
      <w:r>
        <w:br/>
      </w:r>
      <w:r>
        <w:rPr>
          <w:rFonts w:ascii="Consolas" w:hAnsi="Consolas"/>
          <w:color w:val="1D2530"/>
          <w:sz w:val="18"/>
        </w:rPr>
        <w:t xml:space="preserve">      phase_2.md</w:t>
      </w:r>
      <w:r>
        <w:br/>
      </w:r>
      <w:r>
        <w:rPr>
          <w:rFonts w:ascii="Consolas" w:hAnsi="Consolas"/>
          <w:color w:val="1D2530"/>
          <w:sz w:val="18"/>
        </w:rPr>
        <w:t xml:space="preserve">  examples/</w:t>
      </w:r>
      <w:r>
        <w:br/>
      </w:r>
      <w:r>
        <w:rPr>
          <w:rFonts w:ascii="Consolas" w:hAnsi="Consolas"/>
          <w:color w:val="1D2530"/>
          <w:sz w:val="18"/>
        </w:rPr>
        <w:t xml:space="preserve">  .github/workflows/ci.yml</w:t>
      </w:r>
    </w:p>
    <w:p>
      <w:r>
        <w:t>Only create modules that have a current responsibility. Empty future modules may be omitted, but the separation of concerns above should guide imports and interfaces.</w:t>
      </w:r>
    </w:p>
    <w:p>
      <w:pPr>
        <w:pStyle w:val="Heading2"/>
      </w:pPr>
      <w:r>
        <w:t>3.2 Packaging decisions</w:t>
      </w:r>
    </w:p>
    <w:p>
      <w:pPr>
        <w:pStyle w:val="ListBullet"/>
        <w:spacing w:after="80" w:line="300" w:lineRule="auto"/>
      </w:pPr>
      <w:r>
        <w:t>Use `pyproject.toml` as the single source for build-system and project metadata.</w:t>
      </w:r>
    </w:p>
    <w:p>
      <w:pPr>
        <w:pStyle w:val="ListBullet"/>
        <w:spacing w:after="80" w:line="300" w:lineRule="auto"/>
      </w:pPr>
      <w:r>
        <w:t>Use a `src/` layout so tests exercise the installed package rather than accidental repository imports.</w:t>
      </w:r>
    </w:p>
    <w:p>
      <w:pPr>
        <w:pStyle w:val="ListBullet"/>
        <w:spacing w:after="80" w:line="300" w:lineRule="auto"/>
      </w:pPr>
      <w:r>
        <w:t>Use a standards-compliant build backend such as Hatchling. If the existing project already uses another modern backend, document why it is retained.</w:t>
      </w:r>
    </w:p>
    <w:p>
      <w:pPr>
        <w:pStyle w:val="ListBullet"/>
        <w:spacing w:after="80" w:line="300" w:lineRule="auto"/>
      </w:pPr>
      <w:r>
        <w:t>Start with Python 3.10 or newer unless the supplied algorithms require a different supported range.</w:t>
      </w:r>
    </w:p>
    <w:p>
      <w:pPr>
        <w:pStyle w:val="ListBullet"/>
        <w:spacing w:after="80" w:line="300" w:lineRule="auto"/>
      </w:pPr>
      <w:r>
        <w:t>Keep the runtime core small: normally NumPy and SciPy. Make plotting, HDF5, ArviZ, MPI and development tools optional extras.</w:t>
      </w:r>
    </w:p>
    <w:p>
      <w:pPr>
        <w:pStyle w:val="ListBullet"/>
        <w:spacing w:after="80" w:line="300" w:lineRule="auto"/>
      </w:pPr>
      <w:r>
        <w:t>Expose one authoritative version and include it in built artifacts.</w:t>
      </w:r>
    </w:p>
    <w:p>
      <w:pPr>
        <w:pStyle w:val="ListBullet"/>
        <w:spacing w:after="80" w:line="300" w:lineRule="auto"/>
      </w:pPr>
      <w:r>
        <w:t>Declare package classifiers, license expression/file, project URLs, keywords and a concise scientific description.</w:t>
      </w:r>
    </w:p>
    <w:p>
      <w:pPr>
        <w:pStyle w:val="ListBullet"/>
        <w:spacing w:after="80" w:line="300" w:lineRule="auto"/>
      </w:pPr>
      <w:r>
        <w:t>Do not claim production stability or publish an initial release during this phase.</w:t>
      </w:r>
    </w:p>
    <w:p>
      <w:pPr>
        <w:pStyle w:val="Heading2"/>
      </w:pPr>
      <w:r>
        <w:t>3.3 Tooling and quality configuration</w:t>
      </w:r>
    </w:p>
    <w:p>
      <w:pPr>
        <w:pStyle w:val="ListBullet"/>
        <w:spacing w:after="80" w:line="300" w:lineRule="auto"/>
      </w:pPr>
      <w:r>
        <w:t>pytest markers: `unit`, `integration`, `statistical` and `slow`.</w:t>
      </w:r>
    </w:p>
    <w:p>
      <w:pPr>
        <w:pStyle w:val="ListBullet"/>
        <w:spacing w:after="80" w:line="300" w:lineRule="auto"/>
      </w:pPr>
      <w:r>
        <w:t>Ruff for formatting and linting; configure rules in `pyproject.toml`.</w:t>
      </w:r>
    </w:p>
    <w:p>
      <w:pPr>
        <w:pStyle w:val="ListBullet"/>
        <w:spacing w:after="80" w:line="300" w:lineRule="auto"/>
      </w:pPr>
      <w:r>
        <w:t>Static type checking for public protocols and result/config objects; keep numerical internals practical rather than forcing unhelpful annotations.</w:t>
      </w:r>
    </w:p>
    <w:p>
      <w:pPr>
        <w:pStyle w:val="ListBullet"/>
        <w:spacing w:after="80" w:line="300" w:lineRule="auto"/>
      </w:pPr>
      <w:r>
        <w:t>Coverage focused on scientific branches and failure behavior, not an arbitrary percentage alone.</w:t>
      </w:r>
    </w:p>
    <w:p>
      <w:pPr>
        <w:pStyle w:val="ListBullet"/>
        <w:spacing w:after="80" w:line="300" w:lineRule="auto"/>
      </w:pPr>
      <w:r>
        <w:t>A minimal CI matrix that builds distributions, installs the wheel and runs fast tests on supported Python versions.</w:t>
      </w:r>
    </w:p>
    <w:p>
      <w:pPr>
        <w:pStyle w:val="ListBullet"/>
        <w:spacing w:after="80" w:line="300" w:lineRule="auto"/>
      </w:pPr>
      <w:r>
        <w:t>Structured logging with no unconditional `print` statements in library code.</w:t>
      </w:r>
    </w:p>
    <w:p>
      <w:pPr>
        <w:pStyle w:val="ListBullet"/>
        <w:spacing w:after="80" w:line="300" w:lineRule="auto"/>
      </w:pPr>
      <w:r>
        <w:t>Pre-commit configuration is optional, but CI commands must be reproducible without it.</w:t>
      </w:r>
    </w:p>
    <w:p>
      <w:pPr>
        <w:pStyle w:val="Heading2"/>
      </w:pPr>
      <w:r>
        <w:t>3.4 Stable interfaces to define before sampler code</w:t>
      </w:r>
    </w:p>
    <w:tbl>
      <w:tblPr>
        <w:tblStyle w:val="TableGrid"/>
        <w:tblW w:type="dxa" w:w="9360"/>
        <w:jc w:val="left"/>
        <w:tblLayout w:type="fixed"/>
        <w:tblLook w:firstColumn="1" w:firstRow="1" w:lastColumn="0" w:lastRow="0" w:noHBand="0" w:noVBand="1" w:val="04A0"/>
        <w:tblInd w:type="dxa" w:w="120"/>
      </w:tblPr>
      <w:tblGrid>
        <w:gridCol w:w="1450"/>
        <w:gridCol w:w="4300"/>
        <w:gridCol w:w="3610"/>
      </w:tblGrid>
      <w:tr>
        <w:trPr>
          <w:tblHeader w:val="true"/>
          <w:cantSplit w:val="true"/>
        </w:trPr>
        <w:tc>
          <w:tcPr>
            <w:tcW w:type="dxa" w:w="1450"/>
            <w:shd w:fill="E8EEF5"/>
            <w:vAlign w:val="center"/>
            <w:tcMar>
              <w:top w:w="80" w:type="dxa"/>
              <w:bottom w:w="80" w:type="dxa"/>
              <w:start w:w="120" w:type="dxa"/>
              <w:end w:w="120" w:type="dxa"/>
            </w:tcMar>
          </w:tcPr>
          <w:p>
            <w:pPr>
              <w:spacing w:after="0"/>
              <w:jc w:val="left"/>
            </w:pPr>
            <w:r>
              <w:rPr>
                <w:rFonts w:ascii="Calibri" w:hAnsi="Calibri"/>
                <w:b/>
                <w:color w:val="1F4D78"/>
                <w:sz w:val="19"/>
              </w:rPr>
              <w:t>Component</w:t>
            </w:r>
          </w:p>
        </w:tc>
        <w:tc>
          <w:tcPr>
            <w:tcW w:type="dxa" w:w="4300"/>
            <w:shd w:fill="E8EEF5"/>
            <w:vAlign w:val="center"/>
            <w:tcMar>
              <w:top w:w="80" w:type="dxa"/>
              <w:bottom w:w="80" w:type="dxa"/>
              <w:start w:w="120" w:type="dxa"/>
              <w:end w:w="120" w:type="dxa"/>
            </w:tcMar>
          </w:tcPr>
          <w:p>
            <w:pPr>
              <w:spacing w:after="0"/>
              <w:jc w:val="left"/>
            </w:pPr>
            <w:r>
              <w:rPr>
                <w:rFonts w:ascii="Calibri" w:hAnsi="Calibri"/>
                <w:b/>
                <w:color w:val="1F4D78"/>
                <w:sz w:val="19"/>
              </w:rPr>
              <w:t>Minimal responsibility</w:t>
            </w:r>
          </w:p>
        </w:tc>
        <w:tc>
          <w:tcPr>
            <w:tcW w:type="dxa" w:w="3610"/>
            <w:shd w:fill="E8EEF5"/>
            <w:vAlign w:val="center"/>
            <w:tcMar>
              <w:top w:w="80" w:type="dxa"/>
              <w:bottom w:w="80" w:type="dxa"/>
              <w:start w:w="120" w:type="dxa"/>
              <w:end w:w="120" w:type="dxa"/>
            </w:tcMar>
          </w:tcPr>
          <w:p>
            <w:pPr>
              <w:spacing w:after="0"/>
              <w:jc w:val="left"/>
            </w:pPr>
            <w:r>
              <w:rPr>
                <w:rFonts w:ascii="Calibri" w:hAnsi="Calibri"/>
                <w:b/>
                <w:color w:val="1F4D78"/>
                <w:sz w:val="19"/>
              </w:rPr>
              <w:t>Must not own</w:t>
            </w:r>
          </w:p>
        </w:tc>
      </w:tr>
      <w:tr>
        <w:trPr>
          <w:cantSplit w:val="true"/>
        </w:trPr>
        <w:tc>
          <w:tcPr>
            <w:tcW w:type="dxa" w:w="1450"/>
            <w:vAlign w:val="center"/>
            <w:tcMar>
              <w:top w:w="80" w:type="dxa"/>
              <w:bottom w:w="80" w:type="dxa"/>
              <w:start w:w="120" w:type="dxa"/>
              <w:end w:w="120" w:type="dxa"/>
            </w:tcMar>
          </w:tcPr>
          <w:p>
            <w:pPr>
              <w:spacing w:after="0" w:line="259" w:lineRule="auto"/>
            </w:pPr>
            <w:r>
              <w:rPr>
                <w:rFonts w:ascii="Calibri" w:hAnsi="Calibri"/>
                <w:color w:val="1D2530"/>
                <w:sz w:val="18"/>
              </w:rPr>
              <w:t>Model</w:t>
            </w:r>
          </w:p>
        </w:tc>
        <w:tc>
          <w:tcPr>
            <w:tcW w:type="dxa" w:w="4300"/>
            <w:vAlign w:val="center"/>
            <w:tcMar>
              <w:top w:w="80" w:type="dxa"/>
              <w:bottom w:w="80" w:type="dxa"/>
              <w:start w:w="120" w:type="dxa"/>
              <w:end w:w="120" w:type="dxa"/>
            </w:tcMar>
          </w:tcPr>
          <w:p>
            <w:pPr>
              <w:spacing w:after="0" w:line="259" w:lineRule="auto"/>
            </w:pPr>
            <w:r>
              <w:rPr>
                <w:rFonts w:ascii="Calibri" w:hAnsi="Calibri"/>
                <w:color w:val="1D2530"/>
                <w:sz w:val="18"/>
              </w:rPr>
              <w:t>`names`, `ndim`, `log_prior`, `log_likelihood`, `sample_prior`; optional batch methods.</w:t>
            </w:r>
          </w:p>
        </w:tc>
        <w:tc>
          <w:tcPr>
            <w:tcW w:type="dxa" w:w="3610"/>
            <w:vAlign w:val="center"/>
            <w:tcMar>
              <w:top w:w="80" w:type="dxa"/>
              <w:bottom w:w="80" w:type="dxa"/>
              <w:start w:w="120" w:type="dxa"/>
              <w:end w:w="120" w:type="dxa"/>
            </w:tcMar>
          </w:tcPr>
          <w:p>
            <w:pPr>
              <w:spacing w:after="0" w:line="259" w:lineRule="auto"/>
            </w:pPr>
            <w:r>
              <w:rPr>
                <w:rFonts w:ascii="Calibri" w:hAnsi="Calibri"/>
                <w:color w:val="1D2530"/>
                <w:sz w:val="18"/>
              </w:rPr>
              <w:t>Sampler state, plots or persistence.</w:t>
            </w:r>
          </w:p>
        </w:tc>
      </w:tr>
      <w:tr>
        <w:trPr>
          <w:cantSplit w:val="true"/>
        </w:trPr>
        <w:tc>
          <w:tcPr>
            <w:tcW w:type="dxa" w:w="1450"/>
            <w:vAlign w:val="center"/>
            <w:tcMar>
              <w:top w:w="80" w:type="dxa"/>
              <w:bottom w:w="80" w:type="dxa"/>
              <w:start w:w="120" w:type="dxa"/>
              <w:end w:w="120" w:type="dxa"/>
            </w:tcMar>
          </w:tcPr>
          <w:p>
            <w:pPr>
              <w:spacing w:after="0" w:line="259" w:lineRule="auto"/>
            </w:pPr>
            <w:r>
              <w:rPr>
                <w:rFonts w:ascii="Calibri" w:hAnsi="Calibri"/>
                <w:color w:val="1D2530"/>
                <w:sz w:val="18"/>
              </w:rPr>
              <w:t>Proposal</w:t>
            </w:r>
          </w:p>
        </w:tc>
        <w:tc>
          <w:tcPr>
            <w:tcW w:type="dxa" w:w="4300"/>
            <w:vAlign w:val="center"/>
            <w:tcMar>
              <w:top w:w="80" w:type="dxa"/>
              <w:bottom w:w="80" w:type="dxa"/>
              <w:start w:w="120" w:type="dxa"/>
              <w:end w:w="120" w:type="dxa"/>
            </w:tcMar>
          </w:tcPr>
          <w:p>
            <w:pPr>
              <w:spacing w:after="0" w:line="259" w:lineRule="auto"/>
            </w:pPr>
            <w:r>
              <w:rPr>
                <w:rFonts w:ascii="Calibri" w:hAnsi="Calibri"/>
                <w:color w:val="1D2530"/>
                <w:sz w:val="18"/>
              </w:rPr>
              <w:t>`sample(n, rng)` and `log_prob(theta)` using the same normalized distribution.</w:t>
            </w:r>
          </w:p>
        </w:tc>
        <w:tc>
          <w:tcPr>
            <w:tcW w:type="dxa" w:w="3610"/>
            <w:vAlign w:val="center"/>
            <w:tcMar>
              <w:top w:w="80" w:type="dxa"/>
              <w:bottom w:w="80" w:type="dxa"/>
              <w:start w:w="120" w:type="dxa"/>
              <w:end w:w="120" w:type="dxa"/>
            </w:tcMar>
          </w:tcPr>
          <w:p>
            <w:pPr>
              <w:spacing w:after="0" w:line="259" w:lineRule="auto"/>
            </w:pPr>
            <w:r>
              <w:rPr>
                <w:rFonts w:ascii="Calibri" w:hAnsi="Calibri"/>
                <w:color w:val="1D2530"/>
                <w:sz w:val="18"/>
              </w:rPr>
              <w:t>Evidence estimation or likelihood evaluation.</w:t>
            </w:r>
          </w:p>
        </w:tc>
      </w:tr>
      <w:tr>
        <w:trPr>
          <w:cantSplit w:val="true"/>
        </w:trPr>
        <w:tc>
          <w:tcPr>
            <w:tcW w:type="dxa" w:w="1450"/>
            <w:vAlign w:val="center"/>
            <w:tcMar>
              <w:top w:w="80" w:type="dxa"/>
              <w:bottom w:w="80" w:type="dxa"/>
              <w:start w:w="120" w:type="dxa"/>
              <w:end w:w="120" w:type="dxa"/>
            </w:tcMar>
          </w:tcPr>
          <w:p>
            <w:pPr>
              <w:spacing w:after="0" w:line="259" w:lineRule="auto"/>
            </w:pPr>
            <w:r>
              <w:rPr>
                <w:rFonts w:ascii="Calibri" w:hAnsi="Calibri"/>
                <w:color w:val="1D2530"/>
                <w:sz w:val="18"/>
              </w:rPr>
              <w:t>Morph adapter</w:t>
            </w:r>
          </w:p>
        </w:tc>
        <w:tc>
          <w:tcPr>
            <w:tcW w:type="dxa" w:w="4300"/>
            <w:vAlign w:val="center"/>
            <w:tcMar>
              <w:top w:w="80" w:type="dxa"/>
              <w:bottom w:w="80" w:type="dxa"/>
              <w:start w:w="120" w:type="dxa"/>
              <w:end w:w="120" w:type="dxa"/>
            </w:tcMar>
          </w:tcPr>
          <w:p>
            <w:pPr>
              <w:spacing w:after="0" w:line="259" w:lineRule="auto"/>
            </w:pPr>
            <w:r>
              <w:rPr>
                <w:rFonts w:ascii="Calibri" w:hAnsi="Calibri"/>
                <w:color w:val="1D2530"/>
                <w:sz w:val="18"/>
              </w:rPr>
              <w:t>Wrap the supplied Morph implementation behind the Proposal interface; expose fit diagnostics separately.</w:t>
            </w:r>
          </w:p>
        </w:tc>
        <w:tc>
          <w:tcPr>
            <w:tcW w:type="dxa" w:w="3610"/>
            <w:vAlign w:val="center"/>
            <w:tcMar>
              <w:top w:w="80" w:type="dxa"/>
              <w:bottom w:w="80" w:type="dxa"/>
              <w:start w:w="120" w:type="dxa"/>
              <w:end w:w="120" w:type="dxa"/>
            </w:tcMar>
          </w:tcPr>
          <w:p>
            <w:pPr>
              <w:spacing w:after="0" w:line="259" w:lineRule="auto"/>
            </w:pPr>
            <w:r>
              <w:rPr>
                <w:rFonts w:ascii="Calibri" w:hAnsi="Calibri"/>
                <w:color w:val="1D2530"/>
                <w:sz w:val="18"/>
              </w:rPr>
              <w:t>Nested-sampling iteration control.</w:t>
            </w:r>
          </w:p>
        </w:tc>
      </w:tr>
      <w:tr>
        <w:trPr>
          <w:cantSplit w:val="true"/>
        </w:trPr>
        <w:tc>
          <w:tcPr>
            <w:tcW w:type="dxa" w:w="1450"/>
            <w:vAlign w:val="center"/>
            <w:tcMar>
              <w:top w:w="80" w:type="dxa"/>
              <w:bottom w:w="80" w:type="dxa"/>
              <w:start w:w="120" w:type="dxa"/>
              <w:end w:w="120" w:type="dxa"/>
            </w:tcMar>
          </w:tcPr>
          <w:p>
            <w:pPr>
              <w:spacing w:after="0" w:line="259" w:lineRule="auto"/>
            </w:pPr>
            <w:r>
              <w:rPr>
                <w:rFonts w:ascii="Calibri" w:hAnsi="Calibri"/>
                <w:color w:val="1D2530"/>
                <w:sz w:val="18"/>
              </w:rPr>
              <w:t>Sampler config</w:t>
            </w:r>
          </w:p>
        </w:tc>
        <w:tc>
          <w:tcPr>
            <w:tcW w:type="dxa" w:w="4300"/>
            <w:vAlign w:val="center"/>
            <w:tcMar>
              <w:top w:w="80" w:type="dxa"/>
              <w:bottom w:w="80" w:type="dxa"/>
              <w:start w:w="120" w:type="dxa"/>
              <w:end w:w="120" w:type="dxa"/>
            </w:tcMar>
          </w:tcPr>
          <w:p>
            <w:pPr>
              <w:spacing w:after="0" w:line="259" w:lineRule="auto"/>
            </w:pPr>
            <w:r>
              <w:rPr>
                <w:rFonts w:ascii="Calibri" w:hAnsi="Calibri"/>
                <w:color w:val="1D2530"/>
                <w:sz w:val="18"/>
              </w:rPr>
              <w:t>Validated immutable numerical and run settings.</w:t>
            </w:r>
          </w:p>
        </w:tc>
        <w:tc>
          <w:tcPr>
            <w:tcW w:type="dxa" w:w="3610"/>
            <w:vAlign w:val="center"/>
            <w:tcMar>
              <w:top w:w="80" w:type="dxa"/>
              <w:bottom w:w="80" w:type="dxa"/>
              <w:start w:w="120" w:type="dxa"/>
              <w:end w:w="120" w:type="dxa"/>
            </w:tcMar>
          </w:tcPr>
          <w:p>
            <w:pPr>
              <w:spacing w:after="0" w:line="259" w:lineRule="auto"/>
            </w:pPr>
            <w:r>
              <w:rPr>
                <w:rFonts w:ascii="Calibri" w:hAnsi="Calibri"/>
                <w:color w:val="1D2530"/>
                <w:sz w:val="18"/>
              </w:rPr>
              <w:t>Mutable histories or samples.</w:t>
            </w:r>
          </w:p>
        </w:tc>
      </w:tr>
      <w:tr>
        <w:trPr>
          <w:cantSplit w:val="true"/>
        </w:trPr>
        <w:tc>
          <w:tcPr>
            <w:tcW w:type="dxa" w:w="1450"/>
            <w:vAlign w:val="center"/>
            <w:tcMar>
              <w:top w:w="80" w:type="dxa"/>
              <w:bottom w:w="80" w:type="dxa"/>
              <w:start w:w="120" w:type="dxa"/>
              <w:end w:w="120" w:type="dxa"/>
            </w:tcMar>
          </w:tcPr>
          <w:p>
            <w:pPr>
              <w:spacing w:after="0" w:line="259" w:lineRule="auto"/>
            </w:pPr>
            <w:r>
              <w:rPr>
                <w:rFonts w:ascii="Calibri" w:hAnsi="Calibri"/>
                <w:color w:val="1D2530"/>
                <w:sz w:val="18"/>
              </w:rPr>
              <w:t>Sampler state</w:t>
            </w:r>
          </w:p>
        </w:tc>
        <w:tc>
          <w:tcPr>
            <w:tcW w:type="dxa" w:w="4300"/>
            <w:vAlign w:val="center"/>
            <w:tcMar>
              <w:top w:w="80" w:type="dxa"/>
              <w:bottom w:w="80" w:type="dxa"/>
              <w:start w:w="120" w:type="dxa"/>
              <w:end w:w="120" w:type="dxa"/>
            </w:tcMar>
          </w:tcPr>
          <w:p>
            <w:pPr>
              <w:spacing w:after="0" w:line="259" w:lineRule="auto"/>
            </w:pPr>
            <w:r>
              <w:rPr>
                <w:rFonts w:ascii="Calibri" w:hAnsi="Calibri"/>
                <w:color w:val="1D2530"/>
                <w:sz w:val="18"/>
              </w:rPr>
              <w:t>Live points, iteration counter, current threshold, RNG state and counters.</w:t>
            </w:r>
          </w:p>
        </w:tc>
        <w:tc>
          <w:tcPr>
            <w:tcW w:type="dxa" w:w="3610"/>
            <w:vAlign w:val="center"/>
            <w:tcMar>
              <w:top w:w="80" w:type="dxa"/>
              <w:bottom w:w="80" w:type="dxa"/>
              <w:start w:w="120" w:type="dxa"/>
              <w:end w:w="120" w:type="dxa"/>
            </w:tcMar>
          </w:tcPr>
          <w:p>
            <w:pPr>
              <w:spacing w:after="0" w:line="259" w:lineRule="auto"/>
            </w:pPr>
            <w:r>
              <w:rPr>
                <w:rFonts w:ascii="Calibri" w:hAnsi="Calibri"/>
                <w:color w:val="1D2530"/>
                <w:sz w:val="18"/>
              </w:rPr>
              <w:t>Formatting or plot construction.</w:t>
            </w:r>
          </w:p>
        </w:tc>
      </w:tr>
      <w:tr>
        <w:trPr>
          <w:cantSplit w:val="true"/>
        </w:trPr>
        <w:tc>
          <w:tcPr>
            <w:tcW w:type="dxa" w:w="1450"/>
            <w:vAlign w:val="center"/>
            <w:tcMar>
              <w:top w:w="80" w:type="dxa"/>
              <w:bottom w:w="80" w:type="dxa"/>
              <w:start w:w="120" w:type="dxa"/>
              <w:end w:w="120" w:type="dxa"/>
            </w:tcMar>
          </w:tcPr>
          <w:p>
            <w:pPr>
              <w:spacing w:after="0" w:line="259" w:lineRule="auto"/>
            </w:pPr>
            <w:r>
              <w:rPr>
                <w:rFonts w:ascii="Calibri" w:hAnsi="Calibri"/>
                <w:color w:val="1D2530"/>
                <w:sz w:val="18"/>
              </w:rPr>
              <w:t>Result</w:t>
            </w:r>
          </w:p>
        </w:tc>
        <w:tc>
          <w:tcPr>
            <w:tcW w:type="dxa" w:w="4300"/>
            <w:vAlign w:val="center"/>
            <w:tcMar>
              <w:top w:w="80" w:type="dxa"/>
              <w:bottom w:w="80" w:type="dxa"/>
              <w:start w:w="120" w:type="dxa"/>
              <w:end w:w="120" w:type="dxa"/>
            </w:tcMar>
          </w:tcPr>
          <w:p>
            <w:pPr>
              <w:spacing w:after="0" w:line="259" w:lineRule="auto"/>
            </w:pPr>
            <w:r>
              <w:rPr>
                <w:rFonts w:ascii="Calibri" w:hAnsi="Calibri"/>
                <w:color w:val="1D2530"/>
                <w:sz w:val="18"/>
              </w:rPr>
              <w:t>Immutable outputs, histories, warnings and metadata.</w:t>
            </w:r>
          </w:p>
        </w:tc>
        <w:tc>
          <w:tcPr>
            <w:tcW w:type="dxa" w:w="3610"/>
            <w:vAlign w:val="center"/>
            <w:tcMar>
              <w:top w:w="80" w:type="dxa"/>
              <w:bottom w:w="80" w:type="dxa"/>
              <w:start w:w="120" w:type="dxa"/>
              <w:end w:w="120" w:type="dxa"/>
            </w:tcMar>
          </w:tcPr>
          <w:p>
            <w:pPr>
              <w:spacing w:after="0" w:line="259" w:lineRule="auto"/>
            </w:pPr>
            <w:r>
              <w:rPr>
                <w:rFonts w:ascii="Calibri" w:hAnsi="Calibri"/>
                <w:color w:val="1D2530"/>
                <w:sz w:val="18"/>
              </w:rPr>
              <w:t>Continuing mutation of a live run.</w:t>
            </w:r>
          </w:p>
        </w:tc>
      </w:tr>
      <w:tr>
        <w:trPr>
          <w:cantSplit w:val="true"/>
        </w:trPr>
        <w:tc>
          <w:tcPr>
            <w:tcW w:type="dxa" w:w="1450"/>
            <w:vAlign w:val="center"/>
            <w:tcMar>
              <w:top w:w="80" w:type="dxa"/>
              <w:bottom w:w="80" w:type="dxa"/>
              <w:start w:w="120" w:type="dxa"/>
              <w:end w:w="120" w:type="dxa"/>
            </w:tcMar>
          </w:tcPr>
          <w:p>
            <w:pPr>
              <w:spacing w:after="0" w:line="259" w:lineRule="auto"/>
            </w:pPr>
            <w:r>
              <w:rPr>
                <w:rFonts w:ascii="Calibri" w:hAnsi="Calibri"/>
                <w:color w:val="1D2530"/>
                <w:sz w:val="18"/>
              </w:rPr>
              <w:t>Evidence functions</w:t>
            </w:r>
          </w:p>
        </w:tc>
        <w:tc>
          <w:tcPr>
            <w:tcW w:type="dxa" w:w="4300"/>
            <w:vAlign w:val="center"/>
            <w:tcMar>
              <w:top w:w="80" w:type="dxa"/>
              <w:bottom w:w="80" w:type="dxa"/>
              <w:start w:w="120" w:type="dxa"/>
              <w:end w:w="120" w:type="dxa"/>
            </w:tcMar>
          </w:tcPr>
          <w:p>
            <w:pPr>
              <w:spacing w:after="0" w:line="259" w:lineRule="auto"/>
            </w:pPr>
            <w:r>
              <w:rPr>
                <w:rFonts w:ascii="Calibri" w:hAnsi="Calibri"/>
                <w:color w:val="1D2530"/>
                <w:sz w:val="18"/>
              </w:rPr>
              <w:t>Pure log-space quadrature/weight calculations and uncertainty helpers.</w:t>
            </w:r>
          </w:p>
        </w:tc>
        <w:tc>
          <w:tcPr>
            <w:tcW w:type="dxa" w:w="3610"/>
            <w:vAlign w:val="center"/>
            <w:tcMar>
              <w:top w:w="80" w:type="dxa"/>
              <w:bottom w:w="80" w:type="dxa"/>
              <w:start w:w="120" w:type="dxa"/>
              <w:end w:w="120" w:type="dxa"/>
            </w:tcMar>
          </w:tcPr>
          <w:p>
            <w:pPr>
              <w:spacing w:after="0" w:line="259" w:lineRule="auto"/>
            </w:pPr>
            <w:r>
              <w:rPr>
                <w:rFonts w:ascii="Calibri" w:hAnsi="Calibri"/>
                <w:color w:val="1D2530"/>
                <w:sz w:val="18"/>
              </w:rPr>
              <w:t>Proposal training or filesystem access.</w:t>
            </w:r>
          </w:p>
        </w:tc>
      </w:tr>
    </w:tbl>
    <w:p>
      <w:pPr>
        <w:spacing w:after="20"/>
      </w:pPr>
    </w:p>
    <w:p>
      <w:pPr>
        <w:pStyle w:val="Heading2"/>
      </w:pPr>
      <w:r>
        <w:t>3.5 Phase 1 implementation sequence</w:t>
      </w:r>
    </w:p>
    <w:p>
      <w:pPr>
        <w:pStyle w:val="ListNumber"/>
        <w:spacing w:after="80" w:line="300" w:lineRule="auto"/>
      </w:pPr>
      <w:r>
        <w:t>Inspect the supplied repository and inventory reusable algorithms, notebooks, package metadata and existing tests. Record conflicts and avoid destructive rewrites.</w:t>
      </w:r>
    </w:p>
    <w:p>
      <w:pPr>
        <w:pStyle w:val="ListNumber"/>
        <w:spacing w:after="80" w:line="300" w:lineRule="auto"/>
      </w:pPr>
      <w:r>
        <w:t>Create or update the package skeleton and `pyproject.toml`.</w:t>
      </w:r>
    </w:p>
    <w:p>
      <w:pPr>
        <w:pStyle w:val="ListNumber"/>
        <w:spacing w:after="80" w:line="300" w:lineRule="auto"/>
      </w:pPr>
      <w:r>
        <w:t>Implement the public protocols, configuration objects, custom exceptions and a minimal import surface.</w:t>
      </w:r>
    </w:p>
    <w:p>
      <w:pPr>
        <w:pStyle w:val="ListNumber"/>
        <w:spacing w:after="80" w:line="300" w:lineRule="auto"/>
      </w:pPr>
      <w:r>
        <w:t>Add a tiny deterministic smoke model and stub proposal used only to validate wiring.</w:t>
      </w:r>
    </w:p>
    <w:p>
      <w:pPr>
        <w:pStyle w:val="ListNumber"/>
        <w:spacing w:after="80" w:line="300" w:lineRule="auto"/>
      </w:pPr>
      <w:r>
        <w:t>Write tests for model validation, RNG reproducibility, invalid shapes, non-finite values and imports.</w:t>
      </w:r>
    </w:p>
    <w:p>
      <w:pPr>
        <w:pStyle w:val="ListNumber"/>
        <w:spacing w:after="80" w:line="300" w:lineRule="auto"/>
      </w:pPr>
      <w:r>
        <w:t>Write the architecture and mathematical-contract documents before Phase 2 begins.</w:t>
      </w:r>
    </w:p>
    <w:p>
      <w:pPr>
        <w:pStyle w:val="ListNumber"/>
        <w:spacing w:after="80" w:line="300" w:lineRule="auto"/>
      </w:pPr>
      <w:r>
        <w:t>Build the source distribution and wheel.</w:t>
      </w:r>
    </w:p>
    <w:p>
      <w:pPr>
        <w:pStyle w:val="ListNumber"/>
        <w:spacing w:after="80" w:line="300" w:lineRule="auto"/>
      </w:pPr>
      <w:r>
        <w:t>Install the wheel in a clean temporary environment and run tests from outside the repository root.</w:t>
      </w:r>
    </w:p>
    <w:p>
      <w:pPr>
        <w:pStyle w:val="ListNumber"/>
        <w:spacing w:after="80" w:line="300" w:lineRule="auto"/>
      </w:pPr>
      <w:r>
        <w:t>Run metadata checks and save all commands/results in `docs/phases/phase_1.md`.</w:t>
      </w:r>
    </w:p>
    <w:p>
      <w:pPr>
        <w:pStyle w:val="Heading2"/>
      </w:pPr>
      <w:r>
        <w:t>3.6 Required verification commands</w:t>
      </w:r>
    </w:p>
    <w:p>
      <w:pPr>
        <w:spacing w:before="60" w:after="140" w:line="252" w:lineRule="auto"/>
        <w:ind w:left="317" w:right="216"/>
        <w:shd w:fill="F5F7FA"/>
      </w:pPr>
      <w:r>
        <w:rPr>
          <w:rFonts w:ascii="Consolas" w:hAnsi="Consolas"/>
          <w:color w:val="1D2530"/>
          <w:sz w:val="18"/>
        </w:rPr>
        <w:t>python -m pip install -e ".[dev]"</w:t>
      </w:r>
      <w:r>
        <w:br/>
      </w:r>
      <w:r>
        <w:rPr>
          <w:rFonts w:ascii="Consolas" w:hAnsi="Consolas"/>
          <w:color w:val="1D2530"/>
          <w:sz w:val="18"/>
        </w:rPr>
        <w:t>python -m pytest -m "not slow"</w:t>
      </w:r>
      <w:r>
        <w:br/>
      </w:r>
      <w:r>
        <w:rPr>
          <w:rFonts w:ascii="Consolas" w:hAnsi="Consolas"/>
          <w:color w:val="1D2530"/>
          <w:sz w:val="18"/>
        </w:rPr>
        <w:t>python -m ruff format --check .</w:t>
      </w:r>
      <w:r>
        <w:br/>
      </w:r>
      <w:r>
        <w:rPr>
          <w:rFonts w:ascii="Consolas" w:hAnsi="Consolas"/>
          <w:color w:val="1D2530"/>
          <w:sz w:val="18"/>
        </w:rPr>
        <w:t>python -m ruff check .</w:t>
      </w:r>
      <w:r>
        <w:br/>
      </w:r>
      <w:r>
        <w:rPr>
          <w:rFonts w:ascii="Consolas" w:hAnsi="Consolas"/>
          <w:color w:val="1D2530"/>
          <w:sz w:val="18"/>
        </w:rPr>
        <w:t>python -m build</w:t>
      </w:r>
      <w:r>
        <w:br/>
      </w:r>
      <w:r>
        <w:rPr>
          <w:rFonts w:ascii="Consolas" w:hAnsi="Consolas"/>
          <w:color w:val="1D2530"/>
          <w:sz w:val="18"/>
        </w:rPr>
        <w:t>python -m twine check dist/*</w:t>
      </w:r>
      <w:r>
        <w:br/>
      </w:r>
      <w:r>
        <w:rPr>
          <w:rFonts w:ascii="Consolas" w:hAnsi="Consolas"/>
          <w:color w:val="1D2530"/>
          <w:sz w:val="18"/>
        </w:rPr>
      </w:r>
      <w:r>
        <w:br/>
      </w:r>
      <w:r>
        <w:rPr>
          <w:rFonts w:ascii="Consolas" w:hAnsi="Consolas"/>
          <w:color w:val="1D2530"/>
          <w:sz w:val="18"/>
        </w:rPr>
        <w:t># Then create a clean temporary environment, install the wheel,</w:t>
      </w:r>
      <w:r>
        <w:br/>
      </w:r>
      <w:r>
        <w:rPr>
          <w:rFonts w:ascii="Consolas" w:hAnsi="Consolas"/>
          <w:color w:val="1D2530"/>
          <w:sz w:val="18"/>
        </w:rPr>
        <w:t># import `mins` outside the repository root and run the smoke test.</w:t>
      </w:r>
    </w:p>
    <w:p>
      <w:pPr>
        <w:pStyle w:val="Heading2"/>
      </w:pPr>
      <w:r>
        <w:t>3.7 Phase 1 acceptance gate</w:t>
      </w:r>
    </w:p>
    <w:p>
      <w:pPr>
        <w:pStyle w:val="ListBullet"/>
        <w:spacing w:after="80" w:line="300" w:lineRule="auto"/>
      </w:pPr>
      <w:r>
        <w:t>Wheel and source distribution build without warnings that indicate missing metadata or package files.</w:t>
      </w:r>
    </w:p>
    <w:p>
      <w:pPr>
        <w:pStyle w:val="ListBullet"/>
        <w:spacing w:after="80" w:line="300" w:lineRule="auto"/>
      </w:pPr>
      <w:r>
        <w:t>The wheel installs into a clean environment and `import mins` resolves to the installed package.</w:t>
      </w:r>
    </w:p>
    <w:p>
      <w:pPr>
        <w:pStyle w:val="ListBullet"/>
        <w:spacing w:after="80" w:line="300" w:lineRule="auto"/>
      </w:pPr>
      <w:r>
        <w:t>Fast tests and configured lint/type checks pass.</w:t>
      </w:r>
    </w:p>
    <w:p>
      <w:pPr>
        <w:pStyle w:val="ListBullet"/>
        <w:spacing w:after="80" w:line="300" w:lineRule="auto"/>
      </w:pPr>
      <w:r>
        <w:t>No notebook, benchmark data or development-only dependency leaks into the core runtime unintentionally.</w:t>
      </w:r>
    </w:p>
    <w:p>
      <w:pPr>
        <w:pStyle w:val="ListBullet"/>
        <w:spacing w:after="80" w:line="300" w:lineRule="auto"/>
      </w:pPr>
      <w:r>
        <w:t>README contains a clearly labelled development-status example, installation instructions and a minimal API sketch.</w:t>
      </w:r>
    </w:p>
    <w:p>
      <w:pPr>
        <w:pStyle w:val="ListBullet"/>
        <w:spacing w:after="80" w:line="300" w:lineRule="auto"/>
      </w:pPr>
      <w:r>
        <w:t>`docs/phases/phase_1.md` records what was created, commands run, results, deviations and unresolved questions.</w:t>
      </w:r>
    </w:p>
    <w:p>
      <w:pPr>
        <w:pStyle w:val="ListBullet"/>
        <w:spacing w:after="80" w:line="300" w:lineRule="auto"/>
      </w:pPr>
      <w:r>
        <w:t>No PyPI or TestPyPI upload has occurred.</w:t>
      </w:r>
    </w:p>
    <w:p>
      <w:pPr>
        <w:pStyle w:val="Heading1"/>
      </w:pPr>
      <w:r>
        <w:t>4. Phase 2 - Minimal standard nested sampling with Morph</w:t>
      </w:r>
    </w:p>
    <w:p>
      <w:r>
        <w:t>Goal: implement the simplest disentangled sampler that exercises the supplied central algorithm and non-defensive Morph approximation. The purpose is to discover correctness, stability and interface problems early. This phase is explicitly experimental.</w:t>
      </w:r>
    </w:p>
    <w:p>
      <w:pPr>
        <w:pStyle w:val="Heading2"/>
      </w:pPr>
      <w:r>
        <w:t>4.1 Scope boundary</w:t>
      </w:r>
    </w:p>
    <w:tbl>
      <w:tblPr>
        <w:tblStyle w:val="TableGrid"/>
        <w:tblW w:type="dxa" w:w="9360"/>
        <w:jc w:val="left"/>
        <w:tblLayout w:type="fixed"/>
        <w:tblLook w:firstColumn="1" w:firstRow="1" w:lastColumn="0" w:lastRow="0" w:noHBand="0" w:noVBand="1" w:val="04A0"/>
        <w:tblInd w:type="dxa" w:w="120"/>
      </w:tblPr>
      <w:tblGrid>
        <w:gridCol w:w="4680"/>
        <w:gridCol w:w="4680"/>
      </w:tblGrid>
      <w:tr>
        <w:trPr>
          <w:tblHeader w:val="true"/>
          <w:cantSplit w:val="true"/>
        </w:trPr>
        <w:tc>
          <w:tcPr>
            <w:tcW w:type="dxa" w:w="4680"/>
            <w:shd w:fill="E8EEF5"/>
            <w:vAlign w:val="center"/>
            <w:tcMar>
              <w:top w:w="80" w:type="dxa"/>
              <w:bottom w:w="80" w:type="dxa"/>
              <w:start w:w="120" w:type="dxa"/>
              <w:end w:w="120" w:type="dxa"/>
            </w:tcMar>
          </w:tcPr>
          <w:p>
            <w:pPr>
              <w:spacing w:after="0"/>
              <w:jc w:val="left"/>
            </w:pPr>
            <w:r>
              <w:rPr>
                <w:rFonts w:ascii="Calibri" w:hAnsi="Calibri"/>
                <w:b/>
                <w:color w:val="1F4D78"/>
                <w:sz w:val="19"/>
              </w:rPr>
              <w:t>In scope</w:t>
            </w:r>
          </w:p>
        </w:tc>
        <w:tc>
          <w:tcPr>
            <w:tcW w:type="dxa" w:w="4680"/>
            <w:shd w:fill="E8EEF5"/>
            <w:vAlign w:val="center"/>
            <w:tcMar>
              <w:top w:w="80" w:type="dxa"/>
              <w:bottom w:w="80" w:type="dxa"/>
              <w:start w:w="120" w:type="dxa"/>
              <w:end w:w="120" w:type="dxa"/>
            </w:tcMar>
          </w:tcPr>
          <w:p>
            <w:pPr>
              <w:spacing w:after="0"/>
              <w:jc w:val="left"/>
            </w:pPr>
            <w:r>
              <w:rPr>
                <w:rFonts w:ascii="Calibri" w:hAnsi="Calibri"/>
                <w:b/>
                <w:color w:val="1F4D78"/>
                <w:sz w:val="19"/>
              </w:rPr>
              <w:t>Out of scope</w:t>
            </w:r>
          </w:p>
        </w:tc>
      </w:tr>
      <w:tr>
        <w:trPr>
          <w:cantSplit w:val="true"/>
        </w:trPr>
        <w:tc>
          <w:tcPr>
            <w:tcW w:type="dxa" w:w="4680"/>
            <w:vAlign w:val="center"/>
            <w:tcMar>
              <w:top w:w="80" w:type="dxa"/>
              <w:bottom w:w="80" w:type="dxa"/>
              <w:start w:w="120" w:type="dxa"/>
              <w:end w:w="120" w:type="dxa"/>
            </w:tcMar>
          </w:tcPr>
          <w:p>
            <w:pPr>
              <w:spacing w:after="0" w:line="259" w:lineRule="auto"/>
            </w:pPr>
            <w:r>
              <w:rPr>
                <w:rFonts w:ascii="Calibri" w:hAnsi="Calibri"/>
                <w:color w:val="1D2530"/>
                <w:sz w:val="18"/>
              </w:rPr>
              <w:t>Static live-point count and a single clear stopping rule.</w:t>
            </w:r>
          </w:p>
        </w:tc>
        <w:tc>
          <w:tcPr>
            <w:tcW w:type="dxa" w:w="4680"/>
            <w:vAlign w:val="center"/>
            <w:tcMar>
              <w:top w:w="80" w:type="dxa"/>
              <w:bottom w:w="80" w:type="dxa"/>
              <w:start w:w="120" w:type="dxa"/>
              <w:end w:w="120" w:type="dxa"/>
            </w:tcMar>
          </w:tcPr>
          <w:p>
            <w:pPr>
              <w:spacing w:after="0" w:line="259" w:lineRule="auto"/>
            </w:pPr>
            <w:r>
              <w:rPr>
                <w:rFonts w:ascii="Calibri" w:hAnsi="Calibri"/>
                <w:color w:val="1D2530"/>
                <w:sz w:val="18"/>
              </w:rPr>
              <w:t>Defensive prior mixture or adaptive defensive fraction.</w:t>
            </w:r>
          </w:p>
        </w:tc>
      </w:tr>
      <w:tr>
        <w:trPr>
          <w:cantSplit w:val="true"/>
        </w:trPr>
        <w:tc>
          <w:tcPr>
            <w:tcW w:type="dxa" w:w="4680"/>
            <w:vAlign w:val="center"/>
            <w:tcMar>
              <w:top w:w="80" w:type="dxa"/>
              <w:bottom w:w="80" w:type="dxa"/>
              <w:start w:w="120" w:type="dxa"/>
              <w:end w:w="120" w:type="dxa"/>
            </w:tcMar>
          </w:tcPr>
          <w:p>
            <w:pPr>
              <w:spacing w:after="0" w:line="259" w:lineRule="auto"/>
            </w:pPr>
            <w:r>
              <w:rPr>
                <w:rFonts w:ascii="Calibri" w:hAnsi="Calibri"/>
                <w:color w:val="1D2530"/>
                <w:sz w:val="18"/>
              </w:rPr>
              <w:t>The supplied standard/naive Morph algorithm.</w:t>
            </w:r>
          </w:p>
        </w:tc>
        <w:tc>
          <w:tcPr>
            <w:tcW w:type="dxa" w:w="4680"/>
            <w:vAlign w:val="center"/>
            <w:tcMar>
              <w:top w:w="80" w:type="dxa"/>
              <w:bottom w:w="80" w:type="dxa"/>
              <w:start w:w="120" w:type="dxa"/>
              <w:end w:w="120" w:type="dxa"/>
            </w:tcMar>
          </w:tcPr>
          <w:p>
            <w:pPr>
              <w:spacing w:after="0" w:line="259" w:lineRule="auto"/>
            </w:pPr>
            <w:r>
              <w:rPr>
                <w:rFonts w:ascii="Calibri" w:hAnsi="Calibri"/>
                <w:color w:val="1D2530"/>
                <w:sz w:val="18"/>
              </w:rPr>
              <w:t>Meta-proposal importance nested sampling and exploration-sample reuse.</w:t>
            </w:r>
          </w:p>
        </w:tc>
      </w:tr>
      <w:tr>
        <w:trPr>
          <w:cantSplit w:val="true"/>
        </w:trPr>
        <w:tc>
          <w:tcPr>
            <w:tcW w:type="dxa" w:w="4680"/>
            <w:vAlign w:val="center"/>
            <w:tcMar>
              <w:top w:w="80" w:type="dxa"/>
              <w:bottom w:w="80" w:type="dxa"/>
              <w:start w:w="120" w:type="dxa"/>
              <w:end w:w="120" w:type="dxa"/>
            </w:tcMar>
          </w:tcPr>
          <w:p>
            <w:pPr>
              <w:spacing w:after="0" w:line="259" w:lineRule="auto"/>
            </w:pPr>
            <w:r>
              <w:rPr>
                <w:rFonts w:ascii="Calibri" w:hAnsi="Calibri"/>
                <w:color w:val="1D2530"/>
                <w:sz w:val="18"/>
              </w:rPr>
              <w:t>Exact proposal-density bookkeeping required by that algorithm.</w:t>
            </w:r>
          </w:p>
        </w:tc>
        <w:tc>
          <w:tcPr>
            <w:tcW w:type="dxa" w:w="4680"/>
            <w:vAlign w:val="center"/>
            <w:tcMar>
              <w:top w:w="80" w:type="dxa"/>
              <w:bottom w:w="80" w:type="dxa"/>
              <w:start w:w="120" w:type="dxa"/>
              <w:end w:w="120" w:type="dxa"/>
            </w:tcMar>
          </w:tcPr>
          <w:p>
            <w:pPr>
              <w:spacing w:after="0" w:line="259" w:lineRule="auto"/>
            </w:pPr>
            <w:r>
              <w:rPr>
                <w:rFonts w:ascii="Calibri" w:hAnsi="Calibri"/>
                <w:color w:val="1D2530"/>
                <w:sz w:val="18"/>
              </w:rPr>
              <w:t>Frozen production redraw unless already essential to the supplied Phase 2 algorithm.</w:t>
            </w:r>
          </w:p>
        </w:tc>
      </w:tr>
      <w:tr>
        <w:trPr>
          <w:cantSplit w:val="true"/>
        </w:trPr>
        <w:tc>
          <w:tcPr>
            <w:tcW w:type="dxa" w:w="4680"/>
            <w:vAlign w:val="center"/>
            <w:tcMar>
              <w:top w:w="80" w:type="dxa"/>
              <w:bottom w:w="80" w:type="dxa"/>
              <w:start w:w="120" w:type="dxa"/>
              <w:end w:w="120" w:type="dxa"/>
            </w:tcMar>
          </w:tcPr>
          <w:p>
            <w:pPr>
              <w:spacing w:after="0" w:line="259" w:lineRule="auto"/>
            </w:pPr>
            <w:r>
              <w:rPr>
                <w:rFonts w:ascii="Calibri" w:hAnsi="Calibri"/>
                <w:color w:val="1D2530"/>
                <w:sz w:val="18"/>
              </w:rPr>
              <w:t>Minimal evidence, ESS/weight and run-health diagnostics.</w:t>
            </w:r>
          </w:p>
        </w:tc>
        <w:tc>
          <w:tcPr>
            <w:tcW w:type="dxa" w:w="4680"/>
            <w:vAlign w:val="center"/>
            <w:tcMar>
              <w:top w:w="80" w:type="dxa"/>
              <w:bottom w:w="80" w:type="dxa"/>
              <w:start w:w="120" w:type="dxa"/>
              <w:end w:w="120" w:type="dxa"/>
            </w:tcMar>
          </w:tcPr>
          <w:p>
            <w:pPr>
              <w:spacing w:after="0" w:line="259" w:lineRule="auto"/>
            </w:pPr>
            <w:r>
              <w:rPr>
                <w:rFonts w:ascii="Calibri" w:hAnsi="Calibri"/>
                <w:color w:val="1D2530"/>
                <w:sz w:val="18"/>
              </w:rPr>
              <w:t>Full plot suite, Pareto smoothing, mode tracking and advanced convergence claims.</w:t>
            </w:r>
          </w:p>
        </w:tc>
      </w:tr>
      <w:tr>
        <w:trPr>
          <w:cantSplit w:val="true"/>
        </w:trPr>
        <w:tc>
          <w:tcPr>
            <w:tcW w:type="dxa" w:w="4680"/>
            <w:vAlign w:val="center"/>
            <w:tcMar>
              <w:top w:w="80" w:type="dxa"/>
              <w:bottom w:w="80" w:type="dxa"/>
              <w:start w:w="120" w:type="dxa"/>
              <w:end w:w="120" w:type="dxa"/>
            </w:tcMar>
          </w:tcPr>
          <w:p>
            <w:pPr>
              <w:spacing w:after="0" w:line="259" w:lineRule="auto"/>
            </w:pPr>
            <w:r>
              <w:rPr>
                <w:rFonts w:ascii="Calibri" w:hAnsi="Calibri"/>
                <w:color w:val="1D2530"/>
                <w:sz w:val="18"/>
              </w:rPr>
              <w:t>Small analytic and regression benchmarks.</w:t>
            </w:r>
          </w:p>
        </w:tc>
        <w:tc>
          <w:tcPr>
            <w:tcW w:type="dxa" w:w="4680"/>
            <w:vAlign w:val="center"/>
            <w:tcMar>
              <w:top w:w="80" w:type="dxa"/>
              <w:bottom w:w="80" w:type="dxa"/>
              <w:start w:w="120" w:type="dxa"/>
              <w:end w:w="120" w:type="dxa"/>
            </w:tcMar>
          </w:tcPr>
          <w:p>
            <w:pPr>
              <w:spacing w:after="0" w:line="259" w:lineRule="auto"/>
            </w:pPr>
            <w:r>
              <w:rPr>
                <w:rFonts w:ascii="Calibri" w:hAnsi="Calibri"/>
                <w:color w:val="1D2530"/>
                <w:sz w:val="18"/>
              </w:rPr>
              <w:t>Performance optimization, GPU, MPI or distributed execution.</w:t>
            </w:r>
          </w:p>
        </w:tc>
      </w:tr>
      <w:tr>
        <w:trPr>
          <w:cantSplit w:val="true"/>
        </w:trPr>
        <w:tc>
          <w:tcPr>
            <w:tcW w:type="dxa" w:w="4680"/>
            <w:vAlign w:val="center"/>
            <w:tcMar>
              <w:top w:w="80" w:type="dxa"/>
              <w:bottom w:w="80" w:type="dxa"/>
              <w:start w:w="120" w:type="dxa"/>
              <w:end w:w="120" w:type="dxa"/>
            </w:tcMar>
          </w:tcPr>
          <w:p>
            <w:pPr>
              <w:spacing w:after="0" w:line="259" w:lineRule="auto"/>
            </w:pPr>
            <w:r>
              <w:rPr>
                <w:rFonts w:ascii="Calibri" w:hAnsi="Calibri"/>
                <w:color w:val="1D2530"/>
                <w:sz w:val="18"/>
              </w:rPr>
              <w:t>A serial reference implementation.</w:t>
            </w:r>
          </w:p>
        </w:tc>
        <w:tc>
          <w:tcPr>
            <w:tcW w:type="dxa" w:w="4680"/>
            <w:vAlign w:val="center"/>
            <w:tcMar>
              <w:top w:w="80" w:type="dxa"/>
              <w:bottom w:w="80" w:type="dxa"/>
              <w:start w:w="120" w:type="dxa"/>
              <w:end w:w="120" w:type="dxa"/>
            </w:tcMar>
          </w:tcPr>
          <w:p>
            <w:pPr>
              <w:spacing w:after="0" w:line="259" w:lineRule="auto"/>
            </w:pPr>
            <w:r>
              <w:rPr>
                <w:rFonts w:ascii="Calibri" w:hAnsi="Calibri"/>
                <w:color w:val="1D2530"/>
                <w:sz w:val="18"/>
              </w:rPr>
              <w:t>Public API stability guarantees or PyPI publication.</w:t>
            </w:r>
          </w:p>
        </w:tc>
      </w:tr>
    </w:tbl>
    <w:p>
      <w:pPr>
        <w:spacing w:after="20"/>
      </w:pPr>
    </w:p>
    <w:p>
      <w:pPr>
        <w:pStyle w:val="Heading2"/>
      </w:pPr>
      <w:r>
        <w:t>4.2 Mathematical contract must be written first</w:t>
      </w:r>
    </w:p>
    <w:p>
      <w:r>
        <w:t>Before coding the loop, add `docs/mathematical_contract.md` with explicit answers to the following questions:</w:t>
      </w:r>
    </w:p>
    <w:p>
      <w:pPr>
        <w:pStyle w:val="ListBullet"/>
        <w:spacing w:after="80" w:line="300" w:lineRule="auto"/>
      </w:pPr>
      <w:r>
        <w:t>What is the base measure or prior from which nested sampling contracts mass?</w:t>
      </w:r>
    </w:p>
    <w:p>
      <w:pPr>
        <w:pStyle w:val="ListBullet"/>
        <w:spacing w:after="80" w:line="300" w:lineRule="auto"/>
      </w:pPr>
      <w:r>
        <w:t>What density does Morph represent, and on what support is it normalized?</w:t>
      </w:r>
    </w:p>
    <w:p>
      <w:pPr>
        <w:pStyle w:val="ListBullet"/>
        <w:spacing w:after="80" w:line="300" w:lineRule="auto"/>
      </w:pPr>
      <w:r>
        <w:t>How are Morph training samples selected at each iteration or level?</w:t>
      </w:r>
    </w:p>
    <w:p>
      <w:pPr>
        <w:pStyle w:val="ListBullet"/>
        <w:spacing w:after="80" w:line="300" w:lineRule="auto"/>
      </w:pPr>
      <w:r>
        <w:t>How is a replacement point generated, and what distribution should it follow?</w:t>
      </w:r>
    </w:p>
    <w:p>
      <w:pPr>
        <w:pStyle w:val="ListBullet"/>
        <w:spacing w:after="80" w:line="300" w:lineRule="auto"/>
      </w:pPr>
      <w:r>
        <w:t>If a transformed likelihood is used, write its exact formula and the support conditions under which the evidence identity is valid.</w:t>
      </w:r>
    </w:p>
    <w:p>
      <w:pPr>
        <w:pStyle w:val="ListBullet"/>
        <w:spacing w:after="80" w:line="300" w:lineRule="auto"/>
      </w:pPr>
      <w:r>
        <w:t>If an importance or Metropolis-Hastings correction is used, write the exact log-ratio.</w:t>
      </w:r>
    </w:p>
    <w:p>
      <w:pPr>
        <w:pStyle w:val="ListBullet"/>
        <w:spacing w:after="80" w:line="300" w:lineRule="auto"/>
      </w:pPr>
      <w:r>
        <w:t>Which samples contribute to the evidence estimate, with which quadrature or importance weights?</w:t>
      </w:r>
    </w:p>
    <w:p>
      <w:pPr>
        <w:pStyle w:val="ListBullet"/>
        <w:spacing w:after="80" w:line="300" w:lineRule="auto"/>
      </w:pPr>
      <w:r>
        <w:t>What stopping rule is used, and what is only a diagnostic rather than a proof of convergence?</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CE8E6"/>
            <w:tcBorders>
              <w:top w:val="single" w:sz="6" w:color="FCE8E6"/>
              <w:left w:val="single" w:sz="6" w:color="FCE8E6"/>
              <w:bottom w:val="single" w:sz="6" w:color="FCE8E6"/>
              <w:right w:val="single" w:sz="6" w:color="FCE8E6"/>
              <w:insideH w:val="single" w:sz="6" w:color="FCE8E6"/>
              <w:insideV w:val="single" w:sz="6" w:color="FCE8E6"/>
            </w:tcBorders>
            <w:vAlign w:val="center"/>
            <w:tcMar>
              <w:top w:w="80" w:type="dxa"/>
              <w:bottom w:w="80" w:type="dxa"/>
              <w:start w:w="120" w:type="dxa"/>
              <w:end w:w="120" w:type="dxa"/>
            </w:tcMar>
          </w:tcPr>
          <w:p>
            <w:pPr>
              <w:spacing w:before="40" w:after="40" w:line="276" w:lineRule="auto"/>
            </w:pPr>
            <w:r>
              <w:rPr>
                <w:rFonts w:ascii="Calibri" w:hAnsi="Calibri"/>
                <w:b/>
                <w:color w:val="1F4D78"/>
              </w:rPr>
              <w:t xml:space="preserve">No ambiguity rule: </w:t>
            </w:r>
            <w:r>
              <w:t>If the supplied algorithm does not answer one of these questions, stop at that point and ask the project owner. Do not fill a statistical gap with an implementation convenience.</w:t>
            </w:r>
          </w:p>
        </w:tc>
      </w:tr>
    </w:tbl>
    <w:p>
      <w:pPr>
        <w:spacing w:after="20"/>
      </w:pPr>
    </w:p>
    <w:p>
      <w:pPr>
        <w:pStyle w:val="Heading2"/>
      </w:pPr>
      <w:r>
        <w:t>4.3 Reference sampler state machine</w:t>
      </w:r>
    </w:p>
    <w:p>
      <w:r>
        <w:t>Use the following only as structural scaffolding. Replace the proposal/weighting details with the project owner's exact algorithm.</w:t>
      </w:r>
    </w:p>
    <w:p>
      <w:pPr>
        <w:spacing w:before="60" w:after="140" w:line="252" w:lineRule="auto"/>
        <w:ind w:left="317" w:right="216"/>
        <w:shd w:fill="F5F7FA"/>
      </w:pPr>
      <w:r>
        <w:rPr>
          <w:rFonts w:ascii="Consolas" w:hAnsi="Consolas"/>
          <w:color w:val="1D2530"/>
          <w:sz w:val="18"/>
        </w:rPr>
        <w:t>validate model, configuration and Morph adapter</w:t>
      </w:r>
      <w:r>
        <w:br/>
      </w:r>
      <w:r>
        <w:rPr>
          <w:rFonts w:ascii="Consolas" w:hAnsi="Consolas"/>
          <w:color w:val="1D2530"/>
          <w:sz w:val="18"/>
        </w:rPr>
        <w:t>spawn the run RNG</w:t>
      </w:r>
      <w:r>
        <w:br/>
      </w:r>
      <w:r>
        <w:rPr>
          <w:rFonts w:ascii="Consolas" w:hAnsi="Consolas"/>
          <w:color w:val="1D2530"/>
          <w:sz w:val="18"/>
        </w:rPr>
        <w:t>draw n_live initial points from the declared base distribution</w:t>
      </w:r>
      <w:r>
        <w:br/>
      </w:r>
      <w:r>
        <w:rPr>
          <w:rFonts w:ascii="Consolas" w:hAnsi="Consolas"/>
          <w:color w:val="1D2530"/>
          <w:sz w:val="18"/>
        </w:rPr>
        <w:t>evaluate log-prior and log-likelihood</w:t>
      </w:r>
      <w:r>
        <w:br/>
      </w:r>
      <w:r>
        <w:rPr>
          <w:rFonts w:ascii="Consolas" w:hAnsi="Consolas"/>
          <w:color w:val="1D2530"/>
          <w:sz w:val="18"/>
        </w:rPr>
      </w:r>
      <w:r>
        <w:br/>
      </w:r>
      <w:r>
        <w:rPr>
          <w:rFonts w:ascii="Consolas" w:hAnsi="Consolas"/>
          <w:color w:val="1D2530"/>
          <w:sz w:val="18"/>
        </w:rPr>
        <w:t>while not stopped:</w:t>
      </w:r>
      <w:r>
        <w:br/>
      </w:r>
      <w:r>
        <w:rPr>
          <w:rFonts w:ascii="Consolas" w:hAnsi="Consolas"/>
          <w:color w:val="1D2530"/>
          <w:sz w:val="18"/>
        </w:rPr>
        <w:t xml:space="preserve">    identify the point associated with the next likelihood threshold</w:t>
      </w:r>
      <w:r>
        <w:br/>
      </w:r>
      <w:r>
        <w:rPr>
          <w:rFonts w:ascii="Consolas" w:hAnsi="Consolas"/>
          <w:color w:val="1D2530"/>
          <w:sz w:val="18"/>
        </w:rPr>
        <w:t xml:space="preserve">    record the dead point and the correct mass/importance bookkeeping</w:t>
      </w:r>
      <w:r>
        <w:br/>
      </w:r>
      <w:r>
        <w:rPr>
          <w:rFonts w:ascii="Consolas" w:hAnsi="Consolas"/>
          <w:color w:val="1D2530"/>
          <w:sz w:val="18"/>
        </w:rPr>
        <w:t xml:space="preserve">    construct the Morph training set specified by the algorithm</w:t>
      </w:r>
      <w:r>
        <w:br/>
      </w:r>
      <w:r>
        <w:rPr>
          <w:rFonts w:ascii="Consolas" w:hAnsi="Consolas"/>
          <w:color w:val="1D2530"/>
          <w:sz w:val="18"/>
        </w:rPr>
        <w:t xml:space="preserve">    fit or update Morph through the adapter</w:t>
      </w:r>
      <w:r>
        <w:br/>
      </w:r>
      <w:r>
        <w:rPr>
          <w:rFonts w:ascii="Consolas" w:hAnsi="Consolas"/>
          <w:color w:val="1D2530"/>
          <w:sz w:val="18"/>
        </w:rPr>
        <w:t xml:space="preserve">    draw a valid replacement using the declared target and correction</w:t>
      </w:r>
      <w:r>
        <w:br/>
      </w:r>
      <w:r>
        <w:rPr>
          <w:rFonts w:ascii="Consolas" w:hAnsi="Consolas"/>
          <w:color w:val="1D2530"/>
          <w:sz w:val="18"/>
        </w:rPr>
        <w:t xml:space="preserve">    update live points and pure diagnostic histories</w:t>
      </w:r>
      <w:r>
        <w:br/>
      </w:r>
      <w:r>
        <w:rPr>
          <w:rFonts w:ascii="Consolas" w:hAnsi="Consolas"/>
          <w:color w:val="1D2530"/>
          <w:sz w:val="18"/>
        </w:rPr>
        <w:t xml:space="preserve">    evaluate the explicit stopping criterion</w:t>
      </w:r>
      <w:r>
        <w:br/>
      </w:r>
      <w:r>
        <w:rPr>
          <w:rFonts w:ascii="Consolas" w:hAnsi="Consolas"/>
          <w:color w:val="1D2530"/>
          <w:sz w:val="18"/>
        </w:rPr>
      </w:r>
      <w:r>
        <w:br/>
      </w:r>
      <w:r>
        <w:rPr>
          <w:rFonts w:ascii="Consolas" w:hAnsi="Consolas"/>
          <w:color w:val="1D2530"/>
          <w:sz w:val="18"/>
        </w:rPr>
        <w:t>finalize the remaining live-point contribution</w:t>
      </w:r>
      <w:r>
        <w:br/>
      </w:r>
      <w:r>
        <w:rPr>
          <w:rFonts w:ascii="Consolas" w:hAnsi="Consolas"/>
          <w:color w:val="1D2530"/>
          <w:sz w:val="18"/>
        </w:rPr>
        <w:t>construct an immutable result</w:t>
      </w:r>
      <w:r>
        <w:br/>
      </w:r>
      <w:r>
        <w:rPr>
          <w:rFonts w:ascii="Consolas" w:hAnsi="Consolas"/>
          <w:color w:val="1D2530"/>
          <w:sz w:val="18"/>
        </w:rPr>
        <w:t>run result validation</w:t>
      </w:r>
      <w:r>
        <w:br/>
      </w:r>
      <w:r>
        <w:rPr>
          <w:rFonts w:ascii="Consolas" w:hAnsi="Consolas"/>
          <w:color w:val="1D2530"/>
          <w:sz w:val="18"/>
        </w:rPr>
        <w:t>return without plotting or hidden file writes</w:t>
      </w:r>
    </w:p>
    <w:p>
      <w:pPr>
        <w:pStyle w:val="Heading2"/>
      </w:pPr>
      <w:r>
        <w:t>4.4 Required code separation</w:t>
      </w:r>
    </w:p>
    <w:p>
      <w:pPr>
        <w:pStyle w:val="ListBullet"/>
        <w:spacing w:after="80" w:line="300" w:lineRule="auto"/>
      </w:pPr>
      <w:r>
        <w:t>`sampler.py` coordinates the state machine; it does not implement KDEs, partitions, plots or serialization.</w:t>
      </w:r>
    </w:p>
    <w:p>
      <w:pPr>
        <w:pStyle w:val="ListBullet"/>
        <w:spacing w:after="80" w:line="300" w:lineRule="auto"/>
      </w:pPr>
      <w:r>
        <w:t>`morph.py` adapts fitting, sampling and `log_prob`; all three must describe one consistent distribution.</w:t>
      </w:r>
    </w:p>
    <w:p>
      <w:pPr>
        <w:pStyle w:val="ListBullet"/>
        <w:spacing w:after="80" w:line="300" w:lineRule="auto"/>
      </w:pPr>
      <w:r>
        <w:t>`evidence.py` contains pure log-space calculations and can be tested independently with synthetic arrays.</w:t>
      </w:r>
    </w:p>
    <w:p>
      <w:pPr>
        <w:pStyle w:val="ListBullet"/>
        <w:spacing w:after="80" w:line="300" w:lineRule="auto"/>
      </w:pPr>
      <w:r>
        <w:t>`diagnostics.py` contains pure functions consuming arrays/state snapshots.</w:t>
      </w:r>
    </w:p>
    <w:p>
      <w:pPr>
        <w:pStyle w:val="ListBullet"/>
        <w:spacing w:after="80" w:line="300" w:lineRule="auto"/>
      </w:pPr>
      <w:r>
        <w:t>`results.py` validates shapes and exposes derived posterior weights without mutating raw samples.</w:t>
      </w:r>
    </w:p>
    <w:p>
      <w:pPr>
        <w:pStyle w:val="ListBullet"/>
        <w:spacing w:after="80" w:line="300" w:lineRule="auto"/>
      </w:pPr>
      <w:r>
        <w:t>`benchmarks/` defines models separately from tests; tests assert known properties and tolerances.</w:t>
      </w:r>
    </w:p>
    <w:p>
      <w:pPr>
        <w:pStyle w:val="ListBullet"/>
        <w:spacing w:after="80" w:line="300" w:lineRule="auto"/>
      </w:pPr>
      <w:r>
        <w:t>Any compatibility wrapper around experimental code lives in a clearly named adapter, not in the core sampler loop.</w:t>
      </w:r>
    </w:p>
    <w:p>
      <w:pPr>
        <w:pStyle w:val="Heading2"/>
      </w:pPr>
      <w:r>
        <w:t>4.5 Minimal diagnostics</w:t>
      </w:r>
    </w:p>
    <w:tbl>
      <w:tblPr>
        <w:tblStyle w:val="TableGrid"/>
        <w:tblW w:type="dxa" w:w="9360"/>
        <w:jc w:val="left"/>
        <w:tblLayout w:type="fixed"/>
        <w:tblLook w:firstColumn="1" w:firstRow="1" w:lastColumn="0" w:lastRow="0" w:noHBand="0" w:noVBand="1" w:val="04A0"/>
        <w:tblInd w:type="dxa" w:w="120"/>
      </w:tblPr>
      <w:tblGrid>
        <w:gridCol w:w="1700"/>
        <w:gridCol w:w="4100"/>
        <w:gridCol w:w="3560"/>
      </w:tblGrid>
      <w:tr>
        <w:trPr>
          <w:tblHeader w:val="true"/>
          <w:cantSplit w:val="true"/>
        </w:trPr>
        <w:tc>
          <w:tcPr>
            <w:tcW w:type="dxa" w:w="1700"/>
            <w:shd w:fill="E8EEF5"/>
            <w:vAlign w:val="center"/>
            <w:tcMar>
              <w:top w:w="80" w:type="dxa"/>
              <w:bottom w:w="80" w:type="dxa"/>
              <w:start w:w="120" w:type="dxa"/>
              <w:end w:w="120" w:type="dxa"/>
            </w:tcMar>
          </w:tcPr>
          <w:p>
            <w:pPr>
              <w:spacing w:after="0"/>
              <w:jc w:val="left"/>
            </w:pPr>
            <w:r>
              <w:rPr>
                <w:rFonts w:ascii="Calibri" w:hAnsi="Calibri"/>
                <w:b/>
                <w:color w:val="1F4D78"/>
                <w:sz w:val="19"/>
              </w:rPr>
              <w:t>Diagnostic</w:t>
            </w:r>
          </w:p>
        </w:tc>
        <w:tc>
          <w:tcPr>
            <w:tcW w:type="dxa" w:w="4100"/>
            <w:shd w:fill="E8EEF5"/>
            <w:vAlign w:val="center"/>
            <w:tcMar>
              <w:top w:w="80" w:type="dxa"/>
              <w:bottom w:w="80" w:type="dxa"/>
              <w:start w:w="120" w:type="dxa"/>
              <w:end w:w="120" w:type="dxa"/>
            </w:tcMar>
          </w:tcPr>
          <w:p>
            <w:pPr>
              <w:spacing w:after="0"/>
              <w:jc w:val="left"/>
            </w:pPr>
            <w:r>
              <w:rPr>
                <w:rFonts w:ascii="Calibri" w:hAnsi="Calibri"/>
                <w:b/>
                <w:color w:val="1F4D78"/>
                <w:sz w:val="19"/>
              </w:rPr>
              <w:t>Required output</w:t>
            </w:r>
          </w:p>
        </w:tc>
        <w:tc>
          <w:tcPr>
            <w:tcW w:type="dxa" w:w="3560"/>
            <w:shd w:fill="E8EEF5"/>
            <w:vAlign w:val="center"/>
            <w:tcMar>
              <w:top w:w="80" w:type="dxa"/>
              <w:bottom w:w="80" w:type="dxa"/>
              <w:start w:w="120" w:type="dxa"/>
              <w:end w:w="120" w:type="dxa"/>
            </w:tcMar>
          </w:tcPr>
          <w:p>
            <w:pPr>
              <w:spacing w:after="0"/>
              <w:jc w:val="left"/>
            </w:pPr>
            <w:r>
              <w:rPr>
                <w:rFonts w:ascii="Calibri" w:hAnsi="Calibri"/>
                <w:b/>
                <w:color w:val="1F4D78"/>
                <w:sz w:val="19"/>
              </w:rPr>
              <w:t>Purpose</w:t>
            </w:r>
          </w:p>
        </w:tc>
      </w:tr>
      <w:tr>
        <w:trPr>
          <w:cantSplit w:val="true"/>
        </w:trPr>
        <w:tc>
          <w:tcPr>
            <w:tcW w:type="dxa" w:w="1700"/>
            <w:vAlign w:val="center"/>
            <w:tcMar>
              <w:top w:w="80" w:type="dxa"/>
              <w:bottom w:w="80" w:type="dxa"/>
              <w:start w:w="120" w:type="dxa"/>
              <w:end w:w="120" w:type="dxa"/>
            </w:tcMar>
          </w:tcPr>
          <w:p>
            <w:pPr>
              <w:spacing w:after="0" w:line="259" w:lineRule="auto"/>
            </w:pPr>
            <w:r>
              <w:rPr>
                <w:rFonts w:ascii="Calibri" w:hAnsi="Calibri"/>
                <w:color w:val="1D2530"/>
                <w:sz w:val="18"/>
              </w:rPr>
              <w:t>Evidence</w:t>
            </w:r>
          </w:p>
        </w:tc>
        <w:tc>
          <w:tcPr>
            <w:tcW w:type="dxa" w:w="4100"/>
            <w:vAlign w:val="center"/>
            <w:tcMar>
              <w:top w:w="80" w:type="dxa"/>
              <w:bottom w:w="80" w:type="dxa"/>
              <w:start w:w="120" w:type="dxa"/>
              <w:end w:w="120" w:type="dxa"/>
            </w:tcMar>
          </w:tcPr>
          <w:p>
            <w:pPr>
              <w:spacing w:after="0" w:line="259" w:lineRule="auto"/>
            </w:pPr>
            <w:r>
              <w:rPr>
                <w:rFonts w:ascii="Calibri" w:hAnsi="Calibri"/>
                <w:color w:val="1D2530"/>
                <w:sz w:val="18"/>
              </w:rPr>
              <w:t>Current/final `logz`; documented uncertainty approximation if implemented.</w:t>
            </w:r>
          </w:p>
        </w:tc>
        <w:tc>
          <w:tcPr>
            <w:tcW w:type="dxa" w:w="3560"/>
            <w:vAlign w:val="center"/>
            <w:tcMar>
              <w:top w:w="80" w:type="dxa"/>
              <w:bottom w:w="80" w:type="dxa"/>
              <w:start w:w="120" w:type="dxa"/>
              <w:end w:w="120" w:type="dxa"/>
            </w:tcMar>
          </w:tcPr>
          <w:p>
            <w:pPr>
              <w:spacing w:after="0" w:line="259" w:lineRule="auto"/>
            </w:pPr>
            <w:r>
              <w:rPr>
                <w:rFonts w:ascii="Calibri" w:hAnsi="Calibri"/>
                <w:color w:val="1D2530"/>
                <w:sz w:val="18"/>
              </w:rPr>
              <w:t>Check gross bias and run stability.</w:t>
            </w:r>
          </w:p>
        </w:tc>
      </w:tr>
      <w:tr>
        <w:trPr>
          <w:cantSplit w:val="true"/>
        </w:trPr>
        <w:tc>
          <w:tcPr>
            <w:tcW w:type="dxa" w:w="1700"/>
            <w:vAlign w:val="center"/>
            <w:tcMar>
              <w:top w:w="80" w:type="dxa"/>
              <w:bottom w:w="80" w:type="dxa"/>
              <w:start w:w="120" w:type="dxa"/>
              <w:end w:w="120" w:type="dxa"/>
            </w:tcMar>
          </w:tcPr>
          <w:p>
            <w:pPr>
              <w:spacing w:after="0" w:line="259" w:lineRule="auto"/>
            </w:pPr>
            <w:r>
              <w:rPr>
                <w:rFonts w:ascii="Calibri" w:hAnsi="Calibri"/>
                <w:color w:val="1D2530"/>
                <w:sz w:val="18"/>
              </w:rPr>
              <w:t>Likelihood progress</w:t>
            </w:r>
          </w:p>
        </w:tc>
        <w:tc>
          <w:tcPr>
            <w:tcW w:type="dxa" w:w="4100"/>
            <w:vAlign w:val="center"/>
            <w:tcMar>
              <w:top w:w="80" w:type="dxa"/>
              <w:bottom w:w="80" w:type="dxa"/>
              <w:start w:w="120" w:type="dxa"/>
              <w:end w:w="120" w:type="dxa"/>
            </w:tcMar>
          </w:tcPr>
          <w:p>
            <w:pPr>
              <w:spacing w:after="0" w:line="259" w:lineRule="auto"/>
            </w:pPr>
            <w:r>
              <w:rPr>
                <w:rFonts w:ascii="Calibri" w:hAnsi="Calibri"/>
                <w:color w:val="1D2530"/>
                <w:sz w:val="18"/>
              </w:rPr>
              <w:t>Iteration, current threshold, min/median/max live log-likelihood.</w:t>
            </w:r>
          </w:p>
        </w:tc>
        <w:tc>
          <w:tcPr>
            <w:tcW w:type="dxa" w:w="3560"/>
            <w:vAlign w:val="center"/>
            <w:tcMar>
              <w:top w:w="80" w:type="dxa"/>
              <w:bottom w:w="80" w:type="dxa"/>
              <w:start w:w="120" w:type="dxa"/>
              <w:end w:w="120" w:type="dxa"/>
            </w:tcMar>
          </w:tcPr>
          <w:p>
            <w:pPr>
              <w:spacing w:after="0" w:line="259" w:lineRule="auto"/>
            </w:pPr>
            <w:r>
              <w:rPr>
                <w:rFonts w:ascii="Calibri" w:hAnsi="Calibri"/>
                <w:color w:val="1D2530"/>
                <w:sz w:val="18"/>
              </w:rPr>
              <w:t>Detect stagnation and invalid replacements.</w:t>
            </w:r>
          </w:p>
        </w:tc>
      </w:tr>
      <w:tr>
        <w:trPr>
          <w:cantSplit w:val="true"/>
        </w:trPr>
        <w:tc>
          <w:tcPr>
            <w:tcW w:type="dxa" w:w="1700"/>
            <w:vAlign w:val="center"/>
            <w:tcMar>
              <w:top w:w="80" w:type="dxa"/>
              <w:bottom w:w="80" w:type="dxa"/>
              <w:start w:w="120" w:type="dxa"/>
              <w:end w:w="120" w:type="dxa"/>
            </w:tcMar>
          </w:tcPr>
          <w:p>
            <w:pPr>
              <w:spacing w:after="0" w:line="259" w:lineRule="auto"/>
            </w:pPr>
            <w:r>
              <w:rPr>
                <w:rFonts w:ascii="Calibri" w:hAnsi="Calibri"/>
                <w:color w:val="1D2530"/>
                <w:sz w:val="18"/>
              </w:rPr>
              <w:t>Calls and efficiency</w:t>
            </w:r>
          </w:p>
        </w:tc>
        <w:tc>
          <w:tcPr>
            <w:tcW w:type="dxa" w:w="4100"/>
            <w:vAlign w:val="center"/>
            <w:tcMar>
              <w:top w:w="80" w:type="dxa"/>
              <w:bottom w:w="80" w:type="dxa"/>
              <w:start w:w="120" w:type="dxa"/>
              <w:end w:w="120" w:type="dxa"/>
            </w:tcMar>
          </w:tcPr>
          <w:p>
            <w:pPr>
              <w:spacing w:after="0" w:line="259" w:lineRule="auto"/>
            </w:pPr>
            <w:r>
              <w:rPr>
                <w:rFonts w:ascii="Calibri" w:hAnsi="Calibri"/>
                <w:color w:val="1D2530"/>
                <w:sz w:val="18"/>
              </w:rPr>
              <w:t>Likelihood calls, proposal draws, accepted replacements, valid-draw rate.</w:t>
            </w:r>
          </w:p>
        </w:tc>
        <w:tc>
          <w:tcPr>
            <w:tcW w:type="dxa" w:w="3560"/>
            <w:vAlign w:val="center"/>
            <w:tcMar>
              <w:top w:w="80" w:type="dxa"/>
              <w:bottom w:w="80" w:type="dxa"/>
              <w:start w:w="120" w:type="dxa"/>
              <w:end w:w="120" w:type="dxa"/>
            </w:tcMar>
          </w:tcPr>
          <w:p>
            <w:pPr>
              <w:spacing w:after="0" w:line="259" w:lineRule="auto"/>
            </w:pPr>
            <w:r>
              <w:rPr>
                <w:rFonts w:ascii="Calibri" w:hAnsi="Calibri"/>
                <w:color w:val="1D2530"/>
                <w:sz w:val="18"/>
              </w:rPr>
              <w:t>Measure basic cost and failures.</w:t>
            </w:r>
          </w:p>
        </w:tc>
      </w:tr>
      <w:tr>
        <w:trPr>
          <w:cantSplit w:val="true"/>
        </w:trPr>
        <w:tc>
          <w:tcPr>
            <w:tcW w:type="dxa" w:w="1700"/>
            <w:vAlign w:val="center"/>
            <w:tcMar>
              <w:top w:w="80" w:type="dxa"/>
              <w:bottom w:w="80" w:type="dxa"/>
              <w:start w:w="120" w:type="dxa"/>
              <w:end w:w="120" w:type="dxa"/>
            </w:tcMar>
          </w:tcPr>
          <w:p>
            <w:pPr>
              <w:spacing w:after="0" w:line="259" w:lineRule="auto"/>
            </w:pPr>
            <w:r>
              <w:rPr>
                <w:rFonts w:ascii="Calibri" w:hAnsi="Calibri"/>
                <w:color w:val="1D2530"/>
                <w:sz w:val="18"/>
              </w:rPr>
              <w:t>Morph health</w:t>
            </w:r>
          </w:p>
        </w:tc>
        <w:tc>
          <w:tcPr>
            <w:tcW w:type="dxa" w:w="4100"/>
            <w:vAlign w:val="center"/>
            <w:tcMar>
              <w:top w:w="80" w:type="dxa"/>
              <w:bottom w:w="80" w:type="dxa"/>
              <w:start w:w="120" w:type="dxa"/>
              <w:end w:w="120" w:type="dxa"/>
            </w:tcMar>
          </w:tcPr>
          <w:p>
            <w:pPr>
              <w:spacing w:after="0" w:line="259" w:lineRule="auto"/>
            </w:pPr>
            <w:r>
              <w:rPr>
                <w:rFonts w:ascii="Calibri" w:hAnsi="Calibri"/>
                <w:color w:val="1D2530"/>
                <w:sz w:val="18"/>
              </w:rPr>
              <w:t>Training size, fit failures, non-finite `log_prob`, draws outside prior support.</w:t>
            </w:r>
          </w:p>
        </w:tc>
        <w:tc>
          <w:tcPr>
            <w:tcW w:type="dxa" w:w="3560"/>
            <w:vAlign w:val="center"/>
            <w:tcMar>
              <w:top w:w="80" w:type="dxa"/>
              <w:bottom w:w="80" w:type="dxa"/>
              <w:start w:w="120" w:type="dxa"/>
              <w:end w:w="120" w:type="dxa"/>
            </w:tcMar>
          </w:tcPr>
          <w:p>
            <w:pPr>
              <w:spacing w:after="0" w:line="259" w:lineRule="auto"/>
            </w:pPr>
            <w:r>
              <w:rPr>
                <w:rFonts w:ascii="Calibri" w:hAnsi="Calibri"/>
                <w:color w:val="1D2530"/>
                <w:sz w:val="18"/>
              </w:rPr>
              <w:t>Expose proposal pathologies.</w:t>
            </w:r>
          </w:p>
        </w:tc>
      </w:tr>
      <w:tr>
        <w:trPr>
          <w:cantSplit w:val="true"/>
        </w:trPr>
        <w:tc>
          <w:tcPr>
            <w:tcW w:type="dxa" w:w="1700"/>
            <w:vAlign w:val="center"/>
            <w:tcMar>
              <w:top w:w="80" w:type="dxa"/>
              <w:bottom w:w="80" w:type="dxa"/>
              <w:start w:w="120" w:type="dxa"/>
              <w:end w:w="120" w:type="dxa"/>
            </w:tcMar>
          </w:tcPr>
          <w:p>
            <w:pPr>
              <w:spacing w:after="0" w:line="259" w:lineRule="auto"/>
            </w:pPr>
            <w:r>
              <w:rPr>
                <w:rFonts w:ascii="Calibri" w:hAnsi="Calibri"/>
                <w:color w:val="1D2530"/>
                <w:sz w:val="18"/>
              </w:rPr>
              <w:t>Weights</w:t>
            </w:r>
          </w:p>
        </w:tc>
        <w:tc>
          <w:tcPr>
            <w:tcW w:type="dxa" w:w="4100"/>
            <w:vAlign w:val="center"/>
            <w:tcMar>
              <w:top w:w="80" w:type="dxa"/>
              <w:bottom w:w="80" w:type="dxa"/>
              <w:start w:w="120" w:type="dxa"/>
              <w:end w:w="120" w:type="dxa"/>
            </w:tcMar>
          </w:tcPr>
          <w:p>
            <w:pPr>
              <w:spacing w:after="0" w:line="259" w:lineRule="auto"/>
            </w:pPr>
            <w:r>
              <w:rPr>
                <w:rFonts w:ascii="Calibri" w:hAnsi="Calibri"/>
                <w:color w:val="1D2530"/>
                <w:sz w:val="18"/>
              </w:rPr>
              <w:t>If the supplied algorithm uses importance weights: log-weight range, Kish ESS, relative ESS and maximum normalized weight.</w:t>
            </w:r>
          </w:p>
        </w:tc>
        <w:tc>
          <w:tcPr>
            <w:tcW w:type="dxa" w:w="3560"/>
            <w:vAlign w:val="center"/>
            <w:tcMar>
              <w:top w:w="80" w:type="dxa"/>
              <w:bottom w:w="80" w:type="dxa"/>
              <w:start w:w="120" w:type="dxa"/>
              <w:end w:w="120" w:type="dxa"/>
            </w:tcMar>
          </w:tcPr>
          <w:p>
            <w:pPr>
              <w:spacing w:after="0" w:line="259" w:lineRule="auto"/>
            </w:pPr>
            <w:r>
              <w:rPr>
                <w:rFonts w:ascii="Calibri" w:hAnsi="Calibri"/>
                <w:color w:val="1D2530"/>
                <w:sz w:val="18"/>
              </w:rPr>
              <w:t>Detect weight collapse.</w:t>
            </w:r>
          </w:p>
        </w:tc>
      </w:tr>
      <w:tr>
        <w:trPr>
          <w:cantSplit w:val="true"/>
        </w:trPr>
        <w:tc>
          <w:tcPr>
            <w:tcW w:type="dxa" w:w="1700"/>
            <w:vAlign w:val="center"/>
            <w:tcMar>
              <w:top w:w="80" w:type="dxa"/>
              <w:bottom w:w="80" w:type="dxa"/>
              <w:start w:w="120" w:type="dxa"/>
              <w:end w:w="120" w:type="dxa"/>
            </w:tcMar>
          </w:tcPr>
          <w:p>
            <w:pPr>
              <w:spacing w:after="0" w:line="259" w:lineRule="auto"/>
            </w:pPr>
            <w:r>
              <w:rPr>
                <w:rFonts w:ascii="Calibri" w:hAnsi="Calibri"/>
                <w:color w:val="1D2530"/>
                <w:sz w:val="18"/>
              </w:rPr>
              <w:t>Termination</w:t>
            </w:r>
          </w:p>
        </w:tc>
        <w:tc>
          <w:tcPr>
            <w:tcW w:type="dxa" w:w="4100"/>
            <w:vAlign w:val="center"/>
            <w:tcMar>
              <w:top w:w="80" w:type="dxa"/>
              <w:bottom w:w="80" w:type="dxa"/>
              <w:start w:w="120" w:type="dxa"/>
              <w:end w:w="120" w:type="dxa"/>
            </w:tcMar>
          </w:tcPr>
          <w:p>
            <w:pPr>
              <w:spacing w:after="0" w:line="259" w:lineRule="auto"/>
            </w:pPr>
            <w:r>
              <w:rPr>
                <w:rFonts w:ascii="Calibri" w:hAnsi="Calibri"/>
                <w:color w:val="1D2530"/>
                <w:sz w:val="18"/>
              </w:rPr>
              <w:t>Reason, success flag, iterations, warnings and hard-limit status.</w:t>
            </w:r>
          </w:p>
        </w:tc>
        <w:tc>
          <w:tcPr>
            <w:tcW w:type="dxa" w:w="3560"/>
            <w:vAlign w:val="center"/>
            <w:tcMar>
              <w:top w:w="80" w:type="dxa"/>
              <w:bottom w:w="80" w:type="dxa"/>
              <w:start w:w="120" w:type="dxa"/>
              <w:end w:w="120" w:type="dxa"/>
            </w:tcMar>
          </w:tcPr>
          <w:p>
            <w:pPr>
              <w:spacing w:after="0" w:line="259" w:lineRule="auto"/>
            </w:pPr>
            <w:r>
              <w:rPr>
                <w:rFonts w:ascii="Calibri" w:hAnsi="Calibri"/>
                <w:color w:val="1D2530"/>
                <w:sz w:val="18"/>
              </w:rPr>
              <w:t>Separate stopping from successful validation.</w:t>
            </w:r>
          </w:p>
        </w:tc>
      </w:tr>
      <w:tr>
        <w:trPr>
          <w:cantSplit w:val="true"/>
        </w:trPr>
        <w:tc>
          <w:tcPr>
            <w:tcW w:type="dxa" w:w="1700"/>
            <w:vAlign w:val="center"/>
            <w:tcMar>
              <w:top w:w="80" w:type="dxa"/>
              <w:bottom w:w="80" w:type="dxa"/>
              <w:start w:w="120" w:type="dxa"/>
              <w:end w:w="120" w:type="dxa"/>
            </w:tcMar>
          </w:tcPr>
          <w:p>
            <w:pPr>
              <w:spacing w:after="0" w:line="259" w:lineRule="auto"/>
            </w:pPr>
            <w:r>
              <w:rPr>
                <w:rFonts w:ascii="Calibri" w:hAnsi="Calibri"/>
                <w:color w:val="1D2530"/>
                <w:sz w:val="18"/>
              </w:rPr>
              <w:t>Reproducibility</w:t>
            </w:r>
          </w:p>
        </w:tc>
        <w:tc>
          <w:tcPr>
            <w:tcW w:type="dxa" w:w="4100"/>
            <w:vAlign w:val="center"/>
            <w:tcMar>
              <w:top w:w="80" w:type="dxa"/>
              <w:bottom w:w="80" w:type="dxa"/>
              <w:start w:w="120" w:type="dxa"/>
              <w:end w:w="120" w:type="dxa"/>
            </w:tcMar>
          </w:tcPr>
          <w:p>
            <w:pPr>
              <w:spacing w:after="0" w:line="259" w:lineRule="auto"/>
            </w:pPr>
            <w:r>
              <w:rPr>
                <w:rFonts w:ascii="Calibri" w:hAnsi="Calibri"/>
                <w:color w:val="1D2530"/>
                <w:sz w:val="18"/>
              </w:rPr>
              <w:t>Seed/RNG metadata and complete configuration.</w:t>
            </w:r>
          </w:p>
        </w:tc>
        <w:tc>
          <w:tcPr>
            <w:tcW w:type="dxa" w:w="3560"/>
            <w:vAlign w:val="center"/>
            <w:tcMar>
              <w:top w:w="80" w:type="dxa"/>
              <w:bottom w:w="80" w:type="dxa"/>
              <w:start w:w="120" w:type="dxa"/>
              <w:end w:w="120" w:type="dxa"/>
            </w:tcMar>
          </w:tcPr>
          <w:p>
            <w:pPr>
              <w:spacing w:after="0" w:line="259" w:lineRule="auto"/>
            </w:pPr>
            <w:r>
              <w:rPr>
                <w:rFonts w:ascii="Calibri" w:hAnsi="Calibri"/>
                <w:color w:val="1D2530"/>
                <w:sz w:val="18"/>
              </w:rPr>
              <w:t>Reproduce failures exactly.</w:t>
            </w:r>
          </w:p>
        </w:tc>
      </w:tr>
    </w:tbl>
    <w:p>
      <w:pPr>
        <w:spacing w:after="20"/>
      </w:pPr>
    </w:p>
    <w:p>
      <w:pPr>
        <w:pStyle w:val="Heading2"/>
      </w:pPr>
      <w:r>
        <w:t>4.6 Minimal plots</w:t>
      </w:r>
    </w:p>
    <w:p>
      <w:r>
        <w:t>Plots are optional during the inner implementation loop but required for the Phase 2 handoff. They must consume only the result object.</w:t>
      </w:r>
    </w:p>
    <w:p>
      <w:pPr>
        <w:pStyle w:val="ListBullet"/>
        <w:spacing w:after="80" w:line="300" w:lineRule="auto"/>
      </w:pPr>
      <w:r>
        <w:t>Run plot: likelihood threshold and cumulative log-evidence versus iteration.</w:t>
      </w:r>
    </w:p>
    <w:p>
      <w:pPr>
        <w:pStyle w:val="ListBullet"/>
        <w:spacing w:after="80" w:line="300" w:lineRule="auto"/>
      </w:pPr>
      <w:r>
        <w:t>Live-set health: minimum, median and maximum live log-likelihood versus iteration.</w:t>
      </w:r>
    </w:p>
    <w:p>
      <w:pPr>
        <w:pStyle w:val="ListBullet"/>
        <w:spacing w:after="80" w:line="300" w:lineRule="auto"/>
      </w:pPr>
      <w:r>
        <w:t>Morph health: valid-draw rate and out-of-support fraction versus fit/update index.</w:t>
      </w:r>
    </w:p>
    <w:p>
      <w:pPr>
        <w:pStyle w:val="ListBullet"/>
        <w:spacing w:after="80" w:line="300" w:lineRule="auto"/>
      </w:pPr>
      <w:r>
        <w:t>Weight health, only if applicable: sorted normalized weights and cumulative weight mass.</w:t>
      </w:r>
    </w:p>
    <w:p>
      <w:pPr>
        <w:pStyle w:val="ListBullet"/>
        <w:spacing w:after="80" w:line="300" w:lineRule="auto"/>
      </w:pPr>
      <w:r>
        <w:t>One weighted posterior comparison for a benchmark with known truth.</w:t>
      </w:r>
    </w:p>
    <w:p>
      <w:pPr>
        <w:pStyle w:val="Heading2"/>
      </w:pPr>
      <w:r>
        <w:t>4.7 Test ladder</w:t>
      </w:r>
    </w:p>
    <w:tbl>
      <w:tblPr>
        <w:tblStyle w:val="TableGrid"/>
        <w:tblW w:type="dxa" w:w="9360"/>
        <w:jc w:val="left"/>
        <w:tblLayout w:type="fixed"/>
        <w:tblLook w:firstColumn="1" w:firstRow="1" w:lastColumn="0" w:lastRow="0" w:noHBand="0" w:noVBand="1" w:val="04A0"/>
        <w:tblInd w:type="dxa" w:w="120"/>
      </w:tblPr>
      <w:tblGrid>
        <w:gridCol w:w="900"/>
        <w:gridCol w:w="3000"/>
        <w:gridCol w:w="5460"/>
      </w:tblGrid>
      <w:tr>
        <w:trPr>
          <w:tblHeader w:val="true"/>
          <w:cantSplit w:val="true"/>
        </w:trPr>
        <w:tc>
          <w:tcPr>
            <w:tcW w:type="dxa" w:w="900"/>
            <w:shd w:fill="E8EEF5"/>
            <w:vAlign w:val="center"/>
            <w:tcMar>
              <w:top w:w="80" w:type="dxa"/>
              <w:bottom w:w="80" w:type="dxa"/>
              <w:start w:w="120" w:type="dxa"/>
              <w:end w:w="120" w:type="dxa"/>
            </w:tcMar>
          </w:tcPr>
          <w:p>
            <w:pPr>
              <w:spacing w:after="0"/>
              <w:jc w:val="left"/>
            </w:pPr>
            <w:r>
              <w:rPr>
                <w:rFonts w:ascii="Calibri" w:hAnsi="Calibri"/>
                <w:b/>
                <w:color w:val="1F4D78"/>
                <w:sz w:val="19"/>
              </w:rPr>
              <w:t>Order</w:t>
            </w:r>
          </w:p>
        </w:tc>
        <w:tc>
          <w:tcPr>
            <w:tcW w:type="dxa" w:w="3000"/>
            <w:shd w:fill="E8EEF5"/>
            <w:vAlign w:val="center"/>
            <w:tcMar>
              <w:top w:w="80" w:type="dxa"/>
              <w:bottom w:w="80" w:type="dxa"/>
              <w:start w:w="120" w:type="dxa"/>
              <w:end w:w="120" w:type="dxa"/>
            </w:tcMar>
          </w:tcPr>
          <w:p>
            <w:pPr>
              <w:spacing w:after="0"/>
              <w:jc w:val="left"/>
            </w:pPr>
            <w:r>
              <w:rPr>
                <w:rFonts w:ascii="Calibri" w:hAnsi="Calibri"/>
                <w:b/>
                <w:color w:val="1F4D78"/>
                <w:sz w:val="19"/>
              </w:rPr>
              <w:t>Test</w:t>
            </w:r>
          </w:p>
        </w:tc>
        <w:tc>
          <w:tcPr>
            <w:tcW w:type="dxa" w:w="5460"/>
            <w:shd w:fill="E8EEF5"/>
            <w:vAlign w:val="center"/>
            <w:tcMar>
              <w:top w:w="80" w:type="dxa"/>
              <w:bottom w:w="80" w:type="dxa"/>
              <w:start w:w="120" w:type="dxa"/>
              <w:end w:w="120" w:type="dxa"/>
            </w:tcMar>
          </w:tcPr>
          <w:p>
            <w:pPr>
              <w:spacing w:after="0"/>
              <w:jc w:val="left"/>
            </w:pPr>
            <w:r>
              <w:rPr>
                <w:rFonts w:ascii="Calibri" w:hAnsi="Calibri"/>
                <w:b/>
                <w:color w:val="1F4D78"/>
                <w:sz w:val="19"/>
              </w:rPr>
              <w:t>Required check</w:t>
            </w:r>
          </w:p>
        </w:tc>
      </w:tr>
      <w:tr>
        <w:trPr>
          <w:cantSplit w:val="true"/>
        </w:trPr>
        <w:tc>
          <w:tcPr>
            <w:tcW w:type="dxa" w:w="900"/>
            <w:vAlign w:val="center"/>
            <w:tcMar>
              <w:top w:w="80" w:type="dxa"/>
              <w:bottom w:w="80" w:type="dxa"/>
              <w:start w:w="120" w:type="dxa"/>
              <w:end w:w="120" w:type="dxa"/>
            </w:tcMar>
          </w:tcPr>
          <w:p>
            <w:pPr>
              <w:spacing w:after="0" w:line="259" w:lineRule="auto"/>
            </w:pPr>
            <w:r>
              <w:rPr>
                <w:rFonts w:ascii="Calibri" w:hAnsi="Calibri"/>
                <w:color w:val="1D2530"/>
                <w:sz w:val="18"/>
              </w:rPr>
              <w:t>1</w:t>
            </w:r>
          </w:p>
        </w:tc>
        <w:tc>
          <w:tcPr>
            <w:tcW w:type="dxa" w:w="3000"/>
            <w:vAlign w:val="center"/>
            <w:tcMar>
              <w:top w:w="80" w:type="dxa"/>
              <w:bottom w:w="80" w:type="dxa"/>
              <w:start w:w="120" w:type="dxa"/>
              <w:end w:w="120" w:type="dxa"/>
            </w:tcMar>
          </w:tcPr>
          <w:p>
            <w:pPr>
              <w:spacing w:after="0" w:line="259" w:lineRule="auto"/>
            </w:pPr>
            <w:r>
              <w:rPr>
                <w:rFonts w:ascii="Calibri" w:hAnsi="Calibri"/>
                <w:color w:val="1D2530"/>
                <w:sz w:val="18"/>
              </w:rPr>
              <w:t>Constant likelihood under a normalized prior</w:t>
            </w:r>
          </w:p>
        </w:tc>
        <w:tc>
          <w:tcPr>
            <w:tcW w:type="dxa" w:w="5460"/>
            <w:vAlign w:val="center"/>
            <w:tcMar>
              <w:top w:w="80" w:type="dxa"/>
              <w:bottom w:w="80" w:type="dxa"/>
              <w:start w:w="120" w:type="dxa"/>
              <w:end w:w="120" w:type="dxa"/>
            </w:tcMar>
          </w:tcPr>
          <w:p>
            <w:pPr>
              <w:spacing w:after="0" w:line="259" w:lineRule="auto"/>
            </w:pPr>
            <w:r>
              <w:rPr>
                <w:rFonts w:ascii="Calibri" w:hAnsi="Calibri"/>
                <w:color w:val="1D2530"/>
                <w:sz w:val="18"/>
              </w:rPr>
              <w:t>Evidence should reproduce the constant; validates normalization and termination bookkeeping.</w:t>
            </w:r>
          </w:p>
        </w:tc>
      </w:tr>
      <w:tr>
        <w:trPr>
          <w:cantSplit w:val="true"/>
        </w:trPr>
        <w:tc>
          <w:tcPr>
            <w:tcW w:type="dxa" w:w="900"/>
            <w:vAlign w:val="center"/>
            <w:tcMar>
              <w:top w:w="80" w:type="dxa"/>
              <w:bottom w:w="80" w:type="dxa"/>
              <w:start w:w="120" w:type="dxa"/>
              <w:end w:w="120" w:type="dxa"/>
            </w:tcMar>
          </w:tcPr>
          <w:p>
            <w:pPr>
              <w:spacing w:after="0" w:line="259" w:lineRule="auto"/>
            </w:pPr>
            <w:r>
              <w:rPr>
                <w:rFonts w:ascii="Calibri" w:hAnsi="Calibri"/>
                <w:color w:val="1D2530"/>
                <w:sz w:val="18"/>
              </w:rPr>
              <w:t>2</w:t>
            </w:r>
          </w:p>
        </w:tc>
        <w:tc>
          <w:tcPr>
            <w:tcW w:type="dxa" w:w="3000"/>
            <w:vAlign w:val="center"/>
            <w:tcMar>
              <w:top w:w="80" w:type="dxa"/>
              <w:bottom w:w="80" w:type="dxa"/>
              <w:start w:w="120" w:type="dxa"/>
              <w:end w:w="120" w:type="dxa"/>
            </w:tcMar>
          </w:tcPr>
          <w:p>
            <w:pPr>
              <w:spacing w:after="0" w:line="259" w:lineRule="auto"/>
            </w:pPr>
            <w:r>
              <w:rPr>
                <w:rFonts w:ascii="Calibri" w:hAnsi="Calibri"/>
                <w:color w:val="1D2530"/>
                <w:sz w:val="18"/>
              </w:rPr>
              <w:t>One-dimensional Gaussian with bounded or analytic prior</w:t>
            </w:r>
          </w:p>
        </w:tc>
        <w:tc>
          <w:tcPr>
            <w:tcW w:type="dxa" w:w="5460"/>
            <w:vAlign w:val="center"/>
            <w:tcMar>
              <w:top w:w="80" w:type="dxa"/>
              <w:bottom w:w="80" w:type="dxa"/>
              <w:start w:w="120" w:type="dxa"/>
              <w:end w:w="120" w:type="dxa"/>
            </w:tcMar>
          </w:tcPr>
          <w:p>
            <w:pPr>
              <w:spacing w:after="0" w:line="259" w:lineRule="auto"/>
            </w:pPr>
            <w:r>
              <w:rPr>
                <w:rFonts w:ascii="Calibri" w:hAnsi="Calibri"/>
                <w:color w:val="1D2530"/>
                <w:sz w:val="18"/>
              </w:rPr>
              <w:t>Evidence and posterior moments agree within a predeclared tolerance over repeated seeds.</w:t>
            </w:r>
          </w:p>
        </w:tc>
      </w:tr>
      <w:tr>
        <w:trPr>
          <w:cantSplit w:val="true"/>
        </w:trPr>
        <w:tc>
          <w:tcPr>
            <w:tcW w:type="dxa" w:w="900"/>
            <w:vAlign w:val="center"/>
            <w:tcMar>
              <w:top w:w="80" w:type="dxa"/>
              <w:bottom w:w="80" w:type="dxa"/>
              <w:start w:w="120" w:type="dxa"/>
              <w:end w:w="120" w:type="dxa"/>
            </w:tcMar>
          </w:tcPr>
          <w:p>
            <w:pPr>
              <w:spacing w:after="0" w:line="259" w:lineRule="auto"/>
            </w:pPr>
            <w:r>
              <w:rPr>
                <w:rFonts w:ascii="Calibri" w:hAnsi="Calibri"/>
                <w:color w:val="1D2530"/>
                <w:sz w:val="18"/>
              </w:rPr>
              <w:t>3</w:t>
            </w:r>
          </w:p>
        </w:tc>
        <w:tc>
          <w:tcPr>
            <w:tcW w:type="dxa" w:w="3000"/>
            <w:vAlign w:val="center"/>
            <w:tcMar>
              <w:top w:w="80" w:type="dxa"/>
              <w:bottom w:w="80" w:type="dxa"/>
              <w:start w:w="120" w:type="dxa"/>
              <w:end w:w="120" w:type="dxa"/>
            </w:tcMar>
          </w:tcPr>
          <w:p>
            <w:pPr>
              <w:spacing w:after="0" w:line="259" w:lineRule="auto"/>
            </w:pPr>
            <w:r>
              <w:rPr>
                <w:rFonts w:ascii="Calibri" w:hAnsi="Calibri"/>
                <w:color w:val="1D2530"/>
                <w:sz w:val="18"/>
              </w:rPr>
              <w:t>Correlated low-dimensional Gaussian</w:t>
            </w:r>
          </w:p>
        </w:tc>
        <w:tc>
          <w:tcPr>
            <w:tcW w:type="dxa" w:w="5460"/>
            <w:vAlign w:val="center"/>
            <w:tcMar>
              <w:top w:w="80" w:type="dxa"/>
              <w:bottom w:w="80" w:type="dxa"/>
              <w:start w:w="120" w:type="dxa"/>
              <w:end w:w="120" w:type="dxa"/>
            </w:tcMar>
          </w:tcPr>
          <w:p>
            <w:pPr>
              <w:spacing w:after="0" w:line="259" w:lineRule="auto"/>
            </w:pPr>
            <w:r>
              <w:rPr>
                <w:rFonts w:ascii="Calibri" w:hAnsi="Calibri"/>
                <w:color w:val="1D2530"/>
                <w:sz w:val="18"/>
              </w:rPr>
              <w:t>Tests Morph dependence handling and shape validation.</w:t>
            </w:r>
          </w:p>
        </w:tc>
      </w:tr>
      <w:tr>
        <w:trPr>
          <w:cantSplit w:val="true"/>
        </w:trPr>
        <w:tc>
          <w:tcPr>
            <w:tcW w:type="dxa" w:w="900"/>
            <w:vAlign w:val="center"/>
            <w:tcMar>
              <w:top w:w="80" w:type="dxa"/>
              <w:bottom w:w="80" w:type="dxa"/>
              <w:start w:w="120" w:type="dxa"/>
              <w:end w:w="120" w:type="dxa"/>
            </w:tcMar>
          </w:tcPr>
          <w:p>
            <w:pPr>
              <w:spacing w:after="0" w:line="259" w:lineRule="auto"/>
            </w:pPr>
            <w:r>
              <w:rPr>
                <w:rFonts w:ascii="Calibri" w:hAnsi="Calibri"/>
                <w:color w:val="1D2530"/>
                <w:sz w:val="18"/>
              </w:rPr>
              <w:t>4</w:t>
            </w:r>
          </w:p>
        </w:tc>
        <w:tc>
          <w:tcPr>
            <w:tcW w:type="dxa" w:w="3000"/>
            <w:vAlign w:val="center"/>
            <w:tcMar>
              <w:top w:w="80" w:type="dxa"/>
              <w:bottom w:w="80" w:type="dxa"/>
              <w:start w:w="120" w:type="dxa"/>
              <w:end w:w="120" w:type="dxa"/>
            </w:tcMar>
          </w:tcPr>
          <w:p>
            <w:pPr>
              <w:spacing w:after="0" w:line="259" w:lineRule="auto"/>
            </w:pPr>
            <w:r>
              <w:rPr>
                <w:rFonts w:ascii="Calibri" w:hAnsi="Calibri"/>
                <w:color w:val="1D2530"/>
                <w:sz w:val="18"/>
              </w:rPr>
              <w:t>Unequal Gaussian mixture</w:t>
            </w:r>
          </w:p>
        </w:tc>
        <w:tc>
          <w:tcPr>
            <w:tcW w:type="dxa" w:w="5460"/>
            <w:vAlign w:val="center"/>
            <w:tcMar>
              <w:top w:w="80" w:type="dxa"/>
              <w:bottom w:w="80" w:type="dxa"/>
              <w:start w:w="120" w:type="dxa"/>
              <w:end w:w="120" w:type="dxa"/>
            </w:tcMar>
          </w:tcPr>
          <w:p>
            <w:pPr>
              <w:spacing w:after="0" w:line="259" w:lineRule="auto"/>
            </w:pPr>
            <w:r>
              <w:rPr>
                <w:rFonts w:ascii="Calibri" w:hAnsi="Calibri"/>
                <w:color w:val="1D2530"/>
                <w:sz w:val="18"/>
              </w:rPr>
              <w:t>Both modes are recovered and approximate mode mass is stable.</w:t>
            </w:r>
          </w:p>
        </w:tc>
      </w:tr>
      <w:tr>
        <w:trPr>
          <w:cantSplit w:val="true"/>
        </w:trPr>
        <w:tc>
          <w:tcPr>
            <w:tcW w:type="dxa" w:w="900"/>
            <w:vAlign w:val="center"/>
            <w:tcMar>
              <w:top w:w="80" w:type="dxa"/>
              <w:bottom w:w="80" w:type="dxa"/>
              <w:start w:w="120" w:type="dxa"/>
              <w:end w:w="120" w:type="dxa"/>
            </w:tcMar>
          </w:tcPr>
          <w:p>
            <w:pPr>
              <w:spacing w:after="0" w:line="259" w:lineRule="auto"/>
            </w:pPr>
            <w:r>
              <w:rPr>
                <w:rFonts w:ascii="Calibri" w:hAnsi="Calibri"/>
                <w:color w:val="1D2530"/>
                <w:sz w:val="18"/>
              </w:rPr>
              <w:t>5</w:t>
            </w:r>
          </w:p>
        </w:tc>
        <w:tc>
          <w:tcPr>
            <w:tcW w:type="dxa" w:w="3000"/>
            <w:vAlign w:val="center"/>
            <w:tcMar>
              <w:top w:w="80" w:type="dxa"/>
              <w:bottom w:w="80" w:type="dxa"/>
              <w:start w:w="120" w:type="dxa"/>
              <w:end w:w="120" w:type="dxa"/>
            </w:tcMar>
          </w:tcPr>
          <w:p>
            <w:pPr>
              <w:spacing w:after="0" w:line="259" w:lineRule="auto"/>
            </w:pPr>
            <w:r>
              <w:rPr>
                <w:rFonts w:ascii="Calibri" w:hAnsi="Calibri"/>
                <w:color w:val="1D2530"/>
                <w:sz w:val="18"/>
              </w:rPr>
              <w:t>Existing Morph experiment</w:t>
            </w:r>
          </w:p>
        </w:tc>
        <w:tc>
          <w:tcPr>
            <w:tcW w:type="dxa" w:w="5460"/>
            <w:vAlign w:val="center"/>
            <w:tcMar>
              <w:top w:w="80" w:type="dxa"/>
              <w:bottom w:w="80" w:type="dxa"/>
              <w:start w:w="120" w:type="dxa"/>
              <w:end w:w="120" w:type="dxa"/>
            </w:tcMar>
          </w:tcPr>
          <w:p>
            <w:pPr>
              <w:spacing w:after="0" w:line="259" w:lineRule="auto"/>
            </w:pPr>
            <w:r>
              <w:rPr>
                <w:rFonts w:ascii="Calibri" w:hAnsi="Calibri"/>
                <w:color w:val="1D2530"/>
                <w:sz w:val="18"/>
              </w:rPr>
              <w:t>Clean implementation reproduces the reference behavior and stored regression summary.</w:t>
            </w:r>
          </w:p>
        </w:tc>
      </w:tr>
      <w:tr>
        <w:trPr>
          <w:cantSplit w:val="true"/>
        </w:trPr>
        <w:tc>
          <w:tcPr>
            <w:tcW w:type="dxa" w:w="900"/>
            <w:vAlign w:val="center"/>
            <w:tcMar>
              <w:top w:w="80" w:type="dxa"/>
              <w:bottom w:w="80" w:type="dxa"/>
              <w:start w:w="120" w:type="dxa"/>
              <w:end w:w="120" w:type="dxa"/>
            </w:tcMar>
          </w:tcPr>
          <w:p>
            <w:pPr>
              <w:spacing w:after="0" w:line="259" w:lineRule="auto"/>
            </w:pPr>
            <w:r>
              <w:rPr>
                <w:rFonts w:ascii="Calibri" w:hAnsi="Calibri"/>
                <w:color w:val="1D2530"/>
                <w:sz w:val="18"/>
              </w:rPr>
              <w:t>6</w:t>
            </w:r>
          </w:p>
        </w:tc>
        <w:tc>
          <w:tcPr>
            <w:tcW w:type="dxa" w:w="3000"/>
            <w:vAlign w:val="center"/>
            <w:tcMar>
              <w:top w:w="80" w:type="dxa"/>
              <w:bottom w:w="80" w:type="dxa"/>
              <w:start w:w="120" w:type="dxa"/>
              <w:end w:w="120" w:type="dxa"/>
            </w:tcMar>
          </w:tcPr>
          <w:p>
            <w:pPr>
              <w:spacing w:after="0" w:line="259" w:lineRule="auto"/>
            </w:pPr>
            <w:r>
              <w:rPr>
                <w:rFonts w:ascii="Calibri" w:hAnsi="Calibri"/>
                <w:color w:val="1D2530"/>
                <w:sz w:val="18"/>
              </w:rPr>
              <w:t>Twin Gaussian shells or another difficult supplied benchmark</w:t>
            </w:r>
          </w:p>
        </w:tc>
        <w:tc>
          <w:tcPr>
            <w:tcW w:type="dxa" w:w="5460"/>
            <w:vAlign w:val="center"/>
            <w:tcMar>
              <w:top w:w="80" w:type="dxa"/>
              <w:bottom w:w="80" w:type="dxa"/>
              <w:start w:w="120" w:type="dxa"/>
              <w:end w:w="120" w:type="dxa"/>
            </w:tcMar>
          </w:tcPr>
          <w:p>
            <w:pPr>
              <w:spacing w:after="0" w:line="259" w:lineRule="auto"/>
            </w:pPr>
            <w:r>
              <w:rPr>
                <w:rFonts w:ascii="Calibri" w:hAnsi="Calibri"/>
                <w:color w:val="1D2530"/>
                <w:sz w:val="18"/>
              </w:rPr>
              <w:t>Run completes reproducibly; failures and sensitivity are documented rather than hidden.</w:t>
            </w:r>
          </w:p>
        </w:tc>
      </w:tr>
    </w:tbl>
    <w:p>
      <w:pPr>
        <w:spacing w:after="20"/>
      </w:pPr>
    </w:p>
    <w:p>
      <w:pPr>
        <w:pStyle w:val="Heading2"/>
      </w:pPr>
      <w:r>
        <w:t>4.8 Statistical testing policy</w:t>
      </w:r>
    </w:p>
    <w:p>
      <w:pPr>
        <w:pStyle w:val="ListBullet"/>
        <w:spacing w:after="80" w:line="300" w:lineRule="auto"/>
      </w:pPr>
      <w:r>
        <w:t>Use deterministic unit tests for algebra, shapes, serialization and seeded proposal behavior.</w:t>
      </w:r>
    </w:p>
    <w:p>
      <w:pPr>
        <w:pStyle w:val="ListBullet"/>
        <w:spacing w:after="80" w:line="300" w:lineRule="auto"/>
      </w:pPr>
      <w:r>
        <w:t>For stochastic benchmarks, run multiple seeds and test aggregate bias/dispersion against predeclared tolerances. Do not require every seed to hit one exact value.</w:t>
      </w:r>
    </w:p>
    <w:p>
      <w:pPr>
        <w:pStyle w:val="ListBullet"/>
        <w:spacing w:after="80" w:line="300" w:lineRule="auto"/>
      </w:pPr>
      <w:r>
        <w:t>Mark expensive calibration tests `statistical` or `slow`; keep one tiny end-to-end smoke run in fast CI.</w:t>
      </w:r>
    </w:p>
    <w:p>
      <w:pPr>
        <w:pStyle w:val="ListBullet"/>
        <w:spacing w:after="80" w:line="300" w:lineRule="auto"/>
      </w:pPr>
      <w:r>
        <w:t>When a benchmark fails, save the seed, configuration and compact diagnostic summary.</w:t>
      </w:r>
    </w:p>
    <w:p>
      <w:pPr>
        <w:pStyle w:val="ListBullet"/>
        <w:spacing w:after="80" w:line="300" w:lineRule="auto"/>
      </w:pPr>
      <w:r>
        <w:t>Compare the cleaned sampler with the supplied experimental result before comparing speed with dynesty, nessai or other packages.</w:t>
      </w:r>
    </w:p>
    <w:p>
      <w:pPr>
        <w:pStyle w:val="ListBullet"/>
        <w:spacing w:after="80" w:line="300" w:lineRule="auto"/>
      </w:pPr>
      <w:r>
        <w:t>Do not tune tolerances after looking only at the failing sample. Explain any tolerance from analytic error, repeated-run behavior or an explicit engineering threshold.</w:t>
      </w:r>
    </w:p>
    <w:p>
      <w:pPr>
        <w:pStyle w:val="Heading2"/>
      </w:pPr>
      <w:r>
        <w:t>4.9 Phase 2 acceptance gate</w:t>
      </w:r>
    </w:p>
    <w:p>
      <w:pPr>
        <w:pStyle w:val="ListBullet"/>
        <w:spacing w:after="80" w:line="300" w:lineRule="auto"/>
      </w:pPr>
      <w:r>
        <w:t>The mathematical contract matches the implementation and names every target/proposal/weight density.</w:t>
      </w:r>
    </w:p>
    <w:p>
      <w:pPr>
        <w:pStyle w:val="ListBullet"/>
        <w:spacing w:after="80" w:line="300" w:lineRule="auto"/>
      </w:pPr>
      <w:r>
        <w:t>The serial sampler runs end-to-end on the constant and one-dimensional benchmarks.</w:t>
      </w:r>
    </w:p>
    <w:p>
      <w:pPr>
        <w:pStyle w:val="ListBullet"/>
        <w:spacing w:after="80" w:line="300" w:lineRule="auto"/>
      </w:pPr>
      <w:r>
        <w:t>At least one nontrivial benchmark is exercised over multiple seeds.</w:t>
      </w:r>
    </w:p>
    <w:p>
      <w:pPr>
        <w:pStyle w:val="ListBullet"/>
        <w:spacing w:after="80" w:line="300" w:lineRule="auto"/>
      </w:pPr>
      <w:r>
        <w:t>The sampler returns raw samples, live/dead status as applicable, log-likelihood, log-prior, proposal/reference log-density where applicable, weights, diagnostic histories and termination metadata.</w:t>
      </w:r>
    </w:p>
    <w:p>
      <w:pPr>
        <w:pStyle w:val="ListBullet"/>
        <w:spacing w:after="80" w:line="300" w:lineRule="auto"/>
      </w:pPr>
      <w:r>
        <w:t>Evidence and diagnostic functions have independent unit tests.</w:t>
      </w:r>
    </w:p>
    <w:p>
      <w:pPr>
        <w:pStyle w:val="ListBullet"/>
        <w:spacing w:after="80" w:line="300" w:lineRule="auto"/>
      </w:pPr>
      <w:r>
        <w:t>The same seed and configuration reproduce the same serial result within documented numerical limits.</w:t>
      </w:r>
    </w:p>
    <w:p>
      <w:pPr>
        <w:pStyle w:val="ListBullet"/>
        <w:spacing w:after="80" w:line="300" w:lineRule="auto"/>
      </w:pPr>
      <w:r>
        <w:t>Known support gaps or invalid approximations are visible as warnings or failures, not silently discarded.</w:t>
      </w:r>
    </w:p>
    <w:p>
      <w:pPr>
        <w:pStyle w:val="ListBullet"/>
        <w:spacing w:after="80" w:line="300" w:lineRule="auto"/>
      </w:pPr>
      <w:r>
        <w:t>`docs/phases/phase_2.md` contains results, plots, commands, failures, limitations and the exact questions to be decided before Phase 3.</w:t>
      </w:r>
    </w:p>
    <w:p>
      <w:pPr>
        <w:pStyle w:val="ListBullet"/>
        <w:spacing w:after="80" w:line="300" w:lineRule="auto"/>
      </w:pPr>
      <w:r>
        <w:t>The owner receives runnable instructions and can test without reading internal source first.</w:t>
      </w:r>
    </w:p>
    <w:p>
      <w:pPr>
        <w:pStyle w:val="Heading1"/>
      </w:pPr>
      <w:r>
        <w:t>5. Documentation required in every phase</w:t>
      </w:r>
    </w:p>
    <w:p>
      <w:r>
        <w:t>Documentation is part of the implementation, not a cleanup task. Each phase must update user-facing instructions and leave a phase report.</w:t>
      </w:r>
    </w:p>
    <w:tbl>
      <w:tblPr>
        <w:tblStyle w:val="TableGrid"/>
        <w:tblW w:type="dxa" w:w="9360"/>
        <w:jc w:val="left"/>
        <w:tblLayout w:type="fixed"/>
        <w:tblLook w:firstColumn="1" w:firstRow="1" w:lastColumn="0" w:lastRow="0" w:noHBand="0" w:noVBand="1" w:val="04A0"/>
        <w:tblInd w:type="dxa" w:w="120"/>
      </w:tblPr>
      <w:tblGrid>
        <w:gridCol w:w="2500"/>
        <w:gridCol w:w="6860"/>
      </w:tblGrid>
      <w:tr>
        <w:trPr>
          <w:tblHeader w:val="true"/>
          <w:cantSplit w:val="true"/>
        </w:trPr>
        <w:tc>
          <w:tcPr>
            <w:tcW w:type="dxa" w:w="2500"/>
            <w:shd w:fill="E8EEF5"/>
            <w:vAlign w:val="center"/>
            <w:tcMar>
              <w:top w:w="80" w:type="dxa"/>
              <w:bottom w:w="80" w:type="dxa"/>
              <w:start w:w="120" w:type="dxa"/>
              <w:end w:w="120" w:type="dxa"/>
            </w:tcMar>
          </w:tcPr>
          <w:p>
            <w:pPr>
              <w:spacing w:after="0"/>
              <w:jc w:val="left"/>
            </w:pPr>
            <w:r>
              <w:rPr>
                <w:rFonts w:ascii="Calibri" w:hAnsi="Calibri"/>
                <w:b/>
                <w:color w:val="1F4D78"/>
                <w:sz w:val="19"/>
              </w:rPr>
              <w:t>Document</w:t>
            </w:r>
          </w:p>
        </w:tc>
        <w:tc>
          <w:tcPr>
            <w:tcW w:type="dxa" w:w="6860"/>
            <w:shd w:fill="E8EEF5"/>
            <w:vAlign w:val="center"/>
            <w:tcMar>
              <w:top w:w="80" w:type="dxa"/>
              <w:bottom w:w="80" w:type="dxa"/>
              <w:start w:w="120" w:type="dxa"/>
              <w:end w:w="120" w:type="dxa"/>
            </w:tcMar>
          </w:tcPr>
          <w:p>
            <w:pPr>
              <w:spacing w:after="0"/>
              <w:jc w:val="left"/>
            </w:pPr>
            <w:r>
              <w:rPr>
                <w:rFonts w:ascii="Calibri" w:hAnsi="Calibri"/>
                <w:b/>
                <w:color w:val="1F4D78"/>
                <w:sz w:val="19"/>
              </w:rPr>
              <w:t>Required contents</w:t>
            </w:r>
          </w:p>
        </w:tc>
      </w:tr>
      <w:tr>
        <w:trPr>
          <w:cantSplit w:val="true"/>
        </w:trPr>
        <w:tc>
          <w:tcPr>
            <w:tcW w:type="dxa" w:w="2500"/>
            <w:vAlign w:val="center"/>
            <w:tcMar>
              <w:top w:w="80" w:type="dxa"/>
              <w:bottom w:w="80" w:type="dxa"/>
              <w:start w:w="120" w:type="dxa"/>
              <w:end w:w="120" w:type="dxa"/>
            </w:tcMar>
          </w:tcPr>
          <w:p>
            <w:pPr>
              <w:spacing w:after="0" w:line="259" w:lineRule="auto"/>
            </w:pPr>
            <w:r>
              <w:rPr>
                <w:rFonts w:ascii="Calibri" w:hAnsi="Calibri"/>
                <w:color w:val="1D2530"/>
                <w:sz w:val="18"/>
              </w:rPr>
              <w:t>README.md</w:t>
            </w:r>
          </w:p>
        </w:tc>
        <w:tc>
          <w:tcPr>
            <w:tcW w:type="dxa" w:w="6860"/>
            <w:vAlign w:val="center"/>
            <w:tcMar>
              <w:top w:w="80" w:type="dxa"/>
              <w:bottom w:w="80" w:type="dxa"/>
              <w:start w:w="120" w:type="dxa"/>
              <w:end w:w="120" w:type="dxa"/>
            </w:tcMar>
          </w:tcPr>
          <w:p>
            <w:pPr>
              <w:spacing w:after="0" w:line="259" w:lineRule="auto"/>
            </w:pPr>
            <w:r>
              <w:rPr>
                <w:rFonts w:ascii="Calibri" w:hAnsi="Calibri"/>
                <w:color w:val="1D2530"/>
                <w:sz w:val="18"/>
              </w:rPr>
              <w:t>Project status, installation, a minimal runnable example, warnings and links to deeper documentation.</w:t>
            </w:r>
          </w:p>
        </w:tc>
      </w:tr>
      <w:tr>
        <w:trPr>
          <w:cantSplit w:val="true"/>
        </w:trPr>
        <w:tc>
          <w:tcPr>
            <w:tcW w:type="dxa" w:w="2500"/>
            <w:vAlign w:val="center"/>
            <w:tcMar>
              <w:top w:w="80" w:type="dxa"/>
              <w:bottom w:w="80" w:type="dxa"/>
              <w:start w:w="120" w:type="dxa"/>
              <w:end w:w="120" w:type="dxa"/>
            </w:tcMar>
          </w:tcPr>
          <w:p>
            <w:pPr>
              <w:spacing w:after="0" w:line="259" w:lineRule="auto"/>
            </w:pPr>
            <w:r>
              <w:rPr>
                <w:rFonts w:ascii="Calibri" w:hAnsi="Calibri"/>
                <w:color w:val="1D2530"/>
                <w:sz w:val="18"/>
              </w:rPr>
              <w:t>docs/architecture.md</w:t>
            </w:r>
          </w:p>
        </w:tc>
        <w:tc>
          <w:tcPr>
            <w:tcW w:type="dxa" w:w="6860"/>
            <w:vAlign w:val="center"/>
            <w:tcMar>
              <w:top w:w="80" w:type="dxa"/>
              <w:bottom w:w="80" w:type="dxa"/>
              <w:start w:w="120" w:type="dxa"/>
              <w:end w:w="120" w:type="dxa"/>
            </w:tcMar>
          </w:tcPr>
          <w:p>
            <w:pPr>
              <w:spacing w:after="0" w:line="259" w:lineRule="auto"/>
            </w:pPr>
            <w:r>
              <w:rPr>
                <w:rFonts w:ascii="Calibri" w:hAnsi="Calibri"/>
                <w:color w:val="1D2530"/>
                <w:sz w:val="18"/>
              </w:rPr>
              <w:t>Module boundaries, dependency direction, data flow and extension interfaces.</w:t>
            </w:r>
          </w:p>
        </w:tc>
      </w:tr>
      <w:tr>
        <w:trPr>
          <w:cantSplit w:val="true"/>
        </w:trPr>
        <w:tc>
          <w:tcPr>
            <w:tcW w:type="dxa" w:w="2500"/>
            <w:vAlign w:val="center"/>
            <w:tcMar>
              <w:top w:w="80" w:type="dxa"/>
              <w:bottom w:w="80" w:type="dxa"/>
              <w:start w:w="120" w:type="dxa"/>
              <w:end w:w="120" w:type="dxa"/>
            </w:tcMar>
          </w:tcPr>
          <w:p>
            <w:pPr>
              <w:spacing w:after="0" w:line="259" w:lineRule="auto"/>
            </w:pPr>
            <w:r>
              <w:rPr>
                <w:rFonts w:ascii="Calibri" w:hAnsi="Calibri"/>
                <w:color w:val="1D2530"/>
                <w:sz w:val="18"/>
              </w:rPr>
              <w:t>docs/mathematical_contract.md</w:t>
            </w:r>
          </w:p>
        </w:tc>
        <w:tc>
          <w:tcPr>
            <w:tcW w:type="dxa" w:w="6860"/>
            <w:vAlign w:val="center"/>
            <w:tcMar>
              <w:top w:w="80" w:type="dxa"/>
              <w:bottom w:w="80" w:type="dxa"/>
              <w:start w:w="120" w:type="dxa"/>
              <w:end w:w="120" w:type="dxa"/>
            </w:tcMar>
          </w:tcPr>
          <w:p>
            <w:pPr>
              <w:spacing w:after="0" w:line="259" w:lineRule="auto"/>
            </w:pPr>
            <w:r>
              <w:rPr>
                <w:rFonts w:ascii="Calibri" w:hAnsi="Calibri"/>
                <w:color w:val="1D2530"/>
                <w:sz w:val="18"/>
              </w:rPr>
              <w:t>Definitions, equations, support assumptions, estimators and stopping semantics.</w:t>
            </w:r>
          </w:p>
        </w:tc>
      </w:tr>
      <w:tr>
        <w:trPr>
          <w:cantSplit w:val="true"/>
        </w:trPr>
        <w:tc>
          <w:tcPr>
            <w:tcW w:type="dxa" w:w="2500"/>
            <w:vAlign w:val="center"/>
            <w:tcMar>
              <w:top w:w="80" w:type="dxa"/>
              <w:bottom w:w="80" w:type="dxa"/>
              <w:start w:w="120" w:type="dxa"/>
              <w:end w:w="120" w:type="dxa"/>
            </w:tcMar>
          </w:tcPr>
          <w:p>
            <w:pPr>
              <w:spacing w:after="0" w:line="259" w:lineRule="auto"/>
            </w:pPr>
            <w:r>
              <w:rPr>
                <w:rFonts w:ascii="Calibri" w:hAnsi="Calibri"/>
                <w:color w:val="1D2530"/>
                <w:sz w:val="18"/>
              </w:rPr>
              <w:t>docs/api.md</w:t>
            </w:r>
          </w:p>
        </w:tc>
        <w:tc>
          <w:tcPr>
            <w:tcW w:type="dxa" w:w="6860"/>
            <w:vAlign w:val="center"/>
            <w:tcMar>
              <w:top w:w="80" w:type="dxa"/>
              <w:bottom w:w="80" w:type="dxa"/>
              <w:start w:w="120" w:type="dxa"/>
              <w:end w:w="120" w:type="dxa"/>
            </w:tcMar>
          </w:tcPr>
          <w:p>
            <w:pPr>
              <w:spacing w:after="0" w:line="259" w:lineRule="auto"/>
            </w:pPr>
            <w:r>
              <w:rPr>
                <w:rFonts w:ascii="Calibri" w:hAnsi="Calibri"/>
                <w:color w:val="1D2530"/>
                <w:sz w:val="18"/>
              </w:rPr>
              <w:t>Public classes/functions, array shapes, units, exceptions and reproducibility behavior.</w:t>
            </w:r>
          </w:p>
        </w:tc>
      </w:tr>
      <w:tr>
        <w:trPr>
          <w:cantSplit w:val="true"/>
        </w:trPr>
        <w:tc>
          <w:tcPr>
            <w:tcW w:type="dxa" w:w="2500"/>
            <w:vAlign w:val="center"/>
            <w:tcMar>
              <w:top w:w="80" w:type="dxa"/>
              <w:bottom w:w="80" w:type="dxa"/>
              <w:start w:w="120" w:type="dxa"/>
              <w:end w:w="120" w:type="dxa"/>
            </w:tcMar>
          </w:tcPr>
          <w:p>
            <w:pPr>
              <w:spacing w:after="0" w:line="259" w:lineRule="auto"/>
            </w:pPr>
            <w:r>
              <w:rPr>
                <w:rFonts w:ascii="Calibri" w:hAnsi="Calibri"/>
                <w:color w:val="1D2530"/>
                <w:sz w:val="18"/>
              </w:rPr>
              <w:t>docs/phases/phase_N.md</w:t>
            </w:r>
          </w:p>
        </w:tc>
        <w:tc>
          <w:tcPr>
            <w:tcW w:type="dxa" w:w="6860"/>
            <w:vAlign w:val="center"/>
            <w:tcMar>
              <w:top w:w="80" w:type="dxa"/>
              <w:bottom w:w="80" w:type="dxa"/>
              <w:start w:w="120" w:type="dxa"/>
              <w:end w:w="120" w:type="dxa"/>
            </w:tcMar>
          </w:tcPr>
          <w:p>
            <w:pPr>
              <w:spacing w:after="0" w:line="259" w:lineRule="auto"/>
            </w:pPr>
            <w:r>
              <w:rPr>
                <w:rFonts w:ascii="Calibri" w:hAnsi="Calibri"/>
                <w:color w:val="1D2530"/>
                <w:sz w:val="18"/>
              </w:rPr>
              <w:t>Scope, files changed, decisions, commands, results, plots, known limitations and next questions.</w:t>
            </w:r>
          </w:p>
        </w:tc>
      </w:tr>
      <w:tr>
        <w:trPr>
          <w:cantSplit w:val="true"/>
        </w:trPr>
        <w:tc>
          <w:tcPr>
            <w:tcW w:type="dxa" w:w="2500"/>
            <w:vAlign w:val="center"/>
            <w:tcMar>
              <w:top w:w="80" w:type="dxa"/>
              <w:bottom w:w="80" w:type="dxa"/>
              <w:start w:w="120" w:type="dxa"/>
              <w:end w:w="120" w:type="dxa"/>
            </w:tcMar>
          </w:tcPr>
          <w:p>
            <w:pPr>
              <w:spacing w:after="0" w:line="259" w:lineRule="auto"/>
            </w:pPr>
            <w:r>
              <w:rPr>
                <w:rFonts w:ascii="Calibri" w:hAnsi="Calibri"/>
                <w:color w:val="1D2530"/>
                <w:sz w:val="18"/>
              </w:rPr>
              <w:t>Docstrings</w:t>
            </w:r>
          </w:p>
        </w:tc>
        <w:tc>
          <w:tcPr>
            <w:tcW w:type="dxa" w:w="6860"/>
            <w:vAlign w:val="center"/>
            <w:tcMar>
              <w:top w:w="80" w:type="dxa"/>
              <w:bottom w:w="80" w:type="dxa"/>
              <w:start w:w="120" w:type="dxa"/>
              <w:end w:w="120" w:type="dxa"/>
            </w:tcMar>
          </w:tcPr>
          <w:p>
            <w:pPr>
              <w:spacing w:after="0" w:line="259" w:lineRule="auto"/>
            </w:pPr>
            <w:r>
              <w:rPr>
                <w:rFonts w:ascii="Calibri" w:hAnsi="Calibri"/>
                <w:color w:val="1D2530"/>
                <w:sz w:val="18"/>
              </w:rPr>
              <w:t>NumPy-style public API documentation with parameters, returns, shapes, exceptions and statistical notes.</w:t>
            </w:r>
          </w:p>
        </w:tc>
      </w:tr>
      <w:tr>
        <w:trPr>
          <w:cantSplit w:val="true"/>
        </w:trPr>
        <w:tc>
          <w:tcPr>
            <w:tcW w:type="dxa" w:w="2500"/>
            <w:vAlign w:val="center"/>
            <w:tcMar>
              <w:top w:w="80" w:type="dxa"/>
              <w:bottom w:w="80" w:type="dxa"/>
              <w:start w:w="120" w:type="dxa"/>
              <w:end w:w="120" w:type="dxa"/>
            </w:tcMar>
          </w:tcPr>
          <w:p>
            <w:pPr>
              <w:spacing w:after="0" w:line="259" w:lineRule="auto"/>
            </w:pPr>
            <w:r>
              <w:rPr>
                <w:rFonts w:ascii="Calibri" w:hAnsi="Calibri"/>
                <w:color w:val="1D2530"/>
                <w:sz w:val="18"/>
              </w:rPr>
              <w:t>Examples</w:t>
            </w:r>
          </w:p>
        </w:tc>
        <w:tc>
          <w:tcPr>
            <w:tcW w:type="dxa" w:w="6860"/>
            <w:vAlign w:val="center"/>
            <w:tcMar>
              <w:top w:w="80" w:type="dxa"/>
              <w:bottom w:w="80" w:type="dxa"/>
              <w:start w:w="120" w:type="dxa"/>
              <w:end w:w="120" w:type="dxa"/>
            </w:tcMar>
          </w:tcPr>
          <w:p>
            <w:pPr>
              <w:spacing w:after="0" w:line="259" w:lineRule="auto"/>
            </w:pPr>
            <w:r>
              <w:rPr>
                <w:rFonts w:ascii="Calibri" w:hAnsi="Calibri"/>
                <w:color w:val="1D2530"/>
                <w:sz w:val="18"/>
              </w:rPr>
              <w:t>Small executable scripts that import the installed package and use explicit RNGs.</w:t>
            </w:r>
          </w:p>
        </w:tc>
      </w:tr>
    </w:tbl>
    <w:p>
      <w:pPr>
        <w:spacing w:after="20"/>
      </w:pPr>
    </w:p>
    <w:p>
      <w:pPr>
        <w:pStyle w:val="Heading2"/>
      </w:pPr>
      <w:r>
        <w:t>5.1 Phase report template</w:t>
      </w:r>
    </w:p>
    <w:p>
      <w:pPr>
        <w:spacing w:before="60" w:after="140" w:line="252" w:lineRule="auto"/>
        <w:ind w:left="317" w:right="216"/>
        <w:shd w:fill="F5F7FA"/>
      </w:pPr>
      <w:r>
        <w:rPr>
          <w:rFonts w:ascii="Consolas" w:hAnsi="Consolas"/>
          <w:color w:val="1D2530"/>
          <w:sz w:val="18"/>
        </w:rPr>
        <w:t># Phase N report</w:t>
      </w:r>
      <w:r>
        <w:br/>
      </w:r>
      <w:r>
        <w:rPr>
          <w:rFonts w:ascii="Consolas" w:hAnsi="Consolas"/>
          <w:color w:val="1D2530"/>
          <w:sz w:val="18"/>
        </w:rPr>
      </w:r>
      <w:r>
        <w:br/>
      </w:r>
      <w:r>
        <w:rPr>
          <w:rFonts w:ascii="Consolas" w:hAnsi="Consolas"/>
          <w:color w:val="1D2530"/>
          <w:sz w:val="18"/>
        </w:rPr>
        <w:t>## Objective and scope</w:t>
      </w:r>
      <w:r>
        <w:br/>
      </w:r>
      <w:r>
        <w:rPr>
          <w:rFonts w:ascii="Consolas" w:hAnsi="Consolas"/>
          <w:color w:val="1D2530"/>
          <w:sz w:val="18"/>
        </w:rPr>
        <w:t>## Inputs received from the project owner</w:t>
      </w:r>
      <w:r>
        <w:br/>
      </w:r>
      <w:r>
        <w:rPr>
          <w:rFonts w:ascii="Consolas" w:hAnsi="Consolas"/>
          <w:color w:val="1D2530"/>
          <w:sz w:val="18"/>
        </w:rPr>
        <w:t>## Mathematical decisions and assumptions</w:t>
      </w:r>
      <w:r>
        <w:br/>
      </w:r>
      <w:r>
        <w:rPr>
          <w:rFonts w:ascii="Consolas" w:hAnsi="Consolas"/>
          <w:color w:val="1D2530"/>
          <w:sz w:val="18"/>
        </w:rPr>
        <w:t>## Architecture/files changed</w:t>
      </w:r>
      <w:r>
        <w:br/>
      </w:r>
      <w:r>
        <w:rPr>
          <w:rFonts w:ascii="Consolas" w:hAnsi="Consolas"/>
          <w:color w:val="1D2530"/>
          <w:sz w:val="18"/>
        </w:rPr>
        <w:t>## Commands run</w:t>
      </w:r>
      <w:r>
        <w:br/>
      </w:r>
      <w:r>
        <w:rPr>
          <w:rFonts w:ascii="Consolas" w:hAnsi="Consolas"/>
          <w:color w:val="1D2530"/>
          <w:sz w:val="18"/>
        </w:rPr>
        <w:t>## Test and benchmark results</w:t>
      </w:r>
      <w:r>
        <w:br/>
      </w:r>
      <w:r>
        <w:rPr>
          <w:rFonts w:ascii="Consolas" w:hAnsi="Consolas"/>
          <w:color w:val="1D2530"/>
          <w:sz w:val="18"/>
        </w:rPr>
        <w:t>## Diagnostic plots</w:t>
      </w:r>
      <w:r>
        <w:br/>
      </w:r>
      <w:r>
        <w:rPr>
          <w:rFonts w:ascii="Consolas" w:hAnsi="Consolas"/>
          <w:color w:val="1D2530"/>
          <w:sz w:val="18"/>
        </w:rPr>
        <w:t>## Deviations from the plan</w:t>
      </w:r>
      <w:r>
        <w:br/>
      </w:r>
      <w:r>
        <w:rPr>
          <w:rFonts w:ascii="Consolas" w:hAnsi="Consolas"/>
          <w:color w:val="1D2530"/>
          <w:sz w:val="18"/>
        </w:rPr>
        <w:t>## Known failures and limitations</w:t>
      </w:r>
      <w:r>
        <w:br/>
      </w:r>
      <w:r>
        <w:rPr>
          <w:rFonts w:ascii="Consolas" w:hAnsi="Consolas"/>
          <w:color w:val="1D2530"/>
          <w:sz w:val="18"/>
        </w:rPr>
        <w:t>## Reproduction instructions</w:t>
      </w:r>
      <w:r>
        <w:br/>
      </w:r>
      <w:r>
        <w:rPr>
          <w:rFonts w:ascii="Consolas" w:hAnsi="Consolas"/>
          <w:color w:val="1D2530"/>
          <w:sz w:val="18"/>
        </w:rPr>
        <w:t>## Questions requiring owner decision</w:t>
      </w:r>
      <w:r>
        <w:br/>
      </w:r>
      <w:r>
        <w:rPr>
          <w:rFonts w:ascii="Consolas" w:hAnsi="Consolas"/>
          <w:color w:val="1D2530"/>
          <w:sz w:val="18"/>
        </w:rPr>
        <w:t>## Recommendation: proceed, revise, or stop</w:t>
      </w:r>
    </w:p>
    <w:p>
      <w:pPr>
        <w:pStyle w:val="Heading1"/>
      </w:pPr>
      <w:r>
        <w:t>6. Phase 2 handoff and stop protocol</w:t>
      </w:r>
    </w:p>
    <w:p>
      <w:r>
        <w:t>At the end of Phase 2, provide one concise handoff containing:</w:t>
      </w:r>
    </w:p>
    <w:p>
      <w:pPr>
        <w:pStyle w:val="ListBullet"/>
        <w:spacing w:after="80" w:line="300" w:lineRule="auto"/>
      </w:pPr>
      <w:r>
        <w:t>A summary of what runs and what does not.</w:t>
      </w:r>
    </w:p>
    <w:p>
      <w:pPr>
        <w:pStyle w:val="ListBullet"/>
        <w:spacing w:after="80" w:line="300" w:lineRule="auto"/>
      </w:pPr>
      <w:r>
        <w:t>The exact environment creation, installation and test commands.</w:t>
      </w:r>
    </w:p>
    <w:p>
      <w:pPr>
        <w:pStyle w:val="ListBullet"/>
        <w:spacing w:after="80" w:line="300" w:lineRule="auto"/>
      </w:pPr>
      <w:r>
        <w:t>The configurations and seeds for all reported benchmarks.</w:t>
      </w:r>
    </w:p>
    <w:p>
      <w:pPr>
        <w:pStyle w:val="ListBullet"/>
        <w:spacing w:after="80" w:line="300" w:lineRule="auto"/>
      </w:pPr>
      <w:r>
        <w:t>A small table of expected versus obtained evidence/posterior summaries.</w:t>
      </w:r>
    </w:p>
    <w:p>
      <w:pPr>
        <w:pStyle w:val="ListBullet"/>
        <w:spacing w:after="80" w:line="300" w:lineRule="auto"/>
      </w:pPr>
      <w:r>
        <w:t>Links or paths to the Phase 1 and Phase 2 reports and generated plots.</w:t>
      </w:r>
    </w:p>
    <w:p>
      <w:pPr>
        <w:pStyle w:val="ListBullet"/>
        <w:spacing w:after="80" w:line="300" w:lineRule="auto"/>
      </w:pPr>
      <w:r>
        <w:t>All warnings that could affect statistical validity.</w:t>
      </w:r>
    </w:p>
    <w:p>
      <w:pPr>
        <w:pStyle w:val="ListBullet"/>
        <w:spacing w:after="80" w:line="300" w:lineRule="auto"/>
      </w:pPr>
      <w:r>
        <w:t>A short list of decisions needed before implementing defensive Morph.</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FF4D6"/>
            <w:tcBorders>
              <w:top w:val="single" w:sz="6" w:color="FFF4D6"/>
              <w:left w:val="single" w:sz="6" w:color="FFF4D6"/>
              <w:bottom w:val="single" w:sz="6" w:color="FFF4D6"/>
              <w:right w:val="single" w:sz="6" w:color="FFF4D6"/>
              <w:insideH w:val="single" w:sz="6" w:color="FFF4D6"/>
              <w:insideV w:val="single" w:sz="6" w:color="FFF4D6"/>
            </w:tcBorders>
            <w:vAlign w:val="center"/>
            <w:tcMar>
              <w:top w:w="80" w:type="dxa"/>
              <w:bottom w:w="80" w:type="dxa"/>
              <w:start w:w="120" w:type="dxa"/>
              <w:end w:w="120" w:type="dxa"/>
            </w:tcMar>
          </w:tcPr>
          <w:p>
            <w:pPr>
              <w:spacing w:before="40" w:after="40" w:line="276" w:lineRule="auto"/>
            </w:pPr>
            <w:r>
              <w:rPr>
                <w:rFonts w:ascii="Calibri" w:hAnsi="Calibri"/>
                <w:b/>
                <w:color w:val="1F4D78"/>
              </w:rPr>
              <w:t xml:space="preserve">Mandatory stop: </w:t>
            </w:r>
            <w:r>
              <w:t>After delivering this handoff, perform no Phase 3 implementation. Wait for the project owner to run the sampler, report failures or approve continuation.</w:t>
            </w:r>
          </w:p>
        </w:tc>
      </w:tr>
    </w:tbl>
    <w:p>
      <w:pPr>
        <w:spacing w:after="20"/>
      </w:pPr>
    </w:p>
    <w:p>
      <w:pPr>
        <w:pStyle w:val="Heading1"/>
      </w:pPr>
      <w:r>
        <w:t>7. Copy-paste instruction for the coding agent</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E8EEF5"/>
            <w:tcBorders>
              <w:top w:val="single" w:sz="6" w:color="E8EEF5"/>
              <w:left w:val="single" w:sz="6" w:color="E8EEF5"/>
              <w:bottom w:val="single" w:sz="6" w:color="E8EEF5"/>
              <w:right w:val="single" w:sz="6" w:color="E8EEF5"/>
              <w:insideH w:val="single" w:sz="6" w:color="E8EEF5"/>
              <w:insideV w:val="single" w:sz="6" w:color="E8EEF5"/>
            </w:tcBorders>
            <w:vAlign w:val="center"/>
            <w:tcMar>
              <w:top w:w="80" w:type="dxa"/>
              <w:bottom w:w="80" w:type="dxa"/>
              <w:start w:w="120" w:type="dxa"/>
              <w:end w:w="120" w:type="dxa"/>
            </w:tcMar>
          </w:tcPr>
          <w:p>
            <w:pPr>
              <w:spacing w:before="40" w:after="40" w:line="276" w:lineRule="auto"/>
            </w:pPr>
            <w:r>
              <w:rPr>
                <w:rFonts w:ascii="Calibri" w:hAnsi="Calibri"/>
                <w:b/>
                <w:color w:val="1F4D78"/>
              </w:rPr>
              <w:t xml:space="preserve">Agent brief: </w:t>
            </w:r>
            <w:r>
              <w:t>Work through this document sequentially. Complete Phase 1, verify its acceptance gate and write `docs/phases/phase_1.md`. Then implement only the Phase 2 minimal sampler using the project owner's supplied algorithm and Morph code. Before writing the loop, document the target distribution, proposal density, support assumptions, replacement rule, evidence formula and stopping rule. Keep modules disentangled and add tests and documentation as each component is introduced. Run the Phase 2 test ladder, create the minimal diagnostic plots, write `docs/phases/phase_2.md`, and hand the sampler back with exact reproduction commands. Stop after Phase 2 and wait for explicit approval.</w:t>
            </w:r>
          </w:p>
        </w:tc>
      </w:tr>
    </w:tbl>
    <w:p>
      <w:pPr>
        <w:spacing w:after="20"/>
      </w:pPr>
    </w:p>
    <w:sectPr w:rsidR="00FC693F" w:rsidRPr="0006063C" w:rsidSect="00034616">
      <w:headerReference w:type="default" r:id="rId9"/>
      <w:footerReference w:type="default" r:id="rId10"/>
      <w:pgSz w:w="12240" w:h="15840"/>
      <w:pgMar w:top="1080"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978"/>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5B6978"/>
        <w:sz w:val="18"/>
      </w:rPr>
      <w:t>MINS | Agent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D25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F4D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iCs/>
      <w:color w:val="5B69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rPr>
      <w:rFonts w:ascii="Calibri" w:hAnsi="Calibri"/>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MINS Agent Implementation Plan - Phases 1 and 2</dc:title>
  <dc:subject>PyPI package preparation and minimal Morph nested-sampling validation</dc:subject>
  <dc:creator>MINS Project</dc:creator>
  <cp:keywords>nested sampling, importance sampling, Morph approximation, Python package, PyPI</cp:keywords>
  <dc:description>Execution plan for the first two development phases.</dc:description>
  <cp:lastModifiedBy/>
  <cp:revision>1</cp:revision>
  <dcterms:created xsi:type="dcterms:W3CDTF">2013-12-23T23:15:00Z</dcterms:created>
  <dcterms:modified xsi:type="dcterms:W3CDTF">2013-12-23T23:15:00Z</dcterms:modified>
  <cp:category/>
</cp:coreProperties>
</file>