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2E879FCD" w:rsidR="00DC5BE1" w:rsidRDefault="00636E79" w:rsidP="00C16E77">
      <w:pPr>
        <w:jc w:val="center"/>
      </w:pPr>
      <w:proofErr w:type="spellStart"/>
      <w:r w:rsidRPr="00636E79">
        <w:rPr>
          <w:b/>
          <w:color w:val="0D274D"/>
          <w:sz w:val="60"/>
        </w:rPr>
        <w:t>QuoteToBooking</w:t>
      </w:r>
      <w:proofErr w:type="spellEnd"/>
      <w:r>
        <w:rPr>
          <w:b/>
          <w:color w:val="0D274D"/>
          <w:sz w:val="60"/>
        </w:rPr>
        <w:br/>
      </w:r>
      <w:r w:rsidR="00000000">
        <w:rPr>
          <w:color w:val="009FD9"/>
          <w:sz w:val="30"/>
        </w:rPr>
        <w:t>Star Schema Data Model, Business Glossary &amp; Process</w:t>
      </w:r>
    </w:p>
    <w:p w14:paraId="406425CA" w14:textId="77777777" w:rsidR="00DC5BE1" w:rsidRDefault="16808B1E">
      <w:pPr>
        <w:pStyle w:val="Heading1"/>
      </w:pPr>
      <w:bookmarkStart w:id="0" w:name="_Toc235611069"/>
      <w:r>
        <w:t>Contents</w:t>
      </w:r>
      <w:bookmarkEnd w:id="0"/>
    </w:p>
    <w:p w14:paraId="79472DF2" w14:textId="4B777A9F" w:rsidR="00E96408" w:rsidRDefault="16808B1E">
      <w:pPr>
        <w:pStyle w:val="TOC1"/>
        <w:tabs>
          <w:tab w:val="right" w:leader="dot" w:pos="8630"/>
        </w:tabs>
        <w:rPr>
          <w:rFonts w:asciiTheme="minorHAnsi" w:hAnsiTheme="minorHAnsi"/>
          <w:noProof/>
          <w:kern w:val="2"/>
          <w:sz w:val="24"/>
          <w:szCs w:val="24"/>
          <w:lang w:val="en-IN" w:eastAsia="en-IN"/>
          <w14:ligatures w14:val="standardContextual"/>
        </w:rPr>
      </w:pPr>
      <w:r>
        <w:fldChar w:fldCharType="begin"/>
      </w:r>
      <w:r>
        <w:instrText>TOC \o "1-2" \z \u \h</w:instrText>
      </w:r>
      <w:r>
        <w:fldChar w:fldCharType="separate"/>
      </w:r>
      <w:hyperlink w:anchor="_Toc235611069" w:history="1">
        <w:r w:rsidR="00E96408" w:rsidRPr="0016147D">
          <w:rPr>
            <w:rStyle w:val="Hyperlink"/>
            <w:noProof/>
          </w:rPr>
          <w:t>Contents</w:t>
        </w:r>
        <w:r w:rsidR="00E96408">
          <w:rPr>
            <w:noProof/>
            <w:webHidden/>
          </w:rPr>
          <w:tab/>
        </w:r>
        <w:r w:rsidR="00E96408">
          <w:rPr>
            <w:noProof/>
            <w:webHidden/>
          </w:rPr>
          <w:fldChar w:fldCharType="begin"/>
        </w:r>
        <w:r w:rsidR="00E96408">
          <w:rPr>
            <w:noProof/>
            <w:webHidden/>
          </w:rPr>
          <w:instrText xml:space="preserve"> PAGEREF _Toc235611069 \h </w:instrText>
        </w:r>
        <w:r w:rsidR="00E96408">
          <w:rPr>
            <w:noProof/>
            <w:webHidden/>
          </w:rPr>
        </w:r>
        <w:r w:rsidR="00E96408">
          <w:rPr>
            <w:noProof/>
            <w:webHidden/>
          </w:rPr>
          <w:fldChar w:fldCharType="separate"/>
        </w:r>
        <w:r w:rsidR="00E96408">
          <w:rPr>
            <w:noProof/>
            <w:webHidden/>
          </w:rPr>
          <w:t>1</w:t>
        </w:r>
        <w:r w:rsidR="00E96408">
          <w:rPr>
            <w:noProof/>
            <w:webHidden/>
          </w:rPr>
          <w:fldChar w:fldCharType="end"/>
        </w:r>
      </w:hyperlink>
    </w:p>
    <w:p w14:paraId="3ABA8B36" w14:textId="67D9E806" w:rsidR="00E96408" w:rsidRDefault="00E96408">
      <w:pPr>
        <w:pStyle w:val="TOC1"/>
        <w:tabs>
          <w:tab w:val="right" w:leader="dot" w:pos="8630"/>
        </w:tabs>
        <w:rPr>
          <w:rFonts w:asciiTheme="minorHAnsi" w:hAnsiTheme="minorHAnsi"/>
          <w:noProof/>
          <w:kern w:val="2"/>
          <w:sz w:val="24"/>
          <w:szCs w:val="24"/>
          <w:lang w:val="en-IN" w:eastAsia="en-IN"/>
          <w14:ligatures w14:val="standardContextual"/>
        </w:rPr>
      </w:pPr>
      <w:hyperlink w:anchor="_Toc235611070" w:history="1">
        <w:r w:rsidRPr="0016147D">
          <w:rPr>
            <w:rStyle w:val="Hyperlink"/>
            <w:noProof/>
          </w:rPr>
          <w:t>1. Executive Summary</w:t>
        </w:r>
        <w:r>
          <w:rPr>
            <w:noProof/>
            <w:webHidden/>
          </w:rPr>
          <w:tab/>
        </w:r>
        <w:r>
          <w:rPr>
            <w:noProof/>
            <w:webHidden/>
          </w:rPr>
          <w:fldChar w:fldCharType="begin"/>
        </w:r>
        <w:r>
          <w:rPr>
            <w:noProof/>
            <w:webHidden/>
          </w:rPr>
          <w:instrText xml:space="preserve"> PAGEREF _Toc235611070 \h </w:instrText>
        </w:r>
        <w:r>
          <w:rPr>
            <w:noProof/>
            <w:webHidden/>
          </w:rPr>
        </w:r>
        <w:r>
          <w:rPr>
            <w:noProof/>
            <w:webHidden/>
          </w:rPr>
          <w:fldChar w:fldCharType="separate"/>
        </w:r>
        <w:r>
          <w:rPr>
            <w:noProof/>
            <w:webHidden/>
          </w:rPr>
          <w:t>2</w:t>
        </w:r>
        <w:r>
          <w:rPr>
            <w:noProof/>
            <w:webHidden/>
          </w:rPr>
          <w:fldChar w:fldCharType="end"/>
        </w:r>
      </w:hyperlink>
    </w:p>
    <w:p w14:paraId="217B587B" w14:textId="01327CB6" w:rsidR="00E96408" w:rsidRDefault="00E96408">
      <w:pPr>
        <w:pStyle w:val="TOC1"/>
        <w:tabs>
          <w:tab w:val="right" w:leader="dot" w:pos="8630"/>
        </w:tabs>
        <w:rPr>
          <w:rFonts w:asciiTheme="minorHAnsi" w:hAnsiTheme="minorHAnsi"/>
          <w:noProof/>
          <w:kern w:val="2"/>
          <w:sz w:val="24"/>
          <w:szCs w:val="24"/>
          <w:lang w:val="en-IN" w:eastAsia="en-IN"/>
          <w14:ligatures w14:val="standardContextual"/>
        </w:rPr>
      </w:pPr>
      <w:hyperlink w:anchor="_Toc235611071" w:history="1">
        <w:r w:rsidRPr="0016147D">
          <w:rPr>
            <w:rStyle w:val="Hyperlink"/>
            <w:noProof/>
          </w:rPr>
          <w:t>2. Business Process — Quote-to-Booking</w:t>
        </w:r>
        <w:r>
          <w:rPr>
            <w:noProof/>
            <w:webHidden/>
          </w:rPr>
          <w:tab/>
        </w:r>
        <w:r>
          <w:rPr>
            <w:noProof/>
            <w:webHidden/>
          </w:rPr>
          <w:fldChar w:fldCharType="begin"/>
        </w:r>
        <w:r>
          <w:rPr>
            <w:noProof/>
            <w:webHidden/>
          </w:rPr>
          <w:instrText xml:space="preserve"> PAGEREF _Toc235611071 \h </w:instrText>
        </w:r>
        <w:r>
          <w:rPr>
            <w:noProof/>
            <w:webHidden/>
          </w:rPr>
        </w:r>
        <w:r>
          <w:rPr>
            <w:noProof/>
            <w:webHidden/>
          </w:rPr>
          <w:fldChar w:fldCharType="separate"/>
        </w:r>
        <w:r>
          <w:rPr>
            <w:noProof/>
            <w:webHidden/>
          </w:rPr>
          <w:t>2</w:t>
        </w:r>
        <w:r>
          <w:rPr>
            <w:noProof/>
            <w:webHidden/>
          </w:rPr>
          <w:fldChar w:fldCharType="end"/>
        </w:r>
      </w:hyperlink>
    </w:p>
    <w:p w14:paraId="13FE3390" w14:textId="1EEE8B00" w:rsidR="00E96408" w:rsidRDefault="00E96408">
      <w:pPr>
        <w:pStyle w:val="TOC2"/>
        <w:tabs>
          <w:tab w:val="right" w:leader="dot" w:pos="8630"/>
        </w:tabs>
        <w:rPr>
          <w:rFonts w:asciiTheme="minorHAnsi" w:hAnsiTheme="minorHAnsi"/>
          <w:noProof/>
          <w:kern w:val="2"/>
          <w:sz w:val="24"/>
          <w:szCs w:val="24"/>
          <w:lang w:val="en-IN" w:eastAsia="en-IN"/>
          <w14:ligatures w14:val="standardContextual"/>
        </w:rPr>
      </w:pPr>
      <w:hyperlink w:anchor="_Toc235611072" w:history="1">
        <w:r w:rsidRPr="0016147D">
          <w:rPr>
            <w:rStyle w:val="Hyperlink"/>
            <w:noProof/>
          </w:rPr>
          <w:t>2.1 Overview &amp; scope</w:t>
        </w:r>
        <w:r>
          <w:rPr>
            <w:noProof/>
            <w:webHidden/>
          </w:rPr>
          <w:tab/>
        </w:r>
        <w:r>
          <w:rPr>
            <w:noProof/>
            <w:webHidden/>
          </w:rPr>
          <w:fldChar w:fldCharType="begin"/>
        </w:r>
        <w:r>
          <w:rPr>
            <w:noProof/>
            <w:webHidden/>
          </w:rPr>
          <w:instrText xml:space="preserve"> PAGEREF _Toc235611072 \h </w:instrText>
        </w:r>
        <w:r>
          <w:rPr>
            <w:noProof/>
            <w:webHidden/>
          </w:rPr>
        </w:r>
        <w:r>
          <w:rPr>
            <w:noProof/>
            <w:webHidden/>
          </w:rPr>
          <w:fldChar w:fldCharType="separate"/>
        </w:r>
        <w:r>
          <w:rPr>
            <w:noProof/>
            <w:webHidden/>
          </w:rPr>
          <w:t>2</w:t>
        </w:r>
        <w:r>
          <w:rPr>
            <w:noProof/>
            <w:webHidden/>
          </w:rPr>
          <w:fldChar w:fldCharType="end"/>
        </w:r>
      </w:hyperlink>
    </w:p>
    <w:p w14:paraId="1A0CDCBA" w14:textId="70C01FCE" w:rsidR="00E96408" w:rsidRDefault="00E96408">
      <w:pPr>
        <w:pStyle w:val="TOC2"/>
        <w:tabs>
          <w:tab w:val="right" w:leader="dot" w:pos="8630"/>
        </w:tabs>
        <w:rPr>
          <w:rFonts w:asciiTheme="minorHAnsi" w:hAnsiTheme="minorHAnsi"/>
          <w:noProof/>
          <w:kern w:val="2"/>
          <w:sz w:val="24"/>
          <w:szCs w:val="24"/>
          <w:lang w:val="en-IN" w:eastAsia="en-IN"/>
          <w14:ligatures w14:val="standardContextual"/>
        </w:rPr>
      </w:pPr>
      <w:hyperlink w:anchor="_Toc235611073" w:history="1">
        <w:r w:rsidRPr="0016147D">
          <w:rPr>
            <w:rStyle w:val="Hyperlink"/>
            <w:noProof/>
          </w:rPr>
          <w:t>2.2 Process flow</w:t>
        </w:r>
        <w:r>
          <w:rPr>
            <w:noProof/>
            <w:webHidden/>
          </w:rPr>
          <w:tab/>
        </w:r>
        <w:r>
          <w:rPr>
            <w:noProof/>
            <w:webHidden/>
          </w:rPr>
          <w:fldChar w:fldCharType="begin"/>
        </w:r>
        <w:r>
          <w:rPr>
            <w:noProof/>
            <w:webHidden/>
          </w:rPr>
          <w:instrText xml:space="preserve"> PAGEREF _Toc235611073 \h </w:instrText>
        </w:r>
        <w:r>
          <w:rPr>
            <w:noProof/>
            <w:webHidden/>
          </w:rPr>
        </w:r>
        <w:r>
          <w:rPr>
            <w:noProof/>
            <w:webHidden/>
          </w:rPr>
          <w:fldChar w:fldCharType="separate"/>
        </w:r>
        <w:r>
          <w:rPr>
            <w:noProof/>
            <w:webHidden/>
          </w:rPr>
          <w:t>2</w:t>
        </w:r>
        <w:r>
          <w:rPr>
            <w:noProof/>
            <w:webHidden/>
          </w:rPr>
          <w:fldChar w:fldCharType="end"/>
        </w:r>
      </w:hyperlink>
    </w:p>
    <w:p w14:paraId="7A7C94FF" w14:textId="7CA581DC" w:rsidR="00E96408" w:rsidRDefault="00E96408">
      <w:pPr>
        <w:pStyle w:val="TOC2"/>
        <w:tabs>
          <w:tab w:val="right" w:leader="dot" w:pos="8630"/>
        </w:tabs>
        <w:rPr>
          <w:rFonts w:asciiTheme="minorHAnsi" w:hAnsiTheme="minorHAnsi"/>
          <w:noProof/>
          <w:kern w:val="2"/>
          <w:sz w:val="24"/>
          <w:szCs w:val="24"/>
          <w:lang w:val="en-IN" w:eastAsia="en-IN"/>
          <w14:ligatures w14:val="standardContextual"/>
        </w:rPr>
      </w:pPr>
      <w:hyperlink w:anchor="_Toc235611074" w:history="1">
        <w:r w:rsidRPr="0016147D">
          <w:rPr>
            <w:rStyle w:val="Hyperlink"/>
            <w:noProof/>
          </w:rPr>
          <w:t>2.3 Booking recognition rules (bookings vs billings vs revenue)</w:t>
        </w:r>
        <w:r>
          <w:rPr>
            <w:noProof/>
            <w:webHidden/>
          </w:rPr>
          <w:tab/>
        </w:r>
        <w:r>
          <w:rPr>
            <w:noProof/>
            <w:webHidden/>
          </w:rPr>
          <w:fldChar w:fldCharType="begin"/>
        </w:r>
        <w:r>
          <w:rPr>
            <w:noProof/>
            <w:webHidden/>
          </w:rPr>
          <w:instrText xml:space="preserve"> PAGEREF _Toc235611074 \h </w:instrText>
        </w:r>
        <w:r>
          <w:rPr>
            <w:noProof/>
            <w:webHidden/>
          </w:rPr>
        </w:r>
        <w:r>
          <w:rPr>
            <w:noProof/>
            <w:webHidden/>
          </w:rPr>
          <w:fldChar w:fldCharType="separate"/>
        </w:r>
        <w:r>
          <w:rPr>
            <w:noProof/>
            <w:webHidden/>
          </w:rPr>
          <w:t>2</w:t>
        </w:r>
        <w:r>
          <w:rPr>
            <w:noProof/>
            <w:webHidden/>
          </w:rPr>
          <w:fldChar w:fldCharType="end"/>
        </w:r>
      </w:hyperlink>
    </w:p>
    <w:p w14:paraId="186CFB24" w14:textId="1B9B94C0" w:rsidR="00E96408" w:rsidRDefault="00E96408">
      <w:pPr>
        <w:pStyle w:val="TOC2"/>
        <w:tabs>
          <w:tab w:val="right" w:leader="dot" w:pos="8630"/>
        </w:tabs>
        <w:rPr>
          <w:rFonts w:asciiTheme="minorHAnsi" w:hAnsiTheme="minorHAnsi"/>
          <w:noProof/>
          <w:kern w:val="2"/>
          <w:sz w:val="24"/>
          <w:szCs w:val="24"/>
          <w:lang w:val="en-IN" w:eastAsia="en-IN"/>
          <w14:ligatures w14:val="standardContextual"/>
        </w:rPr>
      </w:pPr>
      <w:hyperlink w:anchor="_Toc235611075" w:history="1">
        <w:r w:rsidRPr="0016147D">
          <w:rPr>
            <w:rStyle w:val="Hyperlink"/>
            <w:noProof/>
          </w:rPr>
          <w:t>2.4 Roles &amp; ownership</w:t>
        </w:r>
        <w:r>
          <w:rPr>
            <w:noProof/>
            <w:webHidden/>
          </w:rPr>
          <w:tab/>
        </w:r>
        <w:r>
          <w:rPr>
            <w:noProof/>
            <w:webHidden/>
          </w:rPr>
          <w:fldChar w:fldCharType="begin"/>
        </w:r>
        <w:r>
          <w:rPr>
            <w:noProof/>
            <w:webHidden/>
          </w:rPr>
          <w:instrText xml:space="preserve"> PAGEREF _Toc235611075 \h </w:instrText>
        </w:r>
        <w:r>
          <w:rPr>
            <w:noProof/>
            <w:webHidden/>
          </w:rPr>
        </w:r>
        <w:r>
          <w:rPr>
            <w:noProof/>
            <w:webHidden/>
          </w:rPr>
          <w:fldChar w:fldCharType="separate"/>
        </w:r>
        <w:r>
          <w:rPr>
            <w:noProof/>
            <w:webHidden/>
          </w:rPr>
          <w:t>3</w:t>
        </w:r>
        <w:r>
          <w:rPr>
            <w:noProof/>
            <w:webHidden/>
          </w:rPr>
          <w:fldChar w:fldCharType="end"/>
        </w:r>
      </w:hyperlink>
    </w:p>
    <w:p w14:paraId="27EB5B56" w14:textId="183C9816" w:rsidR="00E96408" w:rsidRDefault="00E96408">
      <w:pPr>
        <w:pStyle w:val="TOC2"/>
        <w:tabs>
          <w:tab w:val="right" w:leader="dot" w:pos="8630"/>
        </w:tabs>
        <w:rPr>
          <w:rFonts w:asciiTheme="minorHAnsi" w:hAnsiTheme="minorHAnsi"/>
          <w:noProof/>
          <w:kern w:val="2"/>
          <w:sz w:val="24"/>
          <w:szCs w:val="24"/>
          <w:lang w:val="en-IN" w:eastAsia="en-IN"/>
          <w14:ligatures w14:val="standardContextual"/>
        </w:rPr>
      </w:pPr>
      <w:hyperlink w:anchor="_Toc235611076" w:history="1">
        <w:r w:rsidRPr="0016147D">
          <w:rPr>
            <w:rStyle w:val="Hyperlink"/>
            <w:noProof/>
          </w:rPr>
          <w:t>2.5 Key metrics (KPIs)</w:t>
        </w:r>
        <w:r>
          <w:rPr>
            <w:noProof/>
            <w:webHidden/>
          </w:rPr>
          <w:tab/>
        </w:r>
        <w:r>
          <w:rPr>
            <w:noProof/>
            <w:webHidden/>
          </w:rPr>
          <w:fldChar w:fldCharType="begin"/>
        </w:r>
        <w:r>
          <w:rPr>
            <w:noProof/>
            <w:webHidden/>
          </w:rPr>
          <w:instrText xml:space="preserve"> PAGEREF _Toc235611076 \h </w:instrText>
        </w:r>
        <w:r>
          <w:rPr>
            <w:noProof/>
            <w:webHidden/>
          </w:rPr>
        </w:r>
        <w:r>
          <w:rPr>
            <w:noProof/>
            <w:webHidden/>
          </w:rPr>
          <w:fldChar w:fldCharType="separate"/>
        </w:r>
        <w:r>
          <w:rPr>
            <w:noProof/>
            <w:webHidden/>
          </w:rPr>
          <w:t>3</w:t>
        </w:r>
        <w:r>
          <w:rPr>
            <w:noProof/>
            <w:webHidden/>
          </w:rPr>
          <w:fldChar w:fldCharType="end"/>
        </w:r>
      </w:hyperlink>
    </w:p>
    <w:p w14:paraId="6C4214B1" w14:textId="0B1BC21F" w:rsidR="16808B1E" w:rsidRDefault="16808B1E" w:rsidP="16808B1E">
      <w:pPr>
        <w:pStyle w:val="TOC1"/>
      </w:pPr>
      <w:r>
        <w:fldChar w:fldCharType="end"/>
      </w:r>
    </w:p>
    <w:p w14:paraId="0A37501D" w14:textId="77777777" w:rsidR="00DC5BE1" w:rsidRDefault="00000000">
      <w:r>
        <w:br w:type="page"/>
      </w:r>
    </w:p>
    <w:p w14:paraId="0583529C" w14:textId="77777777" w:rsidR="00DC5BE1" w:rsidRDefault="16808B1E">
      <w:pPr>
        <w:pStyle w:val="Heading1"/>
      </w:pPr>
      <w:bookmarkStart w:id="1" w:name="_Toc235611070"/>
      <w:r>
        <w:lastRenderedPageBreak/>
        <w:t>1. Executive Summary</w:t>
      </w:r>
      <w:bookmarkEnd w:id="1"/>
    </w:p>
    <w:p w14:paraId="699482E6" w14:textId="04BE3933" w:rsidR="00DC5BE1" w:rsidRDefault="00000000">
      <w:pPr>
        <w:spacing w:after="120"/>
      </w:pPr>
      <w:r>
        <w:t>This document specifies a dimensional (star schema) data model for bookings, together with sample data, a business glossary, and a writeup of the underlying business process.</w:t>
      </w:r>
      <w:r w:rsidR="00C16E77">
        <w:t xml:space="preserve"> </w:t>
      </w:r>
      <w:proofErr w:type="gramStart"/>
      <w:r w:rsidR="00C16E77">
        <w:t>T</w:t>
      </w:r>
      <w:r>
        <w:t>he</w:t>
      </w:r>
      <w:proofErr w:type="gramEnd"/>
      <w:r>
        <w:t xml:space="preserve"> ontology and knowledge graph map to these conformed dimensions, the governed Bookings metric compiles to SQL over the fact table, and answers are delivered to consumption tools such as Tableau, Microsoft Teams and Outlook.</w:t>
      </w:r>
    </w:p>
    <w:p w14:paraId="0EFF0131" w14:textId="77777777" w:rsidR="00DC5BE1" w:rsidRDefault="00000000">
      <w:pPr>
        <w:spacing w:after="120"/>
      </w:pPr>
      <w:r>
        <w:t>The model is deliberately simple and query-friendly: one fact table at order-line grain surrounded by seven conformed dimensions. That structure lets a single, governed definition of Bookings be sliced by account, product, partner, geography, sales team, contract and time — the questions the renewals, channel and product organizations ask every day.</w:t>
      </w:r>
    </w:p>
    <w:p w14:paraId="2128DBBC" w14:textId="77777777" w:rsidR="00DC5BE1" w:rsidRDefault="16808B1E">
      <w:pPr>
        <w:pStyle w:val="Heading1"/>
      </w:pPr>
      <w:bookmarkStart w:id="2" w:name="_Toc235611071"/>
      <w:r>
        <w:t>2. Business Process — Quote-to-Booking</w:t>
      </w:r>
      <w:bookmarkEnd w:id="2"/>
    </w:p>
    <w:p w14:paraId="125A340A" w14:textId="77777777" w:rsidR="00DC5BE1" w:rsidRDefault="16808B1E">
      <w:pPr>
        <w:pStyle w:val="Heading2"/>
      </w:pPr>
      <w:bookmarkStart w:id="3" w:name="_Toc235611072"/>
      <w:r>
        <w:t>2.1 Overview &amp; scope</w:t>
      </w:r>
      <w:bookmarkEnd w:id="3"/>
    </w:p>
    <w:p w14:paraId="36913C0A" w14:textId="602F6378" w:rsidR="00DC5BE1" w:rsidRDefault="00000000">
      <w:pPr>
        <w:spacing w:after="120"/>
      </w:pPr>
      <w:r>
        <w:t>Quote-to-Booking is the front portion of Order-to-Cash cycle. It begins when a qualified opportunity is ready to transact and ends when a valid customer order is accepted and recognized as a booking, with entitlements and a renewal obligation established. This model captures the booking event and the descriptive context needed to analyze demand, channel performance, product mix and renewals.</w:t>
      </w:r>
    </w:p>
    <w:p w14:paraId="19A33E0C" w14:textId="77777777" w:rsidR="00DC5BE1" w:rsidRDefault="16808B1E">
      <w:pPr>
        <w:pStyle w:val="Heading2"/>
      </w:pPr>
      <w:bookmarkStart w:id="4" w:name="_Toc235611073"/>
      <w:r>
        <w:t>2.2 Process flow</w:t>
      </w:r>
      <w:bookmarkEnd w:id="4"/>
    </w:p>
    <w:p w14:paraId="7E8E8F60" w14:textId="77777777" w:rsidR="00DC5BE1" w:rsidRDefault="00000000">
      <w:pPr>
        <w:pStyle w:val="ListNumber"/>
      </w:pPr>
      <w:r>
        <w:t>Opportunity qualification (CRM): the account executive qualifies the opportunity; customer segment and coverage model are confirmed.</w:t>
      </w:r>
    </w:p>
    <w:p w14:paraId="29CF4085" w14:textId="307E5CE4" w:rsidR="00DC5BE1" w:rsidRDefault="00000000">
      <w:pPr>
        <w:pStyle w:val="ListNumber"/>
      </w:pPr>
      <w:r>
        <w:t>Configure, price, quote (CCW): products are configured in Commerce Workspace, list pricing is applied, and discounts route to Deal Desk for approval.</w:t>
      </w:r>
    </w:p>
    <w:p w14:paraId="5E86480D" w14:textId="77777777" w:rsidR="00DC5BE1" w:rsidRDefault="00000000">
      <w:pPr>
        <w:pStyle w:val="ListNumber"/>
      </w:pPr>
      <w:r>
        <w:t xml:space="preserve">Deal registration &amp; partner routing: for channel deals, the partner registers the </w:t>
      </w:r>
      <w:proofErr w:type="gramStart"/>
      <w:r>
        <w:t>opportunity</w:t>
      </w:r>
      <w:proofErr w:type="gramEnd"/>
      <w:r>
        <w:t xml:space="preserve"> and the route-to-market (direct, two-tier, or reseller) is set.</w:t>
      </w:r>
    </w:p>
    <w:p w14:paraId="434253FB" w14:textId="77777777" w:rsidR="00DC5BE1" w:rsidRDefault="00000000">
      <w:pPr>
        <w:pStyle w:val="ListNumber"/>
      </w:pPr>
      <w:r>
        <w:t>Order placement: the customer or partner submits a purchase order, which is validated for configuration and commercial terms.</w:t>
      </w:r>
    </w:p>
    <w:p w14:paraId="306D5DAB" w14:textId="77777777" w:rsidR="00DC5BE1" w:rsidRDefault="00000000">
      <w:pPr>
        <w:pStyle w:val="ListNumber"/>
      </w:pPr>
      <w:r>
        <w:t xml:space="preserve">Booking recognition: a valid, accepted order is booked. Booking amount, ACV and TCV are </w:t>
      </w:r>
      <w:proofErr w:type="gramStart"/>
      <w:r>
        <w:t>computed</w:t>
      </w:r>
      <w:proofErr w:type="gramEnd"/>
      <w:r>
        <w:t xml:space="preserve"> and the booking is classified as New, Renewal or Upsell.</w:t>
      </w:r>
    </w:p>
    <w:p w14:paraId="059E2F5D" w14:textId="77777777" w:rsidR="00DC5BE1" w:rsidRDefault="00000000">
      <w:pPr>
        <w:pStyle w:val="ListNumber"/>
      </w:pPr>
      <w:r>
        <w:t>Fulfillment &amp; provisioning: hardware is shipped; software and SaaS entitlements are provisioned.</w:t>
      </w:r>
    </w:p>
    <w:p w14:paraId="049572F8" w14:textId="77777777" w:rsidR="00DC5BE1" w:rsidRDefault="00000000">
      <w:pPr>
        <w:pStyle w:val="ListNumber"/>
      </w:pPr>
      <w:r>
        <w:t>Contract &amp; entitlement creation: a service or subscription contract is created with coverage level, term and renewal date.</w:t>
      </w:r>
    </w:p>
    <w:p w14:paraId="7B9343ED" w14:textId="77777777" w:rsidR="00DC5BE1" w:rsidRDefault="00000000">
      <w:pPr>
        <w:pStyle w:val="ListNumber"/>
      </w:pPr>
      <w:r>
        <w:t>Renewal lifecycle: Customer Experience manages upcoming expirations; renewal bookings flow back into the fact table, closing the loop.</w:t>
      </w:r>
    </w:p>
    <w:p w14:paraId="69AA547E" w14:textId="77777777" w:rsidR="00DC5BE1" w:rsidRDefault="16808B1E">
      <w:pPr>
        <w:pStyle w:val="Heading2"/>
      </w:pPr>
      <w:bookmarkStart w:id="5" w:name="_Toc235611074"/>
      <w:r>
        <w:t>2.3 Booking recognition rules (bookings vs billings vs revenue)</w:t>
      </w:r>
      <w:bookmarkEnd w:id="5"/>
    </w:p>
    <w:p w14:paraId="7BAB0FDA" w14:textId="4EAD3F8C" w:rsidR="00DC5BE1" w:rsidRDefault="00000000">
      <w:pPr>
        <w:spacing w:after="120"/>
      </w:pPr>
      <w:r>
        <w:t xml:space="preserve">A booking is recorded when </w:t>
      </w:r>
      <w:proofErr w:type="gramStart"/>
      <w:r>
        <w:t>accepts</w:t>
      </w:r>
      <w:proofErr w:type="gramEnd"/>
      <w:r>
        <w:t xml:space="preserve"> a valid order with committed value. It is a leading indicator of demand and precedes billing (invoicing) and revenue (accounting recognition under ASC 606). Bookings are additive and measured at order-line grain. For subscription and SaaS offers, the booking amount equals Total Contract Value (TCV) and Annual Contract Value (ACV) is the </w:t>
      </w:r>
      <w:r>
        <w:lastRenderedPageBreak/>
        <w:t>annualized figure. Hardware is perpetual — ACV is not applicable — but typically attaches a support contract such as SmartNet Total Care.</w:t>
      </w:r>
    </w:p>
    <w:p w14:paraId="5B4606F3" w14:textId="77777777" w:rsidR="00DC5BE1" w:rsidRDefault="16808B1E">
      <w:pPr>
        <w:pStyle w:val="Heading2"/>
      </w:pPr>
      <w:bookmarkStart w:id="6" w:name="_Toc235611075"/>
      <w:r>
        <w:t>2.4 Roles &amp; ownership</w:t>
      </w:r>
      <w:bookmarkEnd w:id="6"/>
    </w:p>
    <w:tbl>
      <w:tblPr>
        <w:tblStyle w:val="TableGrid"/>
        <w:tblW w:w="0" w:type="auto"/>
        <w:jc w:val="center"/>
        <w:tblLayout w:type="fixed"/>
        <w:tblLook w:val="04A0" w:firstRow="1" w:lastRow="0" w:firstColumn="1" w:lastColumn="0" w:noHBand="0" w:noVBand="1"/>
      </w:tblPr>
      <w:tblGrid>
        <w:gridCol w:w="2880"/>
        <w:gridCol w:w="6480"/>
      </w:tblGrid>
      <w:tr w:rsidR="00DC5BE1" w14:paraId="473437E9" w14:textId="77777777">
        <w:trPr>
          <w:jc w:val="center"/>
        </w:trPr>
        <w:tc>
          <w:tcPr>
            <w:tcW w:w="2880" w:type="dxa"/>
            <w:shd w:val="clear" w:color="auto" w:fill="0D274D"/>
          </w:tcPr>
          <w:p w14:paraId="7810568A" w14:textId="77777777" w:rsidR="00DC5BE1" w:rsidRDefault="00000000">
            <w:r>
              <w:rPr>
                <w:b/>
                <w:color w:val="FFFFFF"/>
                <w:sz w:val="18"/>
              </w:rPr>
              <w:t>Role</w:t>
            </w:r>
          </w:p>
        </w:tc>
        <w:tc>
          <w:tcPr>
            <w:tcW w:w="6480" w:type="dxa"/>
            <w:shd w:val="clear" w:color="auto" w:fill="0D274D"/>
          </w:tcPr>
          <w:p w14:paraId="20234514" w14:textId="77777777" w:rsidR="00DC5BE1" w:rsidRDefault="00000000">
            <w:r>
              <w:rPr>
                <w:b/>
                <w:color w:val="FFFFFF"/>
                <w:sz w:val="18"/>
              </w:rPr>
              <w:t>Responsibility in the process</w:t>
            </w:r>
          </w:p>
        </w:tc>
      </w:tr>
      <w:tr w:rsidR="00DC5BE1" w14:paraId="78192598" w14:textId="77777777">
        <w:trPr>
          <w:jc w:val="center"/>
        </w:trPr>
        <w:tc>
          <w:tcPr>
            <w:tcW w:w="2880" w:type="dxa"/>
          </w:tcPr>
          <w:p w14:paraId="38BCB41A" w14:textId="77777777" w:rsidR="00DC5BE1" w:rsidRDefault="00000000">
            <w:r>
              <w:rPr>
                <w:sz w:val="18"/>
              </w:rPr>
              <w:t>Sales / Account Executive</w:t>
            </w:r>
          </w:p>
        </w:tc>
        <w:tc>
          <w:tcPr>
            <w:tcW w:w="6480" w:type="dxa"/>
          </w:tcPr>
          <w:p w14:paraId="63307D2A" w14:textId="77777777" w:rsidR="00DC5BE1" w:rsidRDefault="00000000">
            <w:r>
              <w:rPr>
                <w:sz w:val="18"/>
              </w:rPr>
              <w:t>Qualifies opportunity, owns the customer relationship and the booking.</w:t>
            </w:r>
          </w:p>
        </w:tc>
      </w:tr>
      <w:tr w:rsidR="00DC5BE1" w14:paraId="44F5744F" w14:textId="77777777">
        <w:trPr>
          <w:jc w:val="center"/>
        </w:trPr>
        <w:tc>
          <w:tcPr>
            <w:tcW w:w="2880" w:type="dxa"/>
            <w:shd w:val="clear" w:color="auto" w:fill="F5F8FA"/>
          </w:tcPr>
          <w:p w14:paraId="2C6CF229" w14:textId="77777777" w:rsidR="00DC5BE1" w:rsidRDefault="00000000">
            <w:r>
              <w:rPr>
                <w:sz w:val="18"/>
              </w:rPr>
              <w:t>Deal Desk</w:t>
            </w:r>
          </w:p>
        </w:tc>
        <w:tc>
          <w:tcPr>
            <w:tcW w:w="6480" w:type="dxa"/>
            <w:shd w:val="clear" w:color="auto" w:fill="F5F8FA"/>
          </w:tcPr>
          <w:p w14:paraId="78DA32EE" w14:textId="77777777" w:rsidR="00DC5BE1" w:rsidRDefault="00000000">
            <w:r>
              <w:rPr>
                <w:sz w:val="18"/>
              </w:rPr>
              <w:t>Approves non-standard pricing and structures the commercial terms.</w:t>
            </w:r>
          </w:p>
        </w:tc>
      </w:tr>
      <w:tr w:rsidR="00DC5BE1" w14:paraId="4254BDC0" w14:textId="77777777">
        <w:trPr>
          <w:jc w:val="center"/>
        </w:trPr>
        <w:tc>
          <w:tcPr>
            <w:tcW w:w="2880" w:type="dxa"/>
          </w:tcPr>
          <w:p w14:paraId="4672C99D" w14:textId="77777777" w:rsidR="00DC5BE1" w:rsidRDefault="00000000">
            <w:r>
              <w:rPr>
                <w:sz w:val="18"/>
              </w:rPr>
              <w:t>Revenue Operations</w:t>
            </w:r>
          </w:p>
        </w:tc>
        <w:tc>
          <w:tcPr>
            <w:tcW w:w="6480" w:type="dxa"/>
          </w:tcPr>
          <w:p w14:paraId="5C89A506" w14:textId="77777777" w:rsidR="00DC5BE1" w:rsidRDefault="00000000">
            <w:r>
              <w:rPr>
                <w:sz w:val="18"/>
              </w:rPr>
              <w:t xml:space="preserve">Owns booking definitions, ACV/TCV rules and </w:t>
            </w:r>
            <w:proofErr w:type="gramStart"/>
            <w:r>
              <w:rPr>
                <w:sz w:val="18"/>
              </w:rPr>
              <w:t>bookings</w:t>
            </w:r>
            <w:proofErr w:type="gramEnd"/>
            <w:r>
              <w:rPr>
                <w:sz w:val="18"/>
              </w:rPr>
              <w:t xml:space="preserve"> reporting.</w:t>
            </w:r>
          </w:p>
        </w:tc>
      </w:tr>
      <w:tr w:rsidR="00DC5BE1" w14:paraId="01D72748" w14:textId="77777777">
        <w:trPr>
          <w:jc w:val="center"/>
        </w:trPr>
        <w:tc>
          <w:tcPr>
            <w:tcW w:w="2880" w:type="dxa"/>
            <w:shd w:val="clear" w:color="auto" w:fill="F5F8FA"/>
          </w:tcPr>
          <w:p w14:paraId="00CB4F9F" w14:textId="77777777" w:rsidR="00DC5BE1" w:rsidRDefault="00000000">
            <w:r>
              <w:rPr>
                <w:sz w:val="18"/>
              </w:rPr>
              <w:t>Channel / Partner Org</w:t>
            </w:r>
          </w:p>
        </w:tc>
        <w:tc>
          <w:tcPr>
            <w:tcW w:w="6480" w:type="dxa"/>
            <w:shd w:val="clear" w:color="auto" w:fill="F5F8FA"/>
          </w:tcPr>
          <w:p w14:paraId="7E1A62C3" w14:textId="77777777" w:rsidR="00DC5BE1" w:rsidRDefault="00000000">
            <w:r>
              <w:rPr>
                <w:sz w:val="18"/>
              </w:rPr>
              <w:t>Manages deal registration, partner routing and route-to-market.</w:t>
            </w:r>
          </w:p>
        </w:tc>
      </w:tr>
      <w:tr w:rsidR="00DC5BE1" w14:paraId="184E2DCF" w14:textId="77777777">
        <w:trPr>
          <w:jc w:val="center"/>
        </w:trPr>
        <w:tc>
          <w:tcPr>
            <w:tcW w:w="2880" w:type="dxa"/>
          </w:tcPr>
          <w:p w14:paraId="48A7DE9E" w14:textId="77777777" w:rsidR="00DC5BE1" w:rsidRDefault="00000000">
            <w:r>
              <w:rPr>
                <w:sz w:val="18"/>
              </w:rPr>
              <w:t>Customer Experience (Renewals)</w:t>
            </w:r>
          </w:p>
        </w:tc>
        <w:tc>
          <w:tcPr>
            <w:tcW w:w="6480" w:type="dxa"/>
          </w:tcPr>
          <w:p w14:paraId="649703EC" w14:textId="77777777" w:rsidR="00DC5BE1" w:rsidRDefault="00000000">
            <w:r>
              <w:rPr>
                <w:sz w:val="18"/>
              </w:rPr>
              <w:t>Owns entitlements, install base and the renewal lifecycle.</w:t>
            </w:r>
          </w:p>
        </w:tc>
      </w:tr>
      <w:tr w:rsidR="00DC5BE1" w14:paraId="73BEB0A4" w14:textId="77777777">
        <w:trPr>
          <w:jc w:val="center"/>
        </w:trPr>
        <w:tc>
          <w:tcPr>
            <w:tcW w:w="2880" w:type="dxa"/>
            <w:shd w:val="clear" w:color="auto" w:fill="F5F8FA"/>
          </w:tcPr>
          <w:p w14:paraId="3A2F2879" w14:textId="77777777" w:rsidR="00DC5BE1" w:rsidRDefault="00000000">
            <w:r>
              <w:rPr>
                <w:sz w:val="18"/>
              </w:rPr>
              <w:t>Finance</w:t>
            </w:r>
          </w:p>
        </w:tc>
        <w:tc>
          <w:tcPr>
            <w:tcW w:w="6480" w:type="dxa"/>
            <w:shd w:val="clear" w:color="auto" w:fill="F5F8FA"/>
          </w:tcPr>
          <w:p w14:paraId="36CC7FEC" w14:textId="77777777" w:rsidR="00DC5BE1" w:rsidRDefault="00000000">
            <w:r>
              <w:rPr>
                <w:sz w:val="18"/>
              </w:rPr>
              <w:t>Owns billings and revenue recognition downstream of bookings.</w:t>
            </w:r>
          </w:p>
        </w:tc>
      </w:tr>
    </w:tbl>
    <w:p w14:paraId="28B59140" w14:textId="77777777" w:rsidR="00DC5BE1" w:rsidRDefault="16808B1E">
      <w:pPr>
        <w:pStyle w:val="Heading2"/>
      </w:pPr>
      <w:bookmarkStart w:id="7" w:name="_Toc235611076"/>
      <w:r>
        <w:t>2.5 Key metrics (KPIs)</w:t>
      </w:r>
      <w:bookmarkEnd w:id="7"/>
    </w:p>
    <w:tbl>
      <w:tblPr>
        <w:tblStyle w:val="TableGrid"/>
        <w:tblW w:w="0" w:type="auto"/>
        <w:jc w:val="center"/>
        <w:tblLayout w:type="fixed"/>
        <w:tblLook w:val="04A0" w:firstRow="1" w:lastRow="0" w:firstColumn="1" w:lastColumn="0" w:noHBand="0" w:noVBand="1"/>
      </w:tblPr>
      <w:tblGrid>
        <w:gridCol w:w="2880"/>
        <w:gridCol w:w="6480"/>
      </w:tblGrid>
      <w:tr w:rsidR="00DC5BE1" w14:paraId="5C7E55C7" w14:textId="77777777">
        <w:trPr>
          <w:jc w:val="center"/>
        </w:trPr>
        <w:tc>
          <w:tcPr>
            <w:tcW w:w="2880" w:type="dxa"/>
            <w:shd w:val="clear" w:color="auto" w:fill="0D274D"/>
          </w:tcPr>
          <w:p w14:paraId="3A1B8916" w14:textId="77777777" w:rsidR="00DC5BE1" w:rsidRDefault="00000000">
            <w:r>
              <w:rPr>
                <w:b/>
                <w:color w:val="FFFFFF"/>
                <w:sz w:val="18"/>
              </w:rPr>
              <w:t>KPI</w:t>
            </w:r>
          </w:p>
        </w:tc>
        <w:tc>
          <w:tcPr>
            <w:tcW w:w="6480" w:type="dxa"/>
            <w:shd w:val="clear" w:color="auto" w:fill="0D274D"/>
          </w:tcPr>
          <w:p w14:paraId="240013CF" w14:textId="77777777" w:rsidR="00DC5BE1" w:rsidRDefault="00000000">
            <w:r>
              <w:rPr>
                <w:b/>
                <w:color w:val="FFFFFF"/>
                <w:sz w:val="18"/>
              </w:rPr>
              <w:t>Definition / use</w:t>
            </w:r>
          </w:p>
        </w:tc>
      </w:tr>
      <w:tr w:rsidR="00DC5BE1" w14:paraId="6D9695F1" w14:textId="77777777">
        <w:trPr>
          <w:jc w:val="center"/>
        </w:trPr>
        <w:tc>
          <w:tcPr>
            <w:tcW w:w="2880" w:type="dxa"/>
          </w:tcPr>
          <w:p w14:paraId="3A8148A9" w14:textId="77777777" w:rsidR="00DC5BE1" w:rsidRDefault="00000000">
            <w:r>
              <w:rPr>
                <w:sz w:val="18"/>
              </w:rPr>
              <w:t>Total Bookings</w:t>
            </w:r>
          </w:p>
        </w:tc>
        <w:tc>
          <w:tcPr>
            <w:tcW w:w="6480" w:type="dxa"/>
          </w:tcPr>
          <w:p w14:paraId="5F0F7E1D" w14:textId="77777777" w:rsidR="00DC5BE1" w:rsidRDefault="00000000">
            <w:r>
              <w:rPr>
                <w:sz w:val="18"/>
              </w:rPr>
              <w:t>Sum of net booked value in a period — headline demand metric.</w:t>
            </w:r>
          </w:p>
        </w:tc>
      </w:tr>
      <w:tr w:rsidR="00DC5BE1" w14:paraId="28A6F0E9" w14:textId="77777777">
        <w:trPr>
          <w:jc w:val="center"/>
        </w:trPr>
        <w:tc>
          <w:tcPr>
            <w:tcW w:w="2880" w:type="dxa"/>
            <w:shd w:val="clear" w:color="auto" w:fill="F5F8FA"/>
          </w:tcPr>
          <w:p w14:paraId="6E3CAC39" w14:textId="77777777" w:rsidR="00DC5BE1" w:rsidRDefault="00000000">
            <w:r>
              <w:rPr>
                <w:sz w:val="18"/>
              </w:rPr>
              <w:t>Net-New vs Renewal mix</w:t>
            </w:r>
          </w:p>
        </w:tc>
        <w:tc>
          <w:tcPr>
            <w:tcW w:w="6480" w:type="dxa"/>
            <w:shd w:val="clear" w:color="auto" w:fill="F5F8FA"/>
          </w:tcPr>
          <w:p w14:paraId="3A6CA767" w14:textId="77777777" w:rsidR="00DC5BE1" w:rsidRDefault="00000000">
            <w:r>
              <w:rPr>
                <w:sz w:val="18"/>
              </w:rPr>
              <w:t xml:space="preserve">Split of bookings by </w:t>
            </w:r>
            <w:proofErr w:type="spellStart"/>
            <w:r>
              <w:rPr>
                <w:sz w:val="18"/>
              </w:rPr>
              <w:t>booking_type</w:t>
            </w:r>
            <w:proofErr w:type="spellEnd"/>
            <w:r>
              <w:rPr>
                <w:sz w:val="18"/>
              </w:rPr>
              <w:t xml:space="preserve"> / </w:t>
            </w:r>
            <w:proofErr w:type="spellStart"/>
            <w:r>
              <w:rPr>
                <w:sz w:val="18"/>
              </w:rPr>
              <w:t>is_renewal</w:t>
            </w:r>
            <w:proofErr w:type="spellEnd"/>
            <w:r>
              <w:rPr>
                <w:sz w:val="18"/>
              </w:rPr>
              <w:t xml:space="preserve"> to gauge growth vs retention.</w:t>
            </w:r>
          </w:p>
        </w:tc>
      </w:tr>
      <w:tr w:rsidR="00DC5BE1" w14:paraId="06E47BE9" w14:textId="77777777">
        <w:trPr>
          <w:jc w:val="center"/>
        </w:trPr>
        <w:tc>
          <w:tcPr>
            <w:tcW w:w="2880" w:type="dxa"/>
          </w:tcPr>
          <w:p w14:paraId="7C4DBDB6" w14:textId="77777777" w:rsidR="00DC5BE1" w:rsidRDefault="00000000">
            <w:r>
              <w:rPr>
                <w:sz w:val="18"/>
              </w:rPr>
              <w:t>ACV / TCV</w:t>
            </w:r>
          </w:p>
        </w:tc>
        <w:tc>
          <w:tcPr>
            <w:tcW w:w="6480" w:type="dxa"/>
          </w:tcPr>
          <w:p w14:paraId="1FBBF835" w14:textId="77777777" w:rsidR="00DC5BE1" w:rsidRDefault="00000000">
            <w:r>
              <w:rPr>
                <w:sz w:val="18"/>
              </w:rPr>
              <w:t>Annual and total contract value for subscriptions — drives ARR and pipeline.</w:t>
            </w:r>
          </w:p>
        </w:tc>
      </w:tr>
      <w:tr w:rsidR="00DC5BE1" w14:paraId="5D827F5D" w14:textId="77777777">
        <w:trPr>
          <w:jc w:val="center"/>
        </w:trPr>
        <w:tc>
          <w:tcPr>
            <w:tcW w:w="2880" w:type="dxa"/>
            <w:shd w:val="clear" w:color="auto" w:fill="F5F8FA"/>
          </w:tcPr>
          <w:p w14:paraId="1DF39A49" w14:textId="77777777" w:rsidR="00DC5BE1" w:rsidRDefault="00000000">
            <w:r>
              <w:rPr>
                <w:sz w:val="18"/>
              </w:rPr>
              <w:t>Renewal capture rate</w:t>
            </w:r>
          </w:p>
        </w:tc>
        <w:tc>
          <w:tcPr>
            <w:tcW w:w="6480" w:type="dxa"/>
            <w:shd w:val="clear" w:color="auto" w:fill="F5F8FA"/>
          </w:tcPr>
          <w:p w14:paraId="1F28ACC3" w14:textId="77777777" w:rsidR="00DC5BE1" w:rsidRDefault="00000000">
            <w:r>
              <w:rPr>
                <w:sz w:val="18"/>
              </w:rPr>
              <w:t>Share of expiring contracts renewed on time.</w:t>
            </w:r>
          </w:p>
        </w:tc>
      </w:tr>
      <w:tr w:rsidR="00DC5BE1" w14:paraId="2FCF16DE" w14:textId="77777777">
        <w:trPr>
          <w:jc w:val="center"/>
        </w:trPr>
        <w:tc>
          <w:tcPr>
            <w:tcW w:w="2880" w:type="dxa"/>
          </w:tcPr>
          <w:p w14:paraId="65998A9A" w14:textId="77777777" w:rsidR="00DC5BE1" w:rsidRDefault="00000000">
            <w:r>
              <w:rPr>
                <w:sz w:val="18"/>
              </w:rPr>
              <w:t>Attach rate</w:t>
            </w:r>
          </w:p>
        </w:tc>
        <w:tc>
          <w:tcPr>
            <w:tcW w:w="6480" w:type="dxa"/>
          </w:tcPr>
          <w:p w14:paraId="11A8F319" w14:textId="77777777" w:rsidR="00DC5BE1" w:rsidRDefault="00000000">
            <w:r>
              <w:rPr>
                <w:sz w:val="18"/>
              </w:rPr>
              <w:t>Share of hardware deals that attach a service or subscription.</w:t>
            </w:r>
          </w:p>
        </w:tc>
      </w:tr>
      <w:tr w:rsidR="00DC5BE1" w14:paraId="6B785E1E" w14:textId="77777777">
        <w:trPr>
          <w:jc w:val="center"/>
        </w:trPr>
        <w:tc>
          <w:tcPr>
            <w:tcW w:w="2880" w:type="dxa"/>
            <w:shd w:val="clear" w:color="auto" w:fill="F5F8FA"/>
          </w:tcPr>
          <w:p w14:paraId="3089F750" w14:textId="77777777" w:rsidR="00DC5BE1" w:rsidRDefault="00000000">
            <w:r>
              <w:rPr>
                <w:sz w:val="18"/>
              </w:rPr>
              <w:t>Product-family mix</w:t>
            </w:r>
          </w:p>
        </w:tc>
        <w:tc>
          <w:tcPr>
            <w:tcW w:w="6480" w:type="dxa"/>
            <w:shd w:val="clear" w:color="auto" w:fill="F5F8FA"/>
          </w:tcPr>
          <w:p w14:paraId="6C713A01" w14:textId="77777777" w:rsidR="00DC5BE1" w:rsidRDefault="00000000">
            <w:r>
              <w:rPr>
                <w:sz w:val="18"/>
              </w:rPr>
              <w:t>Bookings distribution across families (Catalyst, Meraki, Splunk, …).</w:t>
            </w:r>
          </w:p>
        </w:tc>
      </w:tr>
      <w:tr w:rsidR="00DC5BE1" w14:paraId="69E5AAFF" w14:textId="77777777">
        <w:trPr>
          <w:jc w:val="center"/>
        </w:trPr>
        <w:tc>
          <w:tcPr>
            <w:tcW w:w="2880" w:type="dxa"/>
          </w:tcPr>
          <w:p w14:paraId="7FC0CEAC" w14:textId="77777777" w:rsidR="00DC5BE1" w:rsidRDefault="00000000">
            <w:r>
              <w:rPr>
                <w:sz w:val="18"/>
              </w:rPr>
              <w:t>Partner contribution</w:t>
            </w:r>
          </w:p>
        </w:tc>
        <w:tc>
          <w:tcPr>
            <w:tcW w:w="6480" w:type="dxa"/>
          </w:tcPr>
          <w:p w14:paraId="462354E5" w14:textId="77777777" w:rsidR="00DC5BE1" w:rsidRDefault="00000000">
            <w:r>
              <w:rPr>
                <w:sz w:val="18"/>
              </w:rPr>
              <w:t>Bookings by route-to-market and partner — channel performance.</w:t>
            </w:r>
          </w:p>
        </w:tc>
      </w:tr>
    </w:tbl>
    <w:p w14:paraId="6A05A809" w14:textId="5FC01370" w:rsidR="00DC5BE1" w:rsidRDefault="00DC5BE1" w:rsidP="00EB026B"/>
    <w:sectPr w:rsidR="00DC5B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036523">
    <w:abstractNumId w:val="8"/>
  </w:num>
  <w:num w:numId="2" w16cid:durableId="146829644">
    <w:abstractNumId w:val="6"/>
  </w:num>
  <w:num w:numId="3" w16cid:durableId="1670716366">
    <w:abstractNumId w:val="5"/>
  </w:num>
  <w:num w:numId="4" w16cid:durableId="100954692">
    <w:abstractNumId w:val="4"/>
  </w:num>
  <w:num w:numId="5" w16cid:durableId="2041204687">
    <w:abstractNumId w:val="7"/>
  </w:num>
  <w:num w:numId="6" w16cid:durableId="696733535">
    <w:abstractNumId w:val="3"/>
  </w:num>
  <w:num w:numId="7" w16cid:durableId="694965899">
    <w:abstractNumId w:val="2"/>
  </w:num>
  <w:num w:numId="8" w16cid:durableId="819540516">
    <w:abstractNumId w:val="1"/>
  </w:num>
  <w:num w:numId="9" w16cid:durableId="3071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6E79"/>
    <w:rsid w:val="0084125A"/>
    <w:rsid w:val="008C60D0"/>
    <w:rsid w:val="008C6B7A"/>
    <w:rsid w:val="00AA1D8D"/>
    <w:rsid w:val="00B47730"/>
    <w:rsid w:val="00C16E77"/>
    <w:rsid w:val="00CB0664"/>
    <w:rsid w:val="00DC5BE1"/>
    <w:rsid w:val="00E96408"/>
    <w:rsid w:val="00EA764E"/>
    <w:rsid w:val="00EB026B"/>
    <w:rsid w:val="00EE2944"/>
    <w:rsid w:val="00FC693F"/>
    <w:rsid w:val="16808B1E"/>
    <w:rsid w:val="7193DC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566320-0B1E-4ECE-8E62-C6E9FB05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27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27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274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16808B1E"/>
    <w:rPr>
      <w:color w:val="0000FF"/>
      <w:u w:val="single"/>
    </w:rPr>
  </w:style>
  <w:style w:type="paragraph" w:styleId="TOC1">
    <w:name w:val="toc 1"/>
    <w:basedOn w:val="Normal"/>
    <w:next w:val="Normal"/>
    <w:uiPriority w:val="39"/>
    <w:unhideWhenUsed/>
    <w:rsid w:val="16808B1E"/>
    <w:pPr>
      <w:spacing w:after="100"/>
    </w:pPr>
  </w:style>
  <w:style w:type="paragraph" w:styleId="TOC2">
    <w:name w:val="toc 2"/>
    <w:basedOn w:val="Normal"/>
    <w:next w:val="Normal"/>
    <w:uiPriority w:val="39"/>
    <w:unhideWhenUsed/>
    <w:rsid w:val="16808B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Krishnakumar</cp:lastModifiedBy>
  <cp:revision>7</cp:revision>
  <dcterms:created xsi:type="dcterms:W3CDTF">2013-12-23T23:15:00Z</dcterms:created>
  <dcterms:modified xsi:type="dcterms:W3CDTF">2026-07-22T07:32:00Z</dcterms:modified>
  <cp:category/>
</cp:coreProperties>
</file>