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80"/>
      </w:pPr>
      <w:r>
        <w:rPr>
          <w:rFonts w:ascii="Aptos" w:hAnsi="Aptos" w:cs="Aptos"/>
          <w:b w:val="0"/>
          <w:i w:val="0"/>
        </w:rPr>
      </w:r>
    </w:p>
    <w:p>
      <w:pPr>
        <w:keepNext w:val="0"/>
        <w:spacing w:before="0" w:after="280"/>
      </w:pPr>
      <w:r>
        <w:rPr>
          <w:rFonts w:ascii="Aptos" w:hAnsi="Aptos" w:cs="Aptos"/>
          <w:b w:val="0"/>
          <w:i w:val="0"/>
        </w:rPr>
      </w:r>
    </w:p>
    <w:p>
      <w:pPr>
        <w:spacing w:after="200"/>
        <w:jc w:val="center"/>
      </w:pPr>
      <w:r>
        <w:drawing>
          <wp:inline xmlns:a="http://schemas.openxmlformats.org/drawingml/2006/main" xmlns:pic="http://schemas.openxmlformats.org/drawingml/2006/picture">
            <wp:extent cx="1440000" cy="769933"/>
            <wp:docPr id="1" name="Picture 1"/>
            <wp:cNvGraphicFramePr>
              <a:graphicFrameLocks noChangeAspect="1"/>
            </wp:cNvGraphicFramePr>
            <a:graphic>
              <a:graphicData uri="http://schemas.openxmlformats.org/drawingml/2006/picture">
                <pic:pic>
                  <pic:nvPicPr>
                    <pic:cNvPr id="0" name="Fsr_logo.png"/>
                    <pic:cNvPicPr/>
                  </pic:nvPicPr>
                  <pic:blipFill>
                    <a:blip r:embed="rId9"/>
                    <a:stretch>
                      <a:fillRect/>
                    </a:stretch>
                  </pic:blipFill>
                  <pic:spPr>
                    <a:xfrm>
                      <a:off x="0" y="0"/>
                      <a:ext cx="1440000" cy="769933"/>
                    </a:xfrm>
                    <a:prstGeom prst="rect"/>
                  </pic:spPr>
                </pic:pic>
              </a:graphicData>
            </a:graphic>
          </wp:inline>
        </w:drawing>
      </w:r>
    </w:p>
    <w:p>
      <w:pPr>
        <w:keepNext w:val="0"/>
        <w:spacing w:before="0" w:after="40"/>
        <w:jc w:val="center"/>
      </w:pPr>
      <w:r>
        <w:rPr>
          <w:rFonts w:ascii="Aptos" w:hAnsi="Aptos" w:cs="Aptos"/>
          <w:b w:val="0"/>
          <w:i w:val="0"/>
          <w:sz w:val="32"/>
        </w:rPr>
        <w:t>Faculté des Sciences de Rabat</w:t>
      </w:r>
    </w:p>
    <w:p>
      <w:pPr>
        <w:keepNext w:val="0"/>
        <w:spacing w:before="0" w:after="600"/>
        <w:jc w:val="center"/>
      </w:pPr>
      <w:r>
        <w:rPr>
          <w:rFonts w:ascii="Aptos" w:hAnsi="Aptos" w:cs="Aptos"/>
          <w:b w:val="0"/>
          <w:i w:val="0"/>
          <w:sz w:val="25"/>
        </w:rPr>
        <w:t>Master IPS</w:t>
      </w:r>
    </w:p>
    <w:p>
      <w:pPr>
        <w:keepNext w:val="0"/>
        <w:spacing w:before="0" w:after="600"/>
        <w:jc w:val="center"/>
      </w:pPr>
      <w:r>
        <w:rPr>
          <w:rFonts w:ascii="Aptos" w:hAnsi="Aptos" w:cs="Aptos"/>
          <w:b/>
          <w:i w:val="0"/>
          <w:sz w:val="32"/>
        </w:rPr>
        <w:t>Projet de Fin d'Études</w:t>
      </w:r>
    </w:p>
    <w:p>
      <w:pPr>
        <w:keepNext w:val="0"/>
        <w:spacing w:before="0" w:after="100"/>
        <w:jc w:val="center"/>
      </w:pPr>
      <w:r>
        <w:rPr>
          <w:rFonts w:ascii="Aptos" w:hAnsi="Aptos" w:cs="Aptos"/>
          <w:b/>
          <w:i w:val="0"/>
          <w:color w:val="1F4E79"/>
          <w:sz w:val="46"/>
        </w:rPr>
        <w:t>LLM-as-a-Judge Reliability Lab</w:t>
      </w:r>
    </w:p>
    <w:p>
      <w:pPr>
        <w:keepNext w:val="0"/>
        <w:spacing w:before="0" w:after="1080"/>
        <w:jc w:val="center"/>
      </w:pPr>
      <w:r>
        <w:rPr>
          <w:rFonts w:ascii="Aptos" w:hAnsi="Aptos" w:cs="Aptos"/>
          <w:b w:val="0"/>
          <w:i w:val="0"/>
          <w:color w:val="595959"/>
          <w:sz w:val="25"/>
        </w:rPr>
        <w:t>Évaluer la fiabilité, les biais et les stratégies d'atténuation des juges LLM</w:t>
      </w:r>
    </w:p>
    <w:tbl>
      <w:tblPr>
        <w:tblW w:type="dxa" w:w="6912"/>
        <w:jc w:val="center"/>
        <w:tblLayout w:type="fixed"/>
        <w:tblLook w:firstColumn="1" w:firstRow="1" w:lastColumn="0" w:lastRow="0" w:noHBand="0" w:noVBand="1" w:val="04A0"/>
      </w:tblPr>
      <w:tblGrid>
        <w:gridCol w:w="2880"/>
        <w:gridCol w:w="4031"/>
      </w:tblGrid>
      <w:tr>
        <w:trPr/>
        <w:tc>
          <w:tcPr>
            <w:tcW w:type="dxa" w:w="2880"/>
            <w:tcMar>
              <w:top w:w="90" w:type="dxa"/>
              <w:start w:w="110" w:type="dxa"/>
              <w:bottom w:w="90" w:type="dxa"/>
              <w:end w:w="110" w:type="dxa"/>
            </w:tcMar>
            <w:vAlign w:val="center"/>
            <w:tcBorders/>
          </w:tcPr>
          <w:p>
            <w:pPr>
              <w:spacing w:before="0" w:after="0" w:line="252" w:lineRule="auto"/>
              <w:jc w:val="right"/>
            </w:pPr>
            <w:r>
              <w:rPr>
                <w:rFonts w:ascii="Aptos" w:hAnsi="Aptos" w:cs="Aptos"/>
                <w:b/>
                <w:sz w:val="22"/>
              </w:rPr>
              <w:t>Étudiant :</w:t>
            </w:r>
          </w:p>
        </w:tc>
        <w:tc>
          <w:tcPr>
            <w:tcW w:type="dxa" w:w="4031"/>
            <w:tcMar>
              <w:top w:w="90" w:type="dxa"/>
              <w:start w:w="110" w:type="dxa"/>
              <w:bottom w:w="90" w:type="dxa"/>
              <w:end w:w="110" w:type="dxa"/>
            </w:tcMar>
            <w:vAlign w:val="center"/>
            <w:tcBorders/>
          </w:tcPr>
          <w:p>
            <w:pPr>
              <w:spacing w:before="0" w:after="0" w:line="252" w:lineRule="auto"/>
              <w:jc w:val="left"/>
            </w:pPr>
            <w:r>
              <w:rPr>
                <w:rFonts w:ascii="Aptos" w:hAnsi="Aptos" w:cs="Aptos"/>
                <w:b w:val="0"/>
                <w:sz w:val="22"/>
              </w:rPr>
              <w:t>Ahmed EL BATTAH</w:t>
            </w:r>
          </w:p>
        </w:tc>
      </w:tr>
      <w:tr>
        <w:trPr/>
        <w:tc>
          <w:tcPr>
            <w:tcW w:type="dxa" w:w="2880"/>
            <w:tcMar>
              <w:top w:w="90" w:type="dxa"/>
              <w:start w:w="110" w:type="dxa"/>
              <w:bottom w:w="90" w:type="dxa"/>
              <w:end w:w="110" w:type="dxa"/>
            </w:tcMar>
            <w:vAlign w:val="center"/>
            <w:tcBorders/>
          </w:tcPr>
          <w:p>
            <w:pPr>
              <w:spacing w:before="0" w:after="0" w:line="252" w:lineRule="auto"/>
              <w:jc w:val="right"/>
            </w:pPr>
            <w:r>
              <w:rPr>
                <w:rFonts w:ascii="Aptos" w:hAnsi="Aptos" w:cs="Aptos"/>
                <w:b/>
                <w:sz w:val="22"/>
              </w:rPr>
              <w:t>Encadrant :</w:t>
            </w:r>
          </w:p>
        </w:tc>
        <w:tc>
          <w:tcPr>
            <w:tcW w:type="dxa" w:w="4031"/>
            <w:tcMar>
              <w:top w:w="90" w:type="dxa"/>
              <w:start w:w="110" w:type="dxa"/>
              <w:bottom w:w="90" w:type="dxa"/>
              <w:end w:w="110" w:type="dxa"/>
            </w:tcMar>
            <w:vAlign w:val="center"/>
            <w:tcBorders/>
          </w:tcPr>
          <w:p>
            <w:pPr>
              <w:spacing w:before="0" w:after="0" w:line="252" w:lineRule="auto"/>
              <w:jc w:val="left"/>
            </w:pPr>
            <w:r>
              <w:rPr>
                <w:rFonts w:ascii="Aptos" w:hAnsi="Aptos" w:cs="Aptos"/>
                <w:b w:val="0"/>
                <w:sz w:val="22"/>
              </w:rPr>
              <w:t>Pr. Abdellah IDRISSI</w:t>
            </w:r>
          </w:p>
        </w:tc>
      </w:tr>
      <w:tr>
        <w:trPr/>
        <w:tc>
          <w:tcPr>
            <w:tcW w:type="dxa" w:w="2880"/>
            <w:tcMar>
              <w:top w:w="90" w:type="dxa"/>
              <w:start w:w="110" w:type="dxa"/>
              <w:bottom w:w="90" w:type="dxa"/>
              <w:end w:w="110" w:type="dxa"/>
            </w:tcMar>
            <w:vAlign w:val="center"/>
            <w:tcBorders/>
          </w:tcPr>
          <w:p>
            <w:pPr>
              <w:spacing w:before="0" w:after="0" w:line="252" w:lineRule="auto"/>
              <w:jc w:val="right"/>
            </w:pPr>
            <w:r>
              <w:rPr>
                <w:rFonts w:ascii="Aptos" w:hAnsi="Aptos" w:cs="Aptos"/>
                <w:b/>
                <w:sz w:val="22"/>
              </w:rPr>
              <w:t>Année universitaire :</w:t>
            </w:r>
          </w:p>
        </w:tc>
        <w:tc>
          <w:tcPr>
            <w:tcW w:type="dxa" w:w="4031"/>
            <w:tcMar>
              <w:top w:w="90" w:type="dxa"/>
              <w:start w:w="110" w:type="dxa"/>
              <w:bottom w:w="90" w:type="dxa"/>
              <w:end w:w="110" w:type="dxa"/>
            </w:tcMar>
            <w:vAlign w:val="center"/>
            <w:tcBorders/>
          </w:tcPr>
          <w:p>
            <w:pPr>
              <w:spacing w:before="0" w:after="0" w:line="252" w:lineRule="auto"/>
              <w:jc w:val="left"/>
            </w:pPr>
            <w:r>
              <w:rPr>
                <w:rFonts w:ascii="Aptos" w:hAnsi="Aptos" w:cs="Aptos"/>
                <w:b w:val="0"/>
                <w:sz w:val="22"/>
              </w:rPr>
              <w:t>2025–2026</w:t>
            </w:r>
          </w:p>
        </w:tc>
      </w:tr>
    </w:tbl>
    <w:p>
      <w:pPr>
        <w:keepNext w:val="0"/>
        <w:spacing w:before="0" w:after="840"/>
      </w:pPr>
      <w:r>
        <w:rPr>
          <w:rFonts w:ascii="Aptos" w:hAnsi="Aptos" w:cs="Aptos"/>
          <w:b w:val="0"/>
          <w:i w:val="0"/>
        </w:rPr>
      </w:r>
    </w:p>
    <w:p>
      <w:pPr>
        <w:keepNext w:val="0"/>
        <w:spacing w:before="0" w:after="0"/>
        <w:jc w:val="center"/>
      </w:pPr>
      <w:r>
        <w:rPr>
          <w:rFonts w:ascii="Aptos" w:hAnsi="Aptos" w:cs="Aptos"/>
          <w:b w:val="0"/>
          <w:i w:val="0"/>
          <w:sz w:val="24"/>
        </w:rPr>
        <w:t>Rabat, Maroc</w:t>
      </w:r>
    </w:p>
    <w:p>
      <w:pPr>
        <w:sectPr>
          <w:pgSz w:w="12240" w:h="15840"/>
          <w:pgMar w:top="1417" w:right="1417" w:bottom="1276" w:left="1417" w:header="709" w:footer="680" w:gutter="0"/>
          <w:cols w:space="720"/>
          <w:titlePg/>
          <w:docGrid w:linePitch="360"/>
        </w:sectPr>
      </w:pPr>
    </w:p>
    <w:p>
      <w:pPr>
        <w:pStyle w:val="Heading1"/>
        <w:keepNext/>
        <w:pageBreakBefore w:val="0"/>
      </w:pPr>
      <w:r>
        <w:rPr>
          <w:rFonts w:ascii="Aptos" w:hAnsi="Aptos" w:cs="Aptos"/>
          <w:b/>
          <w:color w:val="1F4E79"/>
          <w:sz w:val="30"/>
        </w:rPr>
        <w:t>1  Introduction et objectif</w:t>
      </w:r>
    </w:p>
    <w:p>
      <w:pPr>
        <w:keepNext w:val="0"/>
        <w:spacing w:before="0" w:after="140"/>
      </w:pPr>
      <w:r>
        <w:rPr>
          <w:rFonts w:ascii="Aptos" w:hAnsi="Aptos" w:cs="Aptos"/>
          <w:b w:val="0"/>
          <w:i w:val="0"/>
        </w:rPr>
        <w:t>Les grands modèles de langage (LLM) sont de plus en plus utilisés pour comparer des réponses générées, classer des systèmes et aider à l'évaluation lorsque l'examen complet par des humains serait trop coûteux ou trop lent. Dans une évaluation par paires, un modèle reçoit une consigne et deux réponses candidates, puis choisit une réponse ou renvoie une égalité. Cette approche est utile, mais elle soulève une question importante : quelle est la fiabilité du modèle qui juge ?</w:t>
      </w:r>
    </w:p>
    <w:p>
      <w:pPr>
        <w:keepNext w:val="0"/>
        <w:spacing w:before="0" w:after="140"/>
      </w:pPr>
      <w:r>
        <w:rPr>
          <w:rFonts w:ascii="Aptos" w:hAnsi="Aptos" w:cs="Aptos"/>
          <w:b w:val="0"/>
          <w:i w:val="0"/>
        </w:rPr>
        <w:t>Un juge LLM peut réagir à la consigne, aux textes des réponses, à leur ordre de présentation, au protocole de jugement et aux demandes répétées. Un seul score d'accord ne suffit donc pas. Un juge peut répéter une même décision de façon très régulière tout en ayant un accord limité avec les préférences humaines, ou en changeant sa décision lorsque les deux réponses sont échangées.</w:t>
      </w:r>
    </w:p>
    <w:p>
      <w:pPr>
        <w:keepNext w:val="0"/>
        <w:spacing w:before="0" w:after="140"/>
      </w:pPr>
      <w:r>
        <w:rPr>
          <w:rFonts w:ascii="Aptos" w:hAnsi="Aptos" w:cs="Aptos"/>
          <w:b w:val="0"/>
          <w:i w:val="0"/>
        </w:rPr>
        <w:t>Dans ce projet, j'étudie les juges LLM comme des instruments de mesure. L'objectif n'est pas de trouver un juge universellement meilleur. Le projet mesure plusieurs dimensions de la fiabilité, examine des sensibilités contrôlées et évalue des stratégies d'atténuation avec leurs compromis pratiques. Pour RQ1, la cible de comparaison est appelée les étiquettes de référence des préférences humaines. Elles sont utiles pour l'étude, mais elles ne sont pas considérées comme une vérité absolue.</w:t>
      </w:r>
    </w:p>
    <w:p>
      <w:pPr>
        <w:pStyle w:val="Heading1"/>
        <w:keepNext/>
        <w:pageBreakBefore w:val="0"/>
      </w:pPr>
      <w:r>
        <w:rPr>
          <w:rFonts w:ascii="Aptos" w:hAnsi="Aptos" w:cs="Aptos"/>
          <w:b/>
          <w:color w:val="1F4E79"/>
          <w:sz w:val="30"/>
        </w:rPr>
        <w:t>2  Travaux connexes et positionnement de la recherche</w:t>
      </w:r>
    </w:p>
    <w:p>
      <w:pPr>
        <w:keepNext w:val="0"/>
        <w:spacing w:before="0" w:after="140"/>
      </w:pPr>
      <w:r>
        <w:rPr>
          <w:rFonts w:ascii="Aptos" w:hAnsi="Aptos" w:cs="Aptos"/>
          <w:b w:val="0"/>
          <w:i w:val="0"/>
        </w:rPr>
        <w:t>L'évaluation fondée sur les LLM est devenue une alternative importante à l'évaluation humaine à grande échelle. G-EVAL a montré qu'une procédure structurée d'évaluation par LLM peut mieux correspondre aux jugements humains dans ses tâches cibles (Liu et al., 2023). Ce travail montre aussi que la correspondance avec les humains n'est qu'une partie du problème.</w:t>
      </w:r>
    </w:p>
    <w:p>
      <w:pPr>
        <w:keepNext w:val="0"/>
        <w:spacing w:before="0" w:after="140"/>
      </w:pPr>
      <w:r>
        <w:rPr>
          <w:rFonts w:ascii="Aptos" w:hAnsi="Aptos" w:cs="Aptos"/>
          <w:b w:val="0"/>
          <w:i w:val="0"/>
        </w:rPr>
        <w:t>MT-Bench et Chatbot Arena ont aidé à établir le jugement LLM par paires comme cadre pratique. Ils ont étudié l'accord avec les préférences humaines ainsi que des limites connues, comme la position, la longueur et l'auto-amélioration (Zheng et al., 2023). D'autres travaux montrent que l'ordre des réponses peut influencer un évaluateur LLM et proposent des méthodes de calibration (Wang et al., 2024). Length-Controlled AlpacaEval rappelle également qu'il faut tenir compte de la longueur des réponses pour interpréter les préférences automatiques (Dubois et al., 2024).</w:t>
      </w:r>
    </w:p>
    <w:p>
      <w:pPr>
        <w:keepNext w:val="0"/>
        <w:spacing w:before="0" w:after="140"/>
      </w:pPr>
      <w:r>
        <w:rPr>
          <w:rFonts w:ascii="Aptos" w:hAnsi="Aptos" w:cs="Aptos"/>
          <w:b w:val="0"/>
          <w:i w:val="0"/>
        </w:rPr>
        <w:t>Shi et al. étudient le biais de position sur plusieurs juges LLM et distinguent la stabilité de répétition de la cohérence de position (Shi et al., 2025). Leurs résultats montrent que la sensibilité à l'ordre peut varier selon les juges et les tâches. Cela soutient la séparation entre les décisions répétées dans une condition fixe (RQ2) et la cohérence lorsque l'ordre des réponses change (RQ3).</w:t>
      </w:r>
    </w:p>
    <w:p>
      <w:pPr>
        <w:keepNext w:val="0"/>
        <w:spacing w:before="0" w:after="140"/>
      </w:pPr>
      <w:r>
        <w:rPr>
          <w:rFonts w:ascii="Aptos" w:hAnsi="Aptos" w:cs="Aptos"/>
          <w:b w:val="0"/>
          <w:i w:val="0"/>
        </w:rPr>
        <w:t>Cette littérature suggère qu'un juge ne doit pas être évalué seulement à partir d'une sortie. La répétition compte parce qu'une procédure d'évaluation doit être stable dans les mêmes conditions. La présentation compte parce qu'une comparaison par paires ne devrait pas dépendre de la réponse placée en premier. L'atténuation compte parce qu'une méthode qui modifie l'accord peut aussi réduire le nombre de cas qui donnent une décision utilisable.</w:t>
      </w:r>
    </w:p>
    <w:p>
      <w:pPr>
        <w:keepNext w:val="0"/>
        <w:spacing w:before="0" w:after="140"/>
      </w:pPr>
      <w:r>
        <w:rPr>
          <w:rFonts w:ascii="Aptos" w:hAnsi="Aptos" w:cs="Aptos"/>
          <w:b w:val="0"/>
          <w:i w:val="0"/>
        </w:rPr>
        <w:t>Ces études motivent la conception de ce projet, mais elles ne répondent pas à toutes les questions de fiabilité au même endroit. Le présent travail réunit l'accord avec les étiquettes de référence des préférences humaines, la répétition, l'échange d'ordre des réponses, deux traitements contrôlés limités, l'association de famille source et l'atténuation dans un cadre contrôlé et reproductible. Chaque question est mesurée séparément, avec sa propre population et sa propre interprétation.</w:t>
      </w:r>
    </w:p>
    <w:p>
      <w:pPr>
        <w:pStyle w:val="Heading1"/>
        <w:keepNext/>
        <w:pageBreakBefore w:val="0"/>
      </w:pPr>
      <w:r>
        <w:rPr>
          <w:rFonts w:ascii="Aptos" w:hAnsi="Aptos" w:cs="Aptos"/>
          <w:b/>
          <w:color w:val="1F4E79"/>
          <w:sz w:val="30"/>
        </w:rPr>
        <w:t>3  Questions de recherche</w:t>
      </w:r>
    </w:p>
    <w:p>
      <w:pPr>
        <w:keepNext/>
        <w:spacing w:before="0" w:after="140"/>
      </w:pPr>
      <w:r>
        <w:rPr>
          <w:rFonts w:ascii="Aptos" w:hAnsi="Aptos" w:cs="Aptos"/>
          <w:b w:val="0"/>
          <w:i w:val="0"/>
        </w:rPr>
        <w:t>L'étude traite sept questions liées. Elles restent séparées parce qu'elles décrivent des aspects différents de la fiabilité d'un juge LLM.</w:t>
      </w:r>
    </w:p>
    <w:tbl>
      <w:tblPr>
        <w:tblStyle w:val="TableGrid"/>
        <w:tblW w:type="dxa" w:w="8712"/>
        <w:jc w:val="left"/>
        <w:tblLayout w:type="fixed"/>
        <w:tblLook w:firstColumn="1" w:firstRow="1" w:lastColumn="0" w:lastRow="0" w:noHBand="0" w:noVBand="1" w:val="04A0"/>
      </w:tblPr>
      <w:tblGrid>
        <w:gridCol w:w="792"/>
        <w:gridCol w:w="2304"/>
        <w:gridCol w:w="5616"/>
      </w:tblGrid>
      <w:tr>
        <w:trPr/>
        <w:tc>
          <w:tcPr>
            <w:tcW w:type="dxa" w:w="792"/>
            <w:tcMar>
              <w:top w:w="90" w:type="dxa"/>
              <w:start w:w="110" w:type="dxa"/>
              <w:bottom w:w="90" w:type="dxa"/>
              <w:end w:w="110" w:type="dxa"/>
            </w:tcMar>
            <w:vAlign w:val="center"/>
            <w:shd w:fill="EAF2F8"/>
          </w:tcPr>
          <w:p>
            <w:pPr>
              <w:spacing w:before="0" w:after="0" w:line="252" w:lineRule="auto"/>
            </w:pPr>
            <w:r>
              <w:rPr>
                <w:rFonts w:ascii="Aptos" w:hAnsi="Aptos" w:cs="Aptos"/>
                <w:b/>
                <w:color w:val="1F4E79"/>
                <w:sz w:val="18"/>
              </w:rPr>
              <w:t>RQ</w:t>
            </w:r>
          </w:p>
        </w:tc>
        <w:tc>
          <w:tcPr>
            <w:tcW w:type="dxa" w:w="2304"/>
            <w:tcMar>
              <w:top w:w="90" w:type="dxa"/>
              <w:start w:w="110" w:type="dxa"/>
              <w:bottom w:w="90" w:type="dxa"/>
              <w:end w:w="110" w:type="dxa"/>
            </w:tcMar>
            <w:vAlign w:val="center"/>
            <w:shd w:fill="EAF2F8"/>
          </w:tcPr>
          <w:p>
            <w:pPr>
              <w:spacing w:before="0" w:after="0" w:line="252" w:lineRule="auto"/>
            </w:pPr>
            <w:r>
              <w:rPr>
                <w:rFonts w:ascii="Aptos" w:hAnsi="Aptos" w:cs="Aptos"/>
                <w:b/>
                <w:color w:val="1F4E79"/>
                <w:sz w:val="18"/>
              </w:rPr>
              <w:t>Thème</w:t>
            </w:r>
          </w:p>
        </w:tc>
        <w:tc>
          <w:tcPr>
            <w:tcW w:type="dxa" w:w="5616"/>
            <w:tcMar>
              <w:top w:w="90" w:type="dxa"/>
              <w:start w:w="110" w:type="dxa"/>
              <w:bottom w:w="90" w:type="dxa"/>
              <w:end w:w="110" w:type="dxa"/>
            </w:tcMar>
            <w:vAlign w:val="center"/>
            <w:shd w:fill="EAF2F8"/>
          </w:tcPr>
          <w:p>
            <w:pPr>
              <w:spacing w:before="0" w:after="0" w:line="252" w:lineRule="auto"/>
            </w:pPr>
            <w:r>
              <w:rPr>
                <w:rFonts w:ascii="Aptos" w:hAnsi="Aptos" w:cs="Aptos"/>
                <w:b/>
                <w:color w:val="1F4E79"/>
                <w:sz w:val="18"/>
              </w:rPr>
              <w:t>Question</w:t>
            </w:r>
          </w:p>
        </w:tc>
      </w:tr>
      <w:tr>
        <w:tc>
          <w:tcPr>
            <w:tcW w:type="dxa" w:w="792"/>
          </w:tcPr>
          <w:p>
            <w:pPr>
              <w:spacing w:before="0" w:after="0" w:line="252" w:lineRule="auto"/>
            </w:pPr>
            <w:r>
              <w:rPr>
                <w:rFonts w:ascii="Aptos" w:hAnsi="Aptos" w:cs="Aptos"/>
                <w:b/>
                <w:sz w:val="18"/>
              </w:rPr>
              <w:t>RQ1</w:t>
            </w:r>
          </w:p>
        </w:tc>
        <w:tc>
          <w:tcPr>
            <w:tcW w:type="dxa" w:w="2304"/>
          </w:tcPr>
          <w:p>
            <w:pPr>
              <w:spacing w:before="0" w:after="0" w:line="252" w:lineRule="auto"/>
            </w:pPr>
            <w:r>
              <w:rPr>
                <w:rFonts w:ascii="Aptos" w:hAnsi="Aptos" w:cs="Aptos"/>
                <w:b w:val="0"/>
                <w:sz w:val="18"/>
              </w:rPr>
              <w:t>Accord humain</w:t>
            </w:r>
          </w:p>
        </w:tc>
        <w:tc>
          <w:tcPr>
            <w:tcW w:type="dxa" w:w="5616"/>
          </w:tcPr>
          <w:p>
            <w:pPr>
              <w:spacing w:before="0" w:after="0" w:line="252" w:lineRule="auto"/>
            </w:pPr>
            <w:r>
              <w:rPr>
                <w:rFonts w:ascii="Aptos" w:hAnsi="Aptos" w:cs="Aptos"/>
                <w:b w:val="0"/>
                <w:sz w:val="17"/>
              </w:rPr>
              <w:t>À quelle fréquence un juge correspond-il à une étiquette de référence des préférences humaines ?</w:t>
            </w:r>
          </w:p>
        </w:tc>
      </w:tr>
      <w:tr>
        <w:tc>
          <w:tcPr>
            <w:tcW w:type="dxa" w:w="792"/>
          </w:tcPr>
          <w:p>
            <w:pPr>
              <w:spacing w:before="0" w:after="0" w:line="252" w:lineRule="auto"/>
            </w:pPr>
            <w:r>
              <w:rPr>
                <w:rFonts w:ascii="Aptos" w:hAnsi="Aptos" w:cs="Aptos"/>
                <w:b/>
                <w:sz w:val="18"/>
              </w:rPr>
              <w:t>RQ2</w:t>
            </w:r>
          </w:p>
        </w:tc>
        <w:tc>
          <w:tcPr>
            <w:tcW w:type="dxa" w:w="2304"/>
          </w:tcPr>
          <w:p>
            <w:pPr>
              <w:spacing w:before="0" w:after="0" w:line="252" w:lineRule="auto"/>
            </w:pPr>
            <w:r>
              <w:rPr>
                <w:rFonts w:ascii="Aptos" w:hAnsi="Aptos" w:cs="Aptos"/>
                <w:b w:val="0"/>
                <w:sz w:val="18"/>
              </w:rPr>
              <w:t>Répétabilité</w:t>
            </w:r>
          </w:p>
        </w:tc>
        <w:tc>
          <w:tcPr>
            <w:tcW w:type="dxa" w:w="5616"/>
          </w:tcPr>
          <w:p>
            <w:pPr>
              <w:spacing w:before="0" w:after="0" w:line="252" w:lineRule="auto"/>
            </w:pPr>
            <w:r>
              <w:rPr>
                <w:rFonts w:ascii="Aptos" w:hAnsi="Aptos" w:cs="Aptos"/>
                <w:b w:val="0"/>
                <w:sz w:val="17"/>
              </w:rPr>
              <w:t>La même condition d'évaluation fixe produit-elle le même résultat lorsqu'elle est répétée ?</w:t>
            </w:r>
          </w:p>
        </w:tc>
      </w:tr>
      <w:tr>
        <w:tc>
          <w:tcPr>
            <w:tcW w:type="dxa" w:w="792"/>
          </w:tcPr>
          <w:p>
            <w:pPr>
              <w:spacing w:before="0" w:after="0" w:line="252" w:lineRule="auto"/>
            </w:pPr>
            <w:r>
              <w:rPr>
                <w:rFonts w:ascii="Aptos" w:hAnsi="Aptos" w:cs="Aptos"/>
                <w:b/>
                <w:sz w:val="18"/>
              </w:rPr>
              <w:t>RQ3</w:t>
            </w:r>
          </w:p>
        </w:tc>
        <w:tc>
          <w:tcPr>
            <w:tcW w:type="dxa" w:w="2304"/>
          </w:tcPr>
          <w:p>
            <w:pPr>
              <w:spacing w:before="0" w:after="0" w:line="252" w:lineRule="auto"/>
            </w:pPr>
            <w:r>
              <w:rPr>
                <w:rFonts w:ascii="Aptos" w:hAnsi="Aptos" w:cs="Aptos"/>
                <w:b w:val="0"/>
                <w:sz w:val="18"/>
              </w:rPr>
              <w:t>Sensibilité à l'ordre</w:t>
            </w:r>
          </w:p>
        </w:tc>
        <w:tc>
          <w:tcPr>
            <w:tcW w:type="dxa" w:w="5616"/>
          </w:tcPr>
          <w:p>
            <w:pPr>
              <w:spacing w:before="0" w:after="0" w:line="252" w:lineRule="auto"/>
            </w:pPr>
            <w:r>
              <w:rPr>
                <w:rFonts w:ascii="Aptos" w:hAnsi="Aptos" w:cs="Aptos"/>
                <w:b w:val="0"/>
                <w:sz w:val="17"/>
              </w:rPr>
              <w:t>La décision mappée change-t-elle lorsque les réponses sont présentées dans l'ordre inverse ?</w:t>
            </w:r>
          </w:p>
        </w:tc>
      </w:tr>
      <w:tr>
        <w:tc>
          <w:tcPr>
            <w:tcW w:type="dxa" w:w="792"/>
          </w:tcPr>
          <w:p>
            <w:pPr>
              <w:spacing w:before="0" w:after="0" w:line="252" w:lineRule="auto"/>
            </w:pPr>
            <w:r>
              <w:rPr>
                <w:rFonts w:ascii="Aptos" w:hAnsi="Aptos" w:cs="Aptos"/>
                <w:b/>
                <w:sz w:val="18"/>
              </w:rPr>
              <w:t>RQ4</w:t>
            </w:r>
          </w:p>
        </w:tc>
        <w:tc>
          <w:tcPr>
            <w:tcW w:type="dxa" w:w="2304"/>
          </w:tcPr>
          <w:p>
            <w:pPr>
              <w:spacing w:before="0" w:after="0" w:line="252" w:lineRule="auto"/>
            </w:pPr>
            <w:r>
              <w:rPr>
                <w:rFonts w:ascii="Aptos" w:hAnsi="Aptos" w:cs="Aptos"/>
                <w:b w:val="0"/>
                <w:sz w:val="18"/>
              </w:rPr>
              <w:t>Texte redondant</w:t>
            </w:r>
          </w:p>
        </w:tc>
        <w:tc>
          <w:tcPr>
            <w:tcW w:type="dxa" w:w="5616"/>
          </w:tcPr>
          <w:p>
            <w:pPr>
              <w:spacing w:before="0" w:after="0" w:line="252" w:lineRule="auto"/>
            </w:pPr>
            <w:r>
              <w:rPr>
                <w:rFonts w:ascii="Aptos" w:hAnsi="Aptos" w:cs="Aptos"/>
                <w:b w:val="0"/>
                <w:sz w:val="17"/>
              </w:rPr>
              <w:t>Un traitement limité et figé de texte redondant reçoit-il un avantage stable ?</w:t>
            </w:r>
          </w:p>
        </w:tc>
      </w:tr>
      <w:tr>
        <w:tc>
          <w:tcPr>
            <w:tcW w:type="dxa" w:w="792"/>
          </w:tcPr>
          <w:p>
            <w:pPr>
              <w:spacing w:before="0" w:after="0" w:line="252" w:lineRule="auto"/>
            </w:pPr>
            <w:r>
              <w:rPr>
                <w:rFonts w:ascii="Aptos" w:hAnsi="Aptos" w:cs="Aptos"/>
                <w:b/>
                <w:sz w:val="18"/>
              </w:rPr>
              <w:t>RQ5</w:t>
            </w:r>
          </w:p>
        </w:tc>
        <w:tc>
          <w:tcPr>
            <w:tcW w:type="dxa" w:w="2304"/>
          </w:tcPr>
          <w:p>
            <w:pPr>
              <w:spacing w:before="0" w:after="0" w:line="252" w:lineRule="auto"/>
            </w:pPr>
            <w:r>
              <w:rPr>
                <w:rFonts w:ascii="Aptos" w:hAnsi="Aptos" w:cs="Aptos"/>
                <w:b w:val="0"/>
                <w:sz w:val="18"/>
              </w:rPr>
              <w:t>Présentation</w:t>
            </w:r>
          </w:p>
        </w:tc>
        <w:tc>
          <w:tcPr>
            <w:tcW w:type="dxa" w:w="5616"/>
          </w:tcPr>
          <w:p>
            <w:pPr>
              <w:spacing w:before="0" w:after="0" w:line="252" w:lineRule="auto"/>
            </w:pPr>
            <w:r>
              <w:rPr>
                <w:rFonts w:ascii="Aptos" w:hAnsi="Aptos" w:cs="Aptos"/>
                <w:b w:val="0"/>
                <w:sz w:val="17"/>
              </w:rPr>
              <w:t>Un traitement contrôlé de préfixe de liste ou de présentation reçoit-il un avantage stable ?</w:t>
            </w:r>
          </w:p>
        </w:tc>
      </w:tr>
      <w:tr>
        <w:tc>
          <w:tcPr>
            <w:tcW w:type="dxa" w:w="792"/>
          </w:tcPr>
          <w:p>
            <w:pPr>
              <w:spacing w:before="0" w:after="0" w:line="252" w:lineRule="auto"/>
            </w:pPr>
            <w:r>
              <w:rPr>
                <w:rFonts w:ascii="Aptos" w:hAnsi="Aptos" w:cs="Aptos"/>
                <w:b/>
                <w:sz w:val="18"/>
              </w:rPr>
              <w:t>RQ6</w:t>
            </w:r>
          </w:p>
        </w:tc>
        <w:tc>
          <w:tcPr>
            <w:tcW w:type="dxa" w:w="2304"/>
          </w:tcPr>
          <w:p>
            <w:pPr>
              <w:spacing w:before="0" w:after="0" w:line="252" w:lineRule="auto"/>
            </w:pPr>
            <w:r>
              <w:rPr>
                <w:rFonts w:ascii="Aptos" w:hAnsi="Aptos" w:cs="Aptos"/>
                <w:b w:val="0"/>
                <w:sz w:val="18"/>
              </w:rPr>
              <w:t>Famille source</w:t>
            </w:r>
          </w:p>
        </w:tc>
        <w:tc>
          <w:tcPr>
            <w:tcW w:type="dxa" w:w="5616"/>
          </w:tcPr>
          <w:p>
            <w:pPr>
              <w:spacing w:before="0" w:after="0" w:line="252" w:lineRule="auto"/>
            </w:pPr>
            <w:r>
              <w:rPr>
                <w:rFonts w:ascii="Aptos" w:hAnsi="Aptos" w:cs="Aptos"/>
                <w:b w:val="0"/>
                <w:sz w:val="17"/>
              </w:rPr>
              <w:t>Existe-t-il une association contrebalancée entre un juge et des réponses de la même famille source ?</w:t>
            </w:r>
          </w:p>
        </w:tc>
      </w:tr>
      <w:tr>
        <w:tc>
          <w:tcPr>
            <w:tcW w:type="dxa" w:w="792"/>
          </w:tcPr>
          <w:p>
            <w:pPr>
              <w:spacing w:before="0" w:after="0" w:line="252" w:lineRule="auto"/>
            </w:pPr>
            <w:r>
              <w:rPr>
                <w:rFonts w:ascii="Aptos" w:hAnsi="Aptos" w:cs="Aptos"/>
                <w:b/>
                <w:sz w:val="18"/>
              </w:rPr>
              <w:t>RQ7</w:t>
            </w:r>
          </w:p>
        </w:tc>
        <w:tc>
          <w:tcPr>
            <w:tcW w:type="dxa" w:w="2304"/>
          </w:tcPr>
          <w:p>
            <w:pPr>
              <w:spacing w:before="0" w:after="0" w:line="252" w:lineRule="auto"/>
            </w:pPr>
            <w:r>
              <w:rPr>
                <w:rFonts w:ascii="Aptos" w:hAnsi="Aptos" w:cs="Aptos"/>
                <w:b w:val="0"/>
                <w:sz w:val="18"/>
              </w:rPr>
              <w:t>Atténuation</w:t>
            </w:r>
          </w:p>
        </w:tc>
        <w:tc>
          <w:tcPr>
            <w:tcW w:type="dxa" w:w="5616"/>
          </w:tcPr>
          <w:p>
            <w:pPr>
              <w:spacing w:before="0" w:after="0" w:line="252" w:lineRule="auto"/>
            </w:pPr>
            <w:r>
              <w:rPr>
                <w:rFonts w:ascii="Aptos" w:hAnsi="Aptos" w:cs="Aptos"/>
                <w:b w:val="0"/>
                <w:sz w:val="17"/>
              </w:rPr>
              <w:t>Quels compromis entre accord et couverture suivent DUAL_SWAP et le consensus multi-juge ?</w:t>
            </w:r>
          </w:p>
        </w:tc>
      </w:tr>
    </w:tbl>
    <w:p>
      <w:pPr>
        <w:spacing w:before="60" w:after="160"/>
        <w:jc w:val="center"/>
      </w:pPr>
      <w:r>
        <w:rPr>
          <w:rFonts w:ascii="Aptos" w:hAnsi="Aptos" w:cs="Aptos"/>
          <w:i/>
          <w:color w:val="595959"/>
          <w:sz w:val="18"/>
        </w:rPr>
        <w:t>Tableau 1. Questions de recherche en langage simple.</w:t>
      </w:r>
    </w:p>
    <w:p>
      <w:pPr>
        <w:pStyle w:val="Heading1"/>
        <w:keepNext/>
        <w:pageBreakBefore w:val="0"/>
      </w:pPr>
      <w:r>
        <w:rPr>
          <w:rFonts w:ascii="Aptos" w:hAnsi="Aptos" w:cs="Aptos"/>
          <w:b/>
          <w:color w:val="1F4E79"/>
          <w:sz w:val="30"/>
        </w:rPr>
        <w:t>4  Jeu de données et méthodologie</w:t>
      </w:r>
    </w:p>
    <w:p>
      <w:pPr>
        <w:keepNext w:val="0"/>
        <w:spacing w:before="0" w:after="140"/>
      </w:pPr>
      <w:r>
        <w:rPr>
          <w:rFonts w:ascii="Aptos" w:hAnsi="Aptos" w:cs="Aptos"/>
          <w:b w:val="0"/>
          <w:i w:val="0"/>
        </w:rPr>
        <w:t>L'étude finale utilise un jeu de données canonique corrigé à partir du texte source des jugements humains MT-Bench. Il contient 80 questions MT-Bench distinctes, avec les identifiants amont 81 à 160. MT-Bench comporte plusieurs tours : l'étude représente donc ces questions par 160 enregistrements de consignes au niveau des tours, soit 80 consignes du premier tour et 80 du second. Le projet contient donc 80 questions de benchmark, et non 160 questions différentes.</w:t>
      </w:r>
    </w:p>
    <w:p>
      <w:pPr>
        <w:keepNext w:val="0"/>
        <w:spacing w:before="0" w:after="140"/>
      </w:pPr>
      <w:r>
        <w:rPr>
          <w:rFonts w:ascii="Aptos" w:hAnsi="Aptos" w:cs="Aptos"/>
          <w:b w:val="0"/>
          <w:i w:val="0"/>
        </w:rPr>
        <w:t>Le jeu de données canonique contient 1,568 enregistrements. Parmi eux, 1,070 correspondaient exactement au texte source et 498 ont nécessité une correction de source ; aucun ne reste non résolu. Les 3,355 lignes humaines brutes ont aussi été réconciliées avec leur référence amont. Ce travail permet de relier une unité expérimentale à la consigne exacte et aux textes de réponses utilisés dans l'étude.</w:t>
      </w:r>
    </w:p>
    <w:p>
      <w:pPr>
        <w:keepNext w:val="0"/>
        <w:spacing w:before="0" w:after="140"/>
      </w:pPr>
      <w:r>
        <w:rPr>
          <w:rFonts w:ascii="Aptos" w:hAnsi="Aptos" w:cs="Aptos"/>
          <w:b w:val="0"/>
          <w:i w:val="0"/>
        </w:rPr>
        <w:t>Les résultats contrôlés finaux comprennent quatre familles de juges : Claude, DeepSeek, GPT et Llama. Les juges comparent des paires de réponses avec trois résultats structurés : réponse originale 1, réponse originale 2 ou égalité. Les réponses invalides, les échecs de fournisseur et les observations manquantes sont enregistrés explicitement. Ils ne sont pas transformés silencieusement en égalités ni remplacés par la réponse d'un autre modèle.</w:t>
      </w:r>
    </w:p>
    <w:p>
      <w:pPr>
        <w:keepNext w:val="0"/>
        <w:spacing w:before="0" w:after="140"/>
      </w:pPr>
      <w:r>
        <w:rPr>
          <w:rFonts w:ascii="Aptos" w:hAnsi="Aptos" w:cs="Aptos"/>
          <w:b w:val="0"/>
          <w:i w:val="0"/>
        </w:rPr>
        <w:t>Chaque question de recherche utilise une unité expérimentale définie. Pour RQ1, c'est une comparaison valide avec une étiquette de référence des préférences humaines disponible. Pour RQ2, c'est une cellule complète d'évaluation répétée. Pour RQ3, c'est une paire A/B et B/A appariée. Les autres questions utilisent leurs propres variantes appariées, unités contrebalancées ou populations d'atténuation retenues. C'est pourquoi les dénominateurs diffèrent entre les sept résultats.</w:t>
      </w:r>
    </w:p>
    <w:tbl>
      <w:tblPr>
        <w:tblW w:type="dxa" w:w="8712"/>
        <w:jc w:val="left"/>
        <w:tblLayout w:type="fixed"/>
        <w:tblLook w:firstColumn="1" w:firstRow="1" w:lastColumn="0" w:lastRow="0" w:noHBand="0" w:noVBand="1" w:val="04A0"/>
      </w:tblPr>
      <w:tblGrid>
        <w:gridCol w:w="8712"/>
      </w:tblGrid>
      <w:tr>
        <w:trPr/>
        <w:tc>
          <w:tcPr>
            <w:tcW w:type="dxa" w:w="8712"/>
            <w:tcMar>
              <w:top w:w="90" w:type="dxa"/>
              <w:start w:w="110" w:type="dxa"/>
              <w:bottom w:w="90" w:type="dxa"/>
              <w:end w:w="110" w:type="dxa"/>
            </w:tcMar>
            <w:vAlign w:val="center"/>
            <w:shd w:fill="EAF2F8"/>
          </w:tcPr>
          <w:p>
            <w:pPr>
              <w:spacing w:before="0" w:after="0" w:line="252" w:lineRule="auto"/>
              <w:jc w:val="center"/>
            </w:pPr>
            <w:r>
              <w:rPr>
                <w:rFonts w:ascii="Aptos" w:hAnsi="Aptos" w:cs="Aptos"/>
                <w:b w:val="0"/>
                <w:sz w:val="19"/>
              </w:rPr>
              <w:t>Texte source canonique et étiquettes de référence des préférences humaines</w:t>
            </w:r>
          </w:p>
        </w:tc>
      </w:tr>
      <w:tr>
        <w:trPr/>
        <w:tc>
          <w:tcPr>
            <w:tcW w:type="dxa" w:w="8712"/>
            <w:tcMar>
              <w:top w:w="90" w:type="dxa"/>
              <w:start w:w="110" w:type="dxa"/>
              <w:bottom w:w="90" w:type="dxa"/>
              <w:end w:w="110" w:type="dxa"/>
            </w:tcMar>
            <w:vAlign w:val="center"/>
            <w:shd w:fill="EAF2F8"/>
          </w:tcPr>
          <w:p>
            <w:pPr>
              <w:spacing w:before="0" w:after="0" w:line="252" w:lineRule="auto"/>
              <w:jc w:val="center"/>
            </w:pPr>
            <w:r>
              <w:rPr>
                <w:rFonts w:ascii="Aptos" w:hAnsi="Aptos" w:cs="Aptos"/>
                <w:b w:val="0"/>
                <w:sz w:val="19"/>
              </w:rPr>
              <w:t>Évaluations contrôlées de paires de réponses</w:t>
            </w:r>
          </w:p>
        </w:tc>
      </w:tr>
      <w:tr>
        <w:trPr/>
        <w:tc>
          <w:tcPr>
            <w:tcW w:type="dxa" w:w="8712"/>
            <w:tcMar>
              <w:top w:w="90" w:type="dxa"/>
              <w:start w:w="110" w:type="dxa"/>
              <w:bottom w:w="90" w:type="dxa"/>
              <w:end w:w="110" w:type="dxa"/>
            </w:tcMar>
            <w:vAlign w:val="center"/>
            <w:shd w:fill="EAF2F8"/>
          </w:tcPr>
          <w:p>
            <w:pPr>
              <w:spacing w:before="0" w:after="0" w:line="252" w:lineRule="auto"/>
              <w:jc w:val="center"/>
            </w:pPr>
            <w:r>
              <w:rPr>
                <w:rFonts w:ascii="Aptos" w:hAnsi="Aptos" w:cs="Aptos"/>
                <w:b w:val="0"/>
                <w:sz w:val="19"/>
              </w:rPr>
              <w:t>Résultats enregistrés, provenance, analyses figées et intervalles de confiance</w:t>
            </w:r>
          </w:p>
        </w:tc>
      </w:tr>
    </w:tbl>
    <w:p>
      <w:pPr>
        <w:spacing w:before="60" w:after="160"/>
        <w:jc w:val="center"/>
      </w:pPr>
      <w:r>
        <w:rPr>
          <w:rFonts w:ascii="Aptos" w:hAnsi="Aptos" w:cs="Aptos"/>
          <w:i/>
          <w:color w:val="595959"/>
          <w:sz w:val="18"/>
        </w:rPr>
        <w:t>Figure 1. Du texte source exact aux résultats contrôlés finaux.</w:t>
      </w:r>
    </w:p>
    <w:p>
      <w:pPr>
        <w:keepNext w:val="0"/>
        <w:spacing w:before="0" w:after="140"/>
      </w:pPr>
      <w:r>
        <w:rPr>
          <w:rFonts w:ascii="Aptos" w:hAnsi="Aptos" w:cs="Aptos"/>
          <w:b w:val="0"/>
          <w:i w:val="0"/>
        </w:rPr>
        <w:t>Plusieurs choix de conception soutiennent l'analyse. RQ2 répète la même condition fixe. RQ3 évalue les présentations A/B et B/A, puis remappe les choix vers les identités originales des réponses avant la comparaison. RQ4 et RQ5 utilisent des variantes de réponses contrôlées et figées. RQ6 utilise un plan de famille source contrebalancé. RQ7 évalue deux stratégies d'atténuation avec des populations retenues et des comparateurs différents.</w:t>
      </w:r>
    </w:p>
    <w:p>
      <w:pPr>
        <w:keepNext w:val="0"/>
        <w:spacing w:before="0" w:after="140"/>
      </w:pPr>
      <w:r>
        <w:rPr>
          <w:rFonts w:ascii="Aptos" w:hAnsi="Aptos" w:cs="Aptos"/>
          <w:b w:val="0"/>
          <w:i w:val="0"/>
        </w:rPr>
        <w:t>Le mappage de l'ordre des réponses est particulièrement important. Une réponse brute « Réponse A » n'a pas la même signification après l'échange visuel des réponses. L'analyse ramène chaque passage à l'identité de la réponse originale avant de décider si deux passages sont d'accord ou si le gagnant décisif a changé. Cela évite de confondre l'échange avec une préférence pour une réponse originale.</w:t>
      </w:r>
    </w:p>
    <w:p>
      <w:pPr>
        <w:keepNext w:val="0"/>
        <w:spacing w:before="0" w:after="140"/>
      </w:pPr>
      <w:r>
        <w:rPr>
          <w:rFonts w:ascii="Aptos" w:hAnsi="Aptos" w:cs="Aptos"/>
          <w:b w:val="0"/>
          <w:i w:val="0"/>
        </w:rPr>
        <w:t>Lorsqu'une mesure exige des observations complètes ou décisives, l'étude utilise une analyse sur cas complets. Les résultats manquants ne sont pas imputés et la règle d'éligibilité n'est pas assouplie pour augmenter l'échantillon. Les intervalles de confiance sont obtenus par la procédure figée avec 10,000 itérations bootstrap. Le dénominateur de chaque résultat indique donc la population à laquelle il s'applique. Un résultat nul, une observation manquante et une égalité valide restent ainsi des situations distinctes.</w:t>
      </w:r>
    </w:p>
    <w:p>
      <w:pPr>
        <w:keepNext w:val="0"/>
        <w:spacing w:before="0" w:after="140"/>
      </w:pPr>
      <w:r>
        <w:rPr>
          <w:rFonts w:ascii="Aptos" w:hAnsi="Aptos" w:cs="Aptos"/>
          <w:b w:val="0"/>
          <w:i w:val="0"/>
        </w:rPr>
        <w:t>Le plan par paires est utile parce que les deux réponses sont jugées pour la même consigne. Les résultats restent toutefois conditionnels aux paires retenues et au protocole de jugement. L'étude indique donc la population analytique exacte de chaque RQ au lieu de présenter un pourcentage comme s'il décrivait toutes les consignes ou toutes les réponses possibles. C'est aussi pourquoi les intervalles de confiance et la couverture accompagnent les estimations.</w:t>
      </w:r>
    </w:p>
    <w:p>
      <w:pPr>
        <w:pStyle w:val="Heading1"/>
        <w:keepNext/>
        <w:pageBreakBefore w:val="0"/>
      </w:pPr>
      <w:r>
        <w:rPr>
          <w:rFonts w:ascii="Aptos" w:hAnsi="Aptos" w:cs="Aptos"/>
          <w:b/>
          <w:color w:val="1F4E79"/>
          <w:sz w:val="30"/>
        </w:rPr>
        <w:t>5  Plateforme expérimentale et reproductibilité</w:t>
      </w:r>
    </w:p>
    <w:p>
      <w:pPr>
        <w:keepNext w:val="0"/>
        <w:spacing w:before="0" w:after="140"/>
      </w:pPr>
      <w:r>
        <w:rPr>
          <w:rFonts w:ascii="Aptos" w:hAnsi="Aptos" w:cs="Aptos"/>
          <w:b w:val="0"/>
          <w:i w:val="0"/>
        </w:rPr>
        <w:t>Le projet comprend un tableau de bord React/Vite, un backend FastAPI et une base de données expérimentale PostgreSQL. Les pages Synthèse et Expériences contrôlées présentent les preuves finales contrôlées pour RQ1 à RQ7. Leaderboard, Diagnostics de biais et Explorateur qualitatif montrent une télémétrie historique ou exploratoire. Live Evaluation est un bac à sable manuel séparé et ne fait pas partie de l'étude finale.</w:t>
      </w:r>
    </w:p>
    <w:p>
      <w:pPr>
        <w:keepNext w:val="0"/>
        <w:spacing w:before="0" w:after="140"/>
      </w:pPr>
      <w:r>
        <w:rPr>
          <w:rFonts w:ascii="Aptos" w:hAnsi="Aptos" w:cs="Aptos"/>
          <w:b w:val="0"/>
          <w:i w:val="0"/>
        </w:rPr>
        <w:t>La base de données conserve ensemble la consigne, la réponse, le modèle source, le juge, la condition, le passage et les informations d'analyse. Les analyses finales sont liées à des preuves enregistrées, y compris les enregistrements corrigés à la source. Cela garde l'historique des corrections visible et évite qu'un affichage exploratoire soit traité comme un résultat final.</w:t>
      </w:r>
    </w:p>
    <w:p>
      <w:pPr>
        <w:keepNext w:val="0"/>
        <w:spacing w:before="0" w:after="140"/>
      </w:pPr>
      <w:r>
        <w:rPr>
          <w:rFonts w:ascii="Aptos" w:hAnsi="Aptos" w:cs="Aptos"/>
          <w:b w:val="0"/>
          <w:i w:val="0"/>
        </w:rPr>
        <w:t>La plateforme est importante parce qu'elle relie chaque mesure aux observations et au protocole qui l'ont produite. Les données canoniques, les instantanés publiés de la base, les paquets de preuves et les tests permettent de vérifier les preuves complétées sans nouveaux appels aux fournisseurs. Les observations manquantes, invalides, à égalité ou terminales restent visibles : le dénominateur indique donc les données réellement utilisables, et non une expérience supposée complète.</w:t>
      </w:r>
    </w:p>
    <w:p>
      <w:pPr>
        <w:pStyle w:val="Heading1"/>
        <w:keepNext/>
        <w:pageBreakBefore w:val="0"/>
      </w:pPr>
      <w:r>
        <w:rPr>
          <w:rFonts w:ascii="Aptos" w:hAnsi="Aptos" w:cs="Aptos"/>
          <w:b/>
          <w:color w:val="1F4E79"/>
          <w:sz w:val="30"/>
        </w:rPr>
        <w:t>6  Principaux résultats expérimentaux</w:t>
      </w:r>
    </w:p>
    <w:p>
      <w:pPr>
        <w:keepNext/>
        <w:spacing w:before="0" w:after="140"/>
      </w:pPr>
      <w:r>
        <w:rPr>
          <w:rFonts w:ascii="Aptos" w:hAnsi="Aptos" w:cs="Aptos"/>
          <w:b w:val="0"/>
          <w:i w:val="0"/>
        </w:rPr>
        <w:t>Toutes les valeurs ci-dessous viennent de l'analyse finale complète sur la population entière corrigée à la source. Les résultats historiques antérieurs restent disponibles pour audit, mais ne sont pas utilisés comme preuves scientifiques finales.</w:t>
      </w:r>
    </w:p>
    <w:tbl>
      <w:tblPr>
        <w:tblStyle w:val="TableGrid"/>
        <w:tblW w:type="dxa" w:w="8712"/>
        <w:jc w:val="left"/>
        <w:tblLayout w:type="fixed"/>
        <w:tblLook w:firstColumn="1" w:firstRow="1" w:lastColumn="0" w:lastRow="0" w:noHBand="0" w:noVBand="1" w:val="04A0"/>
      </w:tblPr>
      <w:tblGrid>
        <w:gridCol w:w="1080"/>
        <w:gridCol w:w="4824"/>
        <w:gridCol w:w="2808"/>
      </w:tblGrid>
      <w:tr>
        <w:trPr/>
        <w:tc>
          <w:tcPr>
            <w:tcW w:type="dxa" w:w="1080"/>
            <w:tcMar>
              <w:top w:w="90" w:type="dxa"/>
              <w:start w:w="110" w:type="dxa"/>
              <w:bottom w:w="90" w:type="dxa"/>
              <w:end w:w="110" w:type="dxa"/>
            </w:tcMar>
            <w:vAlign w:val="center"/>
            <w:shd w:fill="EAF2F8"/>
          </w:tcPr>
          <w:p>
            <w:pPr>
              <w:spacing w:before="0" w:after="0" w:line="252" w:lineRule="auto"/>
            </w:pPr>
            <w:r>
              <w:rPr>
                <w:rFonts w:ascii="Aptos" w:hAnsi="Aptos" w:cs="Aptos"/>
                <w:b/>
                <w:color w:val="1F4E79"/>
                <w:sz w:val="17"/>
              </w:rPr>
              <w:t>RQ</w:t>
            </w:r>
          </w:p>
        </w:tc>
        <w:tc>
          <w:tcPr>
            <w:tcW w:type="dxa" w:w="4824"/>
            <w:tcMar>
              <w:top w:w="90" w:type="dxa"/>
              <w:start w:w="110" w:type="dxa"/>
              <w:bottom w:w="90" w:type="dxa"/>
              <w:end w:w="110" w:type="dxa"/>
            </w:tcMar>
            <w:vAlign w:val="center"/>
            <w:shd w:fill="EAF2F8"/>
          </w:tcPr>
          <w:p>
            <w:pPr>
              <w:spacing w:before="0" w:after="0" w:line="252" w:lineRule="auto"/>
            </w:pPr>
            <w:r>
              <w:rPr>
                <w:rFonts w:ascii="Aptos" w:hAnsi="Aptos" w:cs="Aptos"/>
                <w:b/>
                <w:color w:val="1F4E79"/>
                <w:sz w:val="17"/>
              </w:rPr>
              <w:t>Mesure et résultat principal</w:t>
            </w:r>
          </w:p>
        </w:tc>
        <w:tc>
          <w:tcPr>
            <w:tcW w:type="dxa" w:w="2808"/>
            <w:tcMar>
              <w:top w:w="90" w:type="dxa"/>
              <w:start w:w="110" w:type="dxa"/>
              <w:bottom w:w="90" w:type="dxa"/>
              <w:end w:w="110" w:type="dxa"/>
            </w:tcMar>
            <w:vAlign w:val="center"/>
            <w:shd w:fill="EAF2F8"/>
          </w:tcPr>
          <w:p>
            <w:pPr>
              <w:spacing w:before="0" w:after="0" w:line="252" w:lineRule="auto"/>
            </w:pPr>
            <w:r>
              <w:rPr>
                <w:rFonts w:ascii="Aptos" w:hAnsi="Aptos" w:cs="Aptos"/>
                <w:b/>
                <w:color w:val="1F4E79"/>
                <w:sz w:val="17"/>
              </w:rPr>
              <w:t>Limite d'interprétation</w:t>
            </w:r>
          </w:p>
        </w:tc>
      </w:tr>
      <w:tr>
        <w:tc>
          <w:tcPr>
            <w:tcW w:type="dxa" w:w="1080"/>
          </w:tcPr>
          <w:p>
            <w:pPr>
              <w:spacing w:before="0" w:after="0" w:line="252" w:lineRule="auto"/>
            </w:pPr>
            <w:r>
              <w:rPr>
                <w:rFonts w:ascii="Aptos" w:hAnsi="Aptos" w:cs="Aptos"/>
                <w:b/>
                <w:sz w:val="16"/>
              </w:rPr>
              <w:t>RQ1</w:t>
            </w:r>
          </w:p>
        </w:tc>
        <w:tc>
          <w:tcPr>
            <w:tcW w:type="dxa" w:w="4824"/>
          </w:tcPr>
          <w:p>
            <w:pPr>
              <w:spacing w:before="0" w:after="0" w:line="252" w:lineRule="auto"/>
            </w:pPr>
            <w:r>
              <w:rPr>
                <w:rFonts w:ascii="Aptos" w:hAnsi="Aptos" w:cs="Aptos"/>
                <w:b w:val="0"/>
                <w:sz w:val="16"/>
              </w:rPr>
              <w:t>Accord avec les étiquettes de référence des préférences humaines : 457/772 = 59.20 % ; IC à 95 % 55.70–62.69 % ; κ = 0.3230.</w:t>
            </w:r>
          </w:p>
        </w:tc>
        <w:tc>
          <w:tcPr>
            <w:tcW w:type="dxa" w:w="2808"/>
          </w:tcPr>
          <w:p>
            <w:pPr>
              <w:spacing w:before="0" w:after="0" w:line="252" w:lineRule="auto"/>
            </w:pPr>
            <w:r>
              <w:rPr>
                <w:rFonts w:ascii="Aptos" w:hAnsi="Aptos" w:cs="Aptos"/>
                <w:b w:val="0"/>
                <w:sz w:val="16"/>
              </w:rPr>
              <w:t>Accord modéré avec les étiquettes de référence.</w:t>
            </w:r>
          </w:p>
        </w:tc>
      </w:tr>
      <w:tr>
        <w:tc>
          <w:tcPr>
            <w:tcW w:type="dxa" w:w="1080"/>
          </w:tcPr>
          <w:p>
            <w:pPr>
              <w:spacing w:before="0" w:after="0" w:line="252" w:lineRule="auto"/>
            </w:pPr>
            <w:r>
              <w:rPr>
                <w:rFonts w:ascii="Aptos" w:hAnsi="Aptos" w:cs="Aptos"/>
                <w:b/>
                <w:sz w:val="16"/>
              </w:rPr>
              <w:t>RQ2</w:t>
            </w:r>
          </w:p>
        </w:tc>
        <w:tc>
          <w:tcPr>
            <w:tcW w:type="dxa" w:w="4824"/>
          </w:tcPr>
          <w:p>
            <w:pPr>
              <w:spacing w:before="0" w:after="0" w:line="252" w:lineRule="auto"/>
            </w:pPr>
            <w:r>
              <w:rPr>
                <w:rFonts w:ascii="Aptos" w:hAnsi="Aptos" w:cs="Aptos"/>
                <w:b w:val="0"/>
                <w:sz w:val="16"/>
              </w:rPr>
              <w:t>Répétabilité stricte en condition fixe : 96.53 % (7,119/7,375 ; 1,475 cellules).</w:t>
            </w:r>
          </w:p>
        </w:tc>
        <w:tc>
          <w:tcPr>
            <w:tcW w:type="dxa" w:w="2808"/>
          </w:tcPr>
          <w:p>
            <w:pPr>
              <w:spacing w:before="0" w:after="0" w:line="252" w:lineRule="auto"/>
            </w:pPr>
            <w:r>
              <w:rPr>
                <w:rFonts w:ascii="Aptos" w:hAnsi="Aptos" w:cs="Aptos"/>
                <w:b w:val="0"/>
                <w:sz w:val="16"/>
              </w:rPr>
              <w:t>Répétabilité élevée sous le protocole fixe.</w:t>
            </w:r>
          </w:p>
        </w:tc>
      </w:tr>
      <w:tr>
        <w:tc>
          <w:tcPr>
            <w:tcW w:type="dxa" w:w="1080"/>
          </w:tcPr>
          <w:p>
            <w:pPr>
              <w:spacing w:before="0" w:after="0" w:line="252" w:lineRule="auto"/>
            </w:pPr>
            <w:r>
              <w:rPr>
                <w:rFonts w:ascii="Aptos" w:hAnsi="Aptos" w:cs="Aptos"/>
                <w:b/>
                <w:sz w:val="16"/>
              </w:rPr>
              <w:t>RQ3</w:t>
            </w:r>
          </w:p>
        </w:tc>
        <w:tc>
          <w:tcPr>
            <w:tcW w:type="dxa" w:w="4824"/>
          </w:tcPr>
          <w:p>
            <w:pPr>
              <w:spacing w:before="0" w:after="0" w:line="252" w:lineRule="auto"/>
            </w:pPr>
            <w:r>
              <w:rPr>
                <w:rFonts w:ascii="Aptos" w:hAnsi="Aptos" w:cs="Aptos"/>
                <w:b w:val="0"/>
                <w:sz w:val="16"/>
              </w:rPr>
              <w:t>Inversions décisives après échange d'ordre : 96/549 = 17.49 % ; désaccord élargi 193/759 = 25.43 %.</w:t>
            </w:r>
          </w:p>
        </w:tc>
        <w:tc>
          <w:tcPr>
            <w:tcW w:type="dxa" w:w="2808"/>
          </w:tcPr>
          <w:p>
            <w:pPr>
              <w:spacing w:before="0" w:after="0" w:line="252" w:lineRule="auto"/>
            </w:pPr>
            <w:r>
              <w:rPr>
                <w:rFonts w:ascii="Aptos" w:hAnsi="Aptos" w:cs="Aptos"/>
                <w:b w:val="0"/>
                <w:sz w:val="16"/>
              </w:rPr>
              <w:t>La sensibilité à l'ordre existe et diffère selon les juges.</w:t>
            </w:r>
          </w:p>
        </w:tc>
      </w:tr>
      <w:tr>
        <w:tc>
          <w:tcPr>
            <w:tcW w:type="dxa" w:w="1080"/>
          </w:tcPr>
          <w:p>
            <w:pPr>
              <w:spacing w:before="0" w:after="0" w:line="252" w:lineRule="auto"/>
            </w:pPr>
            <w:r>
              <w:rPr>
                <w:rFonts w:ascii="Aptos" w:hAnsi="Aptos" w:cs="Aptos"/>
                <w:b/>
                <w:sz w:val="16"/>
              </w:rPr>
              <w:t>RQ4</w:t>
            </w:r>
          </w:p>
        </w:tc>
        <w:tc>
          <w:tcPr>
            <w:tcW w:type="dxa" w:w="4824"/>
          </w:tcPr>
          <w:p>
            <w:pPr>
              <w:spacing w:before="0" w:after="0" w:line="252" w:lineRule="auto"/>
            </w:pPr>
            <w:r>
              <w:rPr>
                <w:rFonts w:ascii="Aptos" w:hAnsi="Aptos" w:cs="Aptos"/>
                <w:b w:val="0"/>
                <w:sz w:val="16"/>
              </w:rPr>
              <w:t>Victoires stables du traitement de texte redondant : 0/682 = 0.00 %.</w:t>
            </w:r>
          </w:p>
        </w:tc>
        <w:tc>
          <w:tcPr>
            <w:tcW w:type="dxa" w:w="2808"/>
          </w:tcPr>
          <w:p>
            <w:pPr>
              <w:spacing w:before="0" w:after="0" w:line="252" w:lineRule="auto"/>
            </w:pPr>
            <w:r>
              <w:rPr>
                <w:rFonts w:ascii="Aptos" w:hAnsi="Aptos" w:cs="Aptos"/>
                <w:b w:val="0"/>
                <w:sz w:val="16"/>
              </w:rPr>
              <w:t>Valable seulement pour le traitement de texte redondant testé.</w:t>
            </w:r>
          </w:p>
        </w:tc>
      </w:tr>
      <w:tr>
        <w:tc>
          <w:tcPr>
            <w:tcW w:type="dxa" w:w="1080"/>
          </w:tcPr>
          <w:p>
            <w:pPr>
              <w:spacing w:before="0" w:after="0" w:line="252" w:lineRule="auto"/>
            </w:pPr>
            <w:r>
              <w:rPr>
                <w:rFonts w:ascii="Aptos" w:hAnsi="Aptos" w:cs="Aptos"/>
                <w:b/>
                <w:sz w:val="16"/>
              </w:rPr>
              <w:t>RQ5</w:t>
            </w:r>
          </w:p>
        </w:tc>
        <w:tc>
          <w:tcPr>
            <w:tcW w:type="dxa" w:w="4824"/>
          </w:tcPr>
          <w:p>
            <w:pPr>
              <w:spacing w:before="0" w:after="0" w:line="252" w:lineRule="auto"/>
            </w:pPr>
            <w:r>
              <w:rPr>
                <w:rFonts w:ascii="Aptos" w:hAnsi="Aptos" w:cs="Aptos"/>
                <w:b w:val="0"/>
                <w:sz w:val="16"/>
              </w:rPr>
              <w:t>Victoires stables du traitement de présentation/préfixe : 0/716 = 0.00 %.</w:t>
            </w:r>
          </w:p>
        </w:tc>
        <w:tc>
          <w:tcPr>
            <w:tcW w:type="dxa" w:w="2808"/>
          </w:tcPr>
          <w:p>
            <w:pPr>
              <w:spacing w:before="0" w:after="0" w:line="252" w:lineRule="auto"/>
            </w:pPr>
            <w:r>
              <w:rPr>
                <w:rFonts w:ascii="Aptos" w:hAnsi="Aptos" w:cs="Aptos"/>
                <w:b w:val="0"/>
                <w:sz w:val="16"/>
              </w:rPr>
              <w:t>Valable seulement pour le traitement de présentation testé.</w:t>
            </w:r>
          </w:p>
        </w:tc>
      </w:tr>
      <w:tr>
        <w:tc>
          <w:tcPr>
            <w:tcW w:type="dxa" w:w="1080"/>
          </w:tcPr>
          <w:p>
            <w:pPr>
              <w:spacing w:before="0" w:after="0" w:line="252" w:lineRule="auto"/>
            </w:pPr>
            <w:r>
              <w:rPr>
                <w:rFonts w:ascii="Aptos" w:hAnsi="Aptos" w:cs="Aptos"/>
                <w:b/>
                <w:sz w:val="16"/>
              </w:rPr>
              <w:t>RQ6</w:t>
            </w:r>
          </w:p>
        </w:tc>
        <w:tc>
          <w:tcPr>
            <w:tcW w:type="dxa" w:w="4824"/>
          </w:tcPr>
          <w:p>
            <w:pPr>
              <w:spacing w:before="0" w:after="0" w:line="252" w:lineRule="auto"/>
            </w:pPr>
            <w:r>
              <w:rPr>
                <w:rFonts w:ascii="Aptos" w:hAnsi="Aptos" w:cs="Aptos"/>
                <w:b w:val="0"/>
                <w:sz w:val="16"/>
              </w:rPr>
              <w:t>Préférence stable de même famille : 81/159 = 50.94 % ; IC à 95 % 42.77–58.49 % ; couverture 33.13 %.</w:t>
            </w:r>
          </w:p>
        </w:tc>
        <w:tc>
          <w:tcPr>
            <w:tcW w:type="dxa" w:w="2808"/>
          </w:tcPr>
          <w:p>
            <w:pPr>
              <w:spacing w:before="0" w:after="0" w:line="252" w:lineRule="auto"/>
            </w:pPr>
            <w:r>
              <w:rPr>
                <w:rFonts w:ascii="Aptos" w:hAnsi="Aptos" w:cs="Aptos"/>
                <w:b w:val="0"/>
                <w:sz w:val="16"/>
              </w:rPr>
              <w:t>Association seulement ; les résultats globaux ne sont pas uniformes.</w:t>
            </w:r>
          </w:p>
        </w:tc>
      </w:tr>
      <w:tr>
        <w:tc>
          <w:tcPr>
            <w:tcW w:type="dxa" w:w="1080"/>
          </w:tcPr>
          <w:p>
            <w:pPr>
              <w:spacing w:before="0" w:after="0" w:line="252" w:lineRule="auto"/>
            </w:pPr>
            <w:r>
              <w:rPr>
                <w:rFonts w:ascii="Aptos" w:hAnsi="Aptos" w:cs="Aptos"/>
                <w:b/>
                <w:sz w:val="16"/>
              </w:rPr>
              <w:t>RQ7 (P)</w:t>
            </w:r>
          </w:p>
        </w:tc>
        <w:tc>
          <w:tcPr>
            <w:tcW w:type="dxa" w:w="4824"/>
          </w:tcPr>
          <w:p>
            <w:pPr>
              <w:spacing w:before="0" w:after="0" w:line="252" w:lineRule="auto"/>
            </w:pPr>
            <w:r>
              <w:rPr>
                <w:rFonts w:ascii="Aptos" w:hAnsi="Aptos" w:cs="Aptos"/>
                <w:b w:val="0"/>
                <w:sz w:val="16"/>
              </w:rPr>
              <w:t>DUAL_SWAP : 67.84 % à 68.51 %, +0.67 point de pourcentage ; IC -0.17 à +1.68 ; couverture -21.03 points de pourcentage.</w:t>
            </w:r>
          </w:p>
        </w:tc>
        <w:tc>
          <w:tcPr>
            <w:tcW w:type="dxa" w:w="2808"/>
          </w:tcPr>
          <w:p>
            <w:pPr>
              <w:spacing w:before="0" w:after="0" w:line="252" w:lineRule="auto"/>
            </w:pPr>
            <w:r>
              <w:rPr>
                <w:rFonts w:ascii="Aptos" w:hAnsi="Aptos" w:cs="Aptos"/>
                <w:b w:val="0"/>
                <w:sz w:val="16"/>
              </w:rPr>
              <w:t>Primaire : changement d'accord faible et incertain, avec une couverture plus basse.</w:t>
            </w:r>
          </w:p>
        </w:tc>
      </w:tr>
      <w:tr>
        <w:tc>
          <w:tcPr>
            <w:tcW w:type="dxa" w:w="1080"/>
          </w:tcPr>
          <w:p>
            <w:pPr>
              <w:spacing w:before="0" w:after="0" w:line="252" w:lineRule="auto"/>
            </w:pPr>
            <w:r>
              <w:rPr>
                <w:rFonts w:ascii="Aptos" w:hAnsi="Aptos" w:cs="Aptos"/>
                <w:b/>
                <w:sz w:val="16"/>
              </w:rPr>
              <w:t>RQ7 (S)</w:t>
            </w:r>
          </w:p>
        </w:tc>
        <w:tc>
          <w:tcPr>
            <w:tcW w:type="dxa" w:w="4824"/>
          </w:tcPr>
          <w:p>
            <w:pPr>
              <w:spacing w:before="0" w:after="0" w:line="252" w:lineRule="auto"/>
            </w:pPr>
            <w:r>
              <w:rPr>
                <w:rFonts w:ascii="Aptos" w:hAnsi="Aptos" w:cs="Aptos"/>
                <w:b w:val="0"/>
                <w:sz w:val="16"/>
              </w:rPr>
              <w:t>Consensus multi-juge : 71.82 % contre 66.80 %, +5.02 points ; IC +4.16 à +5.89 ; couverture 69.83 %.</w:t>
            </w:r>
          </w:p>
        </w:tc>
        <w:tc>
          <w:tcPr>
            <w:tcW w:type="dxa" w:w="2808"/>
          </w:tcPr>
          <w:p>
            <w:pPr>
              <w:spacing w:before="0" w:after="0" w:line="252" w:lineRule="auto"/>
            </w:pPr>
            <w:r>
              <w:rPr>
                <w:rFonts w:ascii="Aptos" w:hAnsi="Aptos" w:cs="Aptos"/>
                <w:b w:val="0"/>
                <w:sz w:val="16"/>
              </w:rPr>
              <w:t>Secondaire : résultat positif face à son propre comparateur à poids égal.</w:t>
            </w:r>
          </w:p>
        </w:tc>
      </w:tr>
    </w:tbl>
    <w:p>
      <w:pPr>
        <w:spacing w:before="60" w:after="160"/>
        <w:jc w:val="center"/>
      </w:pPr>
      <w:r>
        <w:rPr>
          <w:rFonts w:ascii="Aptos" w:hAnsi="Aptos" w:cs="Aptos"/>
          <w:i/>
          <w:color w:val="595959"/>
          <w:sz w:val="18"/>
        </w:rPr>
        <w:t>Tableau 2. Résultats finaux de référence et limites d'interprétation.</w:t>
      </w:r>
    </w:p>
    <w:p>
      <w:pPr>
        <w:keepNext/>
        <w:spacing w:before="200" w:after="100"/>
      </w:pPr>
      <w:r>
        <w:rPr>
          <w:rFonts w:ascii="Aptos" w:hAnsi="Aptos" w:cs="Aptos"/>
          <w:b/>
          <w:color w:val="1F4E79"/>
          <w:sz w:val="22"/>
        </w:rPr>
        <w:t>RQ1 : Accord avec les étiquettes de référence des préférences humaines</w:t>
      </w:r>
    </w:p>
    <w:p>
      <w:pPr>
        <w:keepNext w:val="0"/>
        <w:spacing w:before="0" w:after="140"/>
      </w:pPr>
      <w:r>
        <w:rPr>
          <w:rFonts w:ascii="Aptos" w:hAnsi="Aptos" w:cs="Aptos"/>
          <w:b w:val="0"/>
          <w:i w:val="0"/>
        </w:rPr>
        <w:t>Sur 772 observations analytiques, les juges ont été d'accord avec l'étiquette de référence des préférences humaines dans 457 cas : 59.20 % (IC à 95 % 55.70–62.69 %). Le kappa de Cohen était 0.3230. Il s'agit d'un accord modéré. Les juges captent une partie du schéma de préférence, mais les désaccords restent fréquents. Les taux descriptifs diffèrent entre les quatre familles de juges : ces résultats ne doivent donc pas être lus comme un classement universel des modèles.</w:t>
      </w:r>
    </w:p>
    <w:p>
      <w:pPr>
        <w:keepNext w:val="0"/>
        <w:spacing w:before="0" w:after="140"/>
      </w:pPr>
      <w:r>
        <w:rPr>
          <w:rFonts w:ascii="Aptos" w:hAnsi="Aptos" w:cs="Aptos"/>
          <w:b w:val="0"/>
          <w:i w:val="0"/>
        </w:rPr>
        <w:t>L'accord n'est qu'une mesure de fiabilité. Il indique si une décision valide du juge correspond à l'étiquette humaine de référence choisie dans cette population. Il ne dit pas si le même juge répétera une décision, s'il réagira à l'ordre des réponses ou si son comportement se transférera à un autre benchmark.</w:t>
      </w:r>
    </w:p>
    <w:p>
      <w:pPr>
        <w:keepNext/>
        <w:spacing w:before="200" w:after="100"/>
      </w:pPr>
      <w:r>
        <w:rPr>
          <w:rFonts w:ascii="Aptos" w:hAnsi="Aptos" w:cs="Aptos"/>
          <w:b/>
          <w:color w:val="1F4E79"/>
          <w:sz w:val="22"/>
        </w:rPr>
        <w:t>RQ2 et RQ3 : Répétabilité et ordre des réponses</w:t>
      </w:r>
    </w:p>
    <w:p>
      <w:pPr>
        <w:keepNext w:val="0"/>
        <w:spacing w:before="0" w:after="140"/>
      </w:pPr>
      <w:r>
        <w:rPr>
          <w:rFonts w:ascii="Aptos" w:hAnsi="Aptos" w:cs="Aptos"/>
          <w:b w:val="0"/>
          <w:i w:val="0"/>
        </w:rPr>
        <w:t>Le résultat strict d'évaluation répétée était de 96.53 % sur 1,475 cellules complètes. Dans la même condition fixe, les juges ont généralement répété leur décision. Cependant, lorsque les mêmes réponses ont été échangées, 17.49 % des paires mappées décisives ont changé de gagnant. Le taux de désaccord élargi entre résultats appariés était de 25.43 %. Une répétabilité élevée ne signifie donc ni un accord élevé avec les étiquettes de référence des préférences humaines ni une absence de sensibilité à l'ordre.</w:t>
      </w:r>
    </w:p>
    <w:p>
      <w:pPr>
        <w:keepNext w:val="0"/>
        <w:spacing w:before="0" w:after="140"/>
      </w:pPr>
      <w:r>
        <w:rPr>
          <w:rFonts w:ascii="Aptos" w:hAnsi="Aptos" w:cs="Aptos"/>
          <w:b w:val="0"/>
          <w:i w:val="0"/>
        </w:rPr>
        <w:t>Le résultat sur l'ordre n'était pas uniforme entre les juges. Certaines familles présentaient beaucoup plus d'inversions décisives que d'autres dans ce cadre contrôlé. C'est pourquoi le projet présente des vues agrégées et des vues par juge, sans affirmer qu'une famille de modèles est toujours plus fiable.</w:t>
      </w:r>
    </w:p>
    <w:p>
      <w:pPr>
        <w:keepNext/>
        <w:spacing w:before="200" w:after="100"/>
      </w:pPr>
      <w:r>
        <w:rPr>
          <w:rFonts w:ascii="Aptos" w:hAnsi="Aptos" w:cs="Aptos"/>
          <w:b/>
          <w:color w:val="1F4E79"/>
          <w:sz w:val="22"/>
        </w:rPr>
        <w:t>RQ4, RQ5 et RQ6 : Traitements contrôlés et association de famille source</w:t>
      </w:r>
    </w:p>
    <w:p>
      <w:pPr>
        <w:keepNext w:val="0"/>
        <w:spacing w:before="0" w:after="140"/>
      </w:pPr>
      <w:r>
        <w:rPr>
          <w:rFonts w:ascii="Aptos" w:hAnsi="Aptos" w:cs="Aptos"/>
          <w:b w:val="0"/>
          <w:i w:val="0"/>
        </w:rPr>
        <w:t>Aucun des deux traitements contrôlés limités n'a produit une victoire stable de variante : RQ4 était de 0/682 et RQ5 de 0/716. Ces résultats concernent les variantes exactes de texte redondant et de préfixe de liste ou de présentation utilisées dans l'étude. Ils ne répondent pas à des questions plus larges sur la longueur ou la mise en forme.</w:t>
      </w:r>
    </w:p>
    <w:p>
      <w:pPr>
        <w:keepNext w:val="0"/>
        <w:spacing w:before="0" w:after="140"/>
      </w:pPr>
      <w:r>
        <w:rPr>
          <w:rFonts w:ascii="Aptos" w:hAnsi="Aptos" w:cs="Aptos"/>
          <w:b w:val="0"/>
          <w:i w:val="0"/>
        </w:rPr>
        <w:t>La valeur de ces résultats vient de leur précision. L'expérience apporte des preuves sur deux changements prédéfinis appliqués à des éléments autrement appariés. Un résultat nul limité ne devient pas une affirmation générale selon laquelle la longueur ou la présentation n'affecte jamais les jugements des LLM.</w:t>
      </w:r>
    </w:p>
    <w:p>
      <w:pPr>
        <w:keepNext w:val="0"/>
        <w:spacing w:before="0" w:after="140"/>
      </w:pPr>
      <w:r>
        <w:rPr>
          <w:rFonts w:ascii="Aptos" w:hAnsi="Aptos" w:cs="Aptos"/>
          <w:b w:val="0"/>
          <w:i w:val="0"/>
        </w:rPr>
        <w:t>L'expérience RQ6 contrebalancée a trouvé 81 sélections de même famille parmi 159 unités stables et décisives (50.94 % ; IC à 95 % 42.77–58.49 %), avec une couverture de 33.13 %. Les résultats au niveau des juges variaient fortement. Ce résultat doit être lu comme une association de famille source dans ce plan, et non comme une preuve causale d'auto-biais.</w:t>
      </w:r>
    </w:p>
    <w:p>
      <w:pPr>
        <w:keepNext/>
        <w:spacing w:before="200" w:after="100"/>
      </w:pPr>
      <w:r>
        <w:rPr>
          <w:rFonts w:ascii="Aptos" w:hAnsi="Aptos" w:cs="Aptos"/>
          <w:b/>
          <w:color w:val="1F4E79"/>
          <w:sz w:val="22"/>
        </w:rPr>
        <w:t>RQ7 : Stratégies d'atténuation</w:t>
      </w:r>
    </w:p>
    <w:p>
      <w:pPr>
        <w:keepNext w:val="0"/>
        <w:spacing w:before="0" w:after="140"/>
      </w:pPr>
      <w:r>
        <w:rPr>
          <w:rFonts w:ascii="Aptos" w:hAnsi="Aptos" w:cs="Aptos"/>
          <w:b w:val="0"/>
          <w:i w:val="0"/>
        </w:rPr>
        <w:t>DUAL_SWAP est la stratégie principale de RQ7. Elle filtre les décisions incohérentes selon la présentation. Dans cette étude, l'accord avec les étiquettes de référence des préférences humaines est passé de 67.84 % à 68.51 % dans la population appariée retenue (+0.67 point de pourcentage ; IC à 95 % -0.17 à +1.68 points). Le changement est faible et incertain, tandis que la couverture est passée de 96.87 % à 75.84 % (-21.03 points de pourcentage).</w:t>
      </w:r>
    </w:p>
    <w:p>
      <w:pPr>
        <w:keepNext w:val="0"/>
        <w:spacing w:before="0" w:after="140"/>
      </w:pPr>
      <w:r>
        <w:rPr>
          <w:rFonts w:ascii="Aptos" w:hAnsi="Aptos" w:cs="Aptos"/>
          <w:b w:val="0"/>
          <w:i w:val="0"/>
        </w:rPr>
        <w:t>Le consensus multi-juge est une stratégie secondaire de RQ7. Il agrège quatre votes indépendants de juges selon une règle stricte et est évalué face à un comparateur de juges individuels à poids égal sur ses propres paires retenues. L'accord était de 71.82 % contre 66.80 %, soit une différence de +5.02 points de pourcentage (IC à 95 % +4.16 à +5.89 points), avec une couverture de 69.83 %. C'est un résultat secondaire positif pour ce comparateur et cette population. Ce n'est pas une comparaison directe avec DUAL_SWAP.</w:t>
      </w:r>
    </w:p>
    <w:p>
      <w:pPr>
        <w:keepNext w:val="0"/>
        <w:spacing w:before="0" w:after="140"/>
      </w:pPr>
      <w:r>
        <w:rPr>
          <w:rFonts w:ascii="Aptos" w:hAnsi="Aptos" w:cs="Aptos"/>
          <w:b w:val="0"/>
          <w:i w:val="0"/>
        </w:rPr>
        <w:t>Les deux stratégies répondent donc à des choix opérationnels différents. DUAL_SWAP vérifie si un juge unique donne un résultat cohérent avec la présentation. Le consensus multi-juge agrège des jugements indépendants avec une règle stricte de rétention. Leurs effets estimés ne doivent pas être comparés comme s'ils venaient de la même base ou du même ensemble d'unités retenues.</w:t>
      </w:r>
    </w:p>
    <w:p>
      <w:pPr>
        <w:keepNext/>
        <w:spacing w:before="200" w:after="100"/>
      </w:pPr>
      <w:r>
        <w:rPr>
          <w:rFonts w:ascii="Aptos" w:hAnsi="Aptos" w:cs="Aptos"/>
          <w:b/>
          <w:color w:val="1F4E79"/>
          <w:sz w:val="22"/>
        </w:rPr>
        <w:t>Comment lire le tableau des résultats</w:t>
      </w:r>
    </w:p>
    <w:p>
      <w:pPr>
        <w:keepNext w:val="0"/>
        <w:spacing w:before="0" w:after="140"/>
      </w:pPr>
      <w:r>
        <w:rPr>
          <w:rFonts w:ascii="Aptos" w:hAnsi="Aptos" w:cs="Aptos"/>
          <w:b w:val="0"/>
          <w:i w:val="0"/>
        </w:rPr>
        <w:t>Le tableau présente le résultat principal de chaque question, mais les valeurs ne sont pas toutes du même type. RQ1 est un taux d'accord avec les étiquettes de référence des préférences humaines. RQ2 est un taux de répétition en condition fixe. RQ3 est un taux d'inversion appariée après le mappage des identités des réponses. RQ4 et RQ5 sont des taux de victoire stable de traitement, tandis que RQ6 est un taux de sélection contrebalancé de même famille. RQ7 présente des changements d'accord avec la couverture. Les nombres ne sont volontairement pas combinés en un score final unique.</w:t>
      </w:r>
    </w:p>
    <w:p>
      <w:pPr>
        <w:keepNext w:val="0"/>
        <w:spacing w:before="0" w:after="140"/>
      </w:pPr>
      <w:r>
        <w:rPr>
          <w:rFonts w:ascii="Aptos" w:hAnsi="Aptos" w:cs="Aptos"/>
          <w:b w:val="0"/>
          <w:i w:val="0"/>
        </w:rPr>
        <w:t>La couverture doit être examinée séparément. Une stratégie d'atténuation peut sembler meilleure pour les cas qu'elle conserve tout en renvoyant moins de décisions au total. DUAL_SWAP présente donc à la fois le petit changement d'accord et la réduction de couverture de 21.03 points. De même, le résultat multi-juge indique une couverture de 69.83 % pour sa règle de consensus stricte. Une décision de déploiement utile doit tenir compte des deux informations.</w:t>
      </w:r>
    </w:p>
    <w:p>
      <w:pPr>
        <w:pStyle w:val="Heading1"/>
        <w:keepNext/>
        <w:pageBreakBefore w:val="0"/>
      </w:pPr>
      <w:r>
        <w:rPr>
          <w:rFonts w:ascii="Aptos" w:hAnsi="Aptos" w:cs="Aptos"/>
          <w:b/>
          <w:color w:val="1F4E79"/>
          <w:sz w:val="30"/>
        </w:rPr>
        <w:t>7  Discussion</w:t>
      </w:r>
    </w:p>
    <w:p>
      <w:pPr>
        <w:keepNext w:val="0"/>
        <w:spacing w:before="0" w:after="140"/>
      </w:pPr>
      <w:r>
        <w:rPr>
          <w:rFonts w:ascii="Aptos" w:hAnsi="Aptos" w:cs="Aptos"/>
          <w:b w:val="0"/>
          <w:i w:val="0"/>
        </w:rPr>
        <w:t>La leçon principale est simple : la fiabilité d'un juge LLM a plusieurs dimensions. Dans cette étude, les juges étaient très répétables dans une condition fixe, mais leur accord avec les étiquettes de référence des préférences humaines était modéré et leurs décisions pouvaient changer lorsque l'ordre des réponses changeait. Ces résultats sont compatibles. Un juge peut reproduire une décision de façon régulière tout en restant sensible à la façon dont les alternatives sont présentées.</w:t>
      </w:r>
    </w:p>
    <w:p>
      <w:pPr>
        <w:keepNext w:val="0"/>
        <w:spacing w:before="0" w:after="140"/>
      </w:pPr>
      <w:r>
        <w:rPr>
          <w:rFonts w:ascii="Aptos" w:hAnsi="Aptos" w:cs="Aptos"/>
          <w:b w:val="0"/>
          <w:i w:val="0"/>
        </w:rPr>
        <w:t>Les sept questions de recherche rendent ces dimensions visibles. RQ1 mesure l'accord humain. RQ2 mesure la stabilité répétée. RQ3 mesure la sensibilité à la position. RQ4 et RQ5 testent deux traitements définis. RQ6 examine une association de famille source contrebalancée. RQ7 considère les compromis entre accord et couverture dans deux plans d'atténuation. Un seul score cacherait ces différences.</w:t>
      </w:r>
    </w:p>
    <w:p>
      <w:pPr>
        <w:keepNext w:val="0"/>
        <w:spacing w:before="0" w:after="140"/>
      </w:pPr>
      <w:r>
        <w:rPr>
          <w:rFonts w:ascii="Aptos" w:hAnsi="Aptos" w:cs="Aptos"/>
          <w:b w:val="0"/>
          <w:i w:val="0"/>
        </w:rPr>
        <w:t>Les résultats varient aussi entre les familles de juges. C'est pourquoi le projet ne prétend pas qu'un juge est universellement meilleur. Un processus d'évaluation utile doit présenter le résultat agrégé, les différences pertinentes entre juges et les conditions dans lesquelles le résultat a été obtenu.</w:t>
      </w:r>
    </w:p>
    <w:p>
      <w:pPr>
        <w:keepNext w:val="0"/>
        <w:spacing w:before="0" w:after="140"/>
      </w:pPr>
      <w:r>
        <w:rPr>
          <w:rFonts w:ascii="Aptos" w:hAnsi="Aptos" w:cs="Aptos"/>
          <w:b w:val="0"/>
          <w:i w:val="0"/>
        </w:rPr>
        <w:t>Les résultats d'atténuation apportent une leçon pratique. Une procédure qui conserve seulement certaines décisions peut modifier l'accord et la couverture en même temps. DUAL_SWAP a un coût clair de couverture dans cette étude, tandis que le résultat positif multi-juge concerne un autre comparateur et une autre population retenue. Ces résultats sont utiles pour choisir une procédure d'évaluation, mais ils ne prouvent pas que le biais a été éliminé.</w:t>
      </w:r>
    </w:p>
    <w:p>
      <w:pPr>
        <w:keepNext w:val="0"/>
        <w:spacing w:before="0" w:after="140"/>
      </w:pPr>
      <w:r>
        <w:rPr>
          <w:rFonts w:ascii="Aptos" w:hAnsi="Aptos" w:cs="Aptos"/>
          <w:b w:val="0"/>
          <w:i w:val="0"/>
        </w:rPr>
        <w:t>Les résultats des traitements sont aussi informatifs même si leurs numérateurs sont nuls. L'étude a testé un traitement précis de texte dupliqué et un traitement précis de préfixe de liste. Dans ces plans figés, aucun traitement n'a reçu un avantage stable. La conclusion doit rester limitée : l'expérience n'a pas observé de victoire stable de traitement dans ces populations. Il serait inapproprié d'étendre cette conclusion à toute forme de longueur ou de présentation.</w:t>
      </w:r>
    </w:p>
    <w:p>
      <w:pPr>
        <w:pStyle w:val="Heading1"/>
        <w:keepNext/>
        <w:pageBreakBefore w:val="0"/>
      </w:pPr>
      <w:r>
        <w:rPr>
          <w:rFonts w:ascii="Aptos" w:hAnsi="Aptos" w:cs="Aptos"/>
          <w:b/>
          <w:color w:val="1F4E79"/>
          <w:sz w:val="30"/>
        </w:rPr>
        <w:t>8  Limites</w:t>
      </w:r>
    </w:p>
    <w:p>
      <w:pPr>
        <w:keepNext w:val="0"/>
        <w:spacing w:before="0" w:after="140"/>
      </w:pPr>
      <w:r>
        <w:rPr>
          <w:rFonts w:ascii="Aptos" w:hAnsi="Aptos" w:cs="Aptos"/>
          <w:b w:val="0"/>
          <w:i w:val="0"/>
        </w:rPr>
        <w:t>Quatorze observations Claude sont restées indisponibles et n'ont pas été devinées ni remplacées. Elles ont été exclues lorsque des observations complètes étaient nécessaires. L'analyse utilise donc seulement les observations qui respectent les règles d'éligibilité définies pour chaque question de recherche.</w:t>
      </w:r>
    </w:p>
    <w:p>
      <w:pPr>
        <w:keepNext w:val="0"/>
        <w:spacing w:before="0" w:after="140"/>
      </w:pPr>
      <w:r>
        <w:rPr>
          <w:rFonts w:ascii="Aptos" w:hAnsi="Aptos" w:cs="Aptos"/>
          <w:b w:val="0"/>
          <w:i w:val="0"/>
        </w:rPr>
        <w:t>Les conclusions sont limitées à cette population MT-Bench, aux 80 questions et à leurs deux tours, aux quatre familles de juges, aux textes de réponses enregistrés et aux protocoles figés. Elles ne doivent pas être généralisées automatiquement à d'autres tâches, langues, versions de modèles, consignes ou contextes de déploiement. RQ4 et RQ5 couvrent uniquement leurs traitements limités. RQ6 est associatif. Enfin, les deux stratégies de RQ7 utilisent des populations et des comparateurs différents : elles ne peuvent pas être classées directement.</w:t>
      </w:r>
    </w:p>
    <w:p>
      <w:pPr>
        <w:pStyle w:val="Heading1"/>
        <w:keepNext/>
        <w:pageBreakBefore w:val="0"/>
      </w:pPr>
      <w:r>
        <w:rPr>
          <w:rFonts w:ascii="Aptos" w:hAnsi="Aptos" w:cs="Aptos"/>
          <w:b/>
          <w:color w:val="1F4E79"/>
          <w:sz w:val="30"/>
        </w:rPr>
        <w:t>9  Conclusion</w:t>
      </w:r>
    </w:p>
    <w:p>
      <w:pPr>
        <w:keepNext w:val="0"/>
        <w:spacing w:before="0" w:after="140"/>
      </w:pPr>
      <w:r>
        <w:rPr>
          <w:rFonts w:ascii="Aptos" w:hAnsi="Aptos" w:cs="Aptos"/>
          <w:b w:val="0"/>
          <w:i w:val="0"/>
        </w:rPr>
        <w:t>Ce projet fournit une étude contrôlée des juges LLM à travers l'accord humain, la répétabilité, la sensibilité à l'ordre des réponses, des traitements contrôlés limités, l'association de famille source et des stratégies d'atténuation. Sa contribution scientifique est d'examiner ces dimensions séparément et de rapporter les populations, les intervalles de confiance et les limites des conclusions. Sa contribution pratique est une plateforme reproductible qui relie le texte source exact, les enregistrements expérimentaux, les analyses, les paquets de preuves et un tableau de bord transparent.</w:t>
      </w:r>
    </w:p>
    <w:p>
      <w:pPr>
        <w:keepNext w:val="0"/>
        <w:spacing w:before="0" w:after="140"/>
      </w:pPr>
      <w:r>
        <w:rPr>
          <w:rFonts w:ascii="Aptos" w:hAnsi="Aptos" w:cs="Aptos"/>
          <w:b w:val="0"/>
          <w:i w:val="0"/>
        </w:rPr>
        <w:t>En pratique, les étiquettes de référence des préférences humaines doivent être considérées comme un comparateur, et non comme une vérité incontestable. Les dimensions de la fiabilité doivent être rapportées séparément, en particulier l'accord, la répétabilité, la sensibilité à la position et la couverture. Les contrôles de répétition et d'ordre des réponses peuvent révéler des faiblesses qu'un score unique masque. La provenance doit aussi être conservée afin qu'un résultat puisse être relié à la consigne, aux réponses, au protocole et à l'analyse qui l'ont produit. Les stratégies d'atténuation doivent être interprétées avec la couverture qu'elles conservent.</w:t>
      </w:r>
    </w:p>
    <w:p>
      <w:pPr>
        <w:pStyle w:val="Heading1"/>
        <w:keepNext/>
        <w:pageBreakBefore w:val="0"/>
      </w:pPr>
      <w:r>
        <w:rPr>
          <w:rFonts w:ascii="Aptos" w:hAnsi="Aptos" w:cs="Aptos"/>
          <w:b/>
          <w:color w:val="1F4E79"/>
          <w:sz w:val="30"/>
        </w:rPr>
        <w:t>Références</w:t>
      </w:r>
    </w:p>
    <w:p>
      <w:pPr>
        <w:keepNext w:val="0"/>
        <w:spacing w:before="0" w:after="120" w:line="250" w:lineRule="auto"/>
        <w:ind w:left="312" w:hanging="312"/>
      </w:pPr>
      <w:r>
        <w:rPr>
          <w:rFonts w:ascii="Aptos" w:hAnsi="Aptos" w:cs="Aptos"/>
          <w:b w:val="0"/>
          <w:i w:val="0"/>
          <w:sz w:val="18"/>
        </w:rPr>
        <w:t>Dubois, Yann, Balázs Galambosi, Percy Liang et Tatsunori B. Hashimoto. 2024. Length-Controlled AlpacaEval: A Simple Way to Debias Automatic Evaluators. arXiv preprint arXiv:2404.04475.</w:t>
      </w:r>
    </w:p>
    <w:p>
      <w:pPr>
        <w:keepNext w:val="0"/>
        <w:spacing w:before="0" w:after="120" w:line="250" w:lineRule="auto"/>
        <w:ind w:left="312" w:hanging="312"/>
      </w:pPr>
      <w:r>
        <w:rPr>
          <w:rFonts w:ascii="Aptos" w:hAnsi="Aptos" w:cs="Aptos"/>
          <w:b w:val="0"/>
          <w:i w:val="0"/>
          <w:sz w:val="18"/>
        </w:rPr>
        <w:t>Liu, Yang, Dan Iter, Yichong Xu, Shuohang Wang, Ruochen Xu et Chenguang Zhu. 2023. G-EVAL: NLG Evaluation using GPT-4 with Better Human Alignment. arXiv preprint arXiv:2303.16634.</w:t>
      </w:r>
    </w:p>
    <w:p>
      <w:pPr>
        <w:keepNext w:val="0"/>
        <w:spacing w:before="0" w:after="120" w:line="250" w:lineRule="auto"/>
        <w:ind w:left="312" w:hanging="312"/>
      </w:pPr>
      <w:r>
        <w:rPr>
          <w:rFonts w:ascii="Aptos" w:hAnsi="Aptos" w:cs="Aptos"/>
          <w:b w:val="0"/>
          <w:i w:val="0"/>
          <w:sz w:val="18"/>
        </w:rPr>
        <w:t>Shi, Lin, Chiyu Ma, Wenhua Liang, Xingjian Diao, Weicheng Ma et Soroush Vosoughi. 2025. Judging the Judges: A Systematic Study of Position Bias in LLM-as-a-Judge. In Proceedings of the 14th International Joint Conference on Natural Language Processing and the 4th Conference of the Asia-Pacific Chapter of the Association for Computational Linguistics, pages 292–314, Mumbai, India. The Asian Federation of Natural Language Processing and The Association for Computational Linguistics. doi: 10.18653/v1/2025.ijcnlp-long.18. https://aclanthology.org/2025.ijcnlp-long.18/.</w:t>
      </w:r>
    </w:p>
    <w:p>
      <w:pPr>
        <w:keepNext w:val="0"/>
        <w:spacing w:before="0" w:after="120" w:line="250" w:lineRule="auto"/>
        <w:ind w:left="312" w:hanging="312"/>
      </w:pPr>
      <w:r>
        <w:rPr>
          <w:rFonts w:ascii="Aptos" w:hAnsi="Aptos" w:cs="Aptos"/>
          <w:b w:val="0"/>
          <w:i w:val="0"/>
          <w:sz w:val="18"/>
        </w:rPr>
        <w:t>Wang, Peiyi, Lei Li, Liang Chen, Zefan Cai, Dawei Zhu, Binghuai Lin, Yunbo Cao, Lingpeng Kong, Qi Liu, Tianyu Liu et Zhifang Sui. 2024. Large Language Models are not Fair Evaluators. In Proceedings of the 62nd Annual Meeting of the Association for Computational Linguistics (Volume 1: Long Papers), pages 9440–9450. Association for Computational Linguistics. doi: 10.18653/v1/2024.acl-long.511. https://aclanthology.org/2024.acl-long.511/.</w:t>
      </w:r>
    </w:p>
    <w:p>
      <w:pPr>
        <w:keepNext w:val="0"/>
        <w:spacing w:before="0" w:after="120" w:line="250" w:lineRule="auto"/>
        <w:ind w:left="312" w:hanging="312"/>
      </w:pPr>
      <w:r>
        <w:rPr>
          <w:rFonts w:ascii="Aptos" w:hAnsi="Aptos" w:cs="Aptos"/>
          <w:b w:val="0"/>
          <w:i w:val="0"/>
          <w:sz w:val="18"/>
        </w:rPr>
        <w:t>Zheng, Lianmin, Wei-Lin Chiang, Ying Sheng, Siyuan Zhuang, Zhanghao Wu, Yonghao Zhuang, Zi Lin, Zhuohan Li, Dacheng Li, Eric P. Xing, Hao Zhang, Joseph E. Gonzalez et Ion Stoica. 2023. Judging LLM-as-a-Judge with MT-Bench and Chatbot Arena. Advances in Neural Information Processing Systems. arXiv:2306.05685.</w:t>
      </w:r>
    </w:p>
    <w:sectPr w:rsidR="00FC693F" w:rsidRPr="0006063C" w:rsidSect="00034616">
      <w:headerReference w:type="default" r:id="rId10"/>
      <w:footerReference w:type="default" r:id="rId11"/>
      <w:pgSz w:w="12240" w:h="15840"/>
      <w:pgMar w:top="1417" w:right="1417" w:bottom="1276" w:left="1417" w:header="709" w:footer="68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s="Aptos"/>
        <w:color w:val="595959"/>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14" w:val="right"/>
      </w:tabs>
      <w:spacing w:after="40"/>
      <w:jc w:val="left"/>
      <w:pBdr>
        <w:bottom w:val="single" w:sz="5" w:space="1" w:color="B7C9DD"/>
      </w:pBdr>
    </w:pPr>
    <w:r>
      <w:rPr>
        <w:rFonts w:ascii="Aptos" w:hAnsi="Aptos" w:cs="Aptos"/>
        <w:color w:val="595959"/>
        <w:sz w:val="17"/>
      </w:rPr>
      <w:t>LLM-as-a-Judge Reliability Lab</w:t>
    </w:r>
    <w:r>
      <w:tab/>
    </w:r>
    <w:r>
      <w:rPr>
        <w:rFonts w:ascii="Aptos" w:hAnsi="Aptos" w:cs="Aptos"/>
        <w:color w:val="595959"/>
        <w:sz w:val="17"/>
      </w:rPr>
      <w:t>Résumé du projet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jc w:val="both"/>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LLM-as-a-Judge Reliability Lab - Résumé du projet</dc:title>
  <dc:subject>Résumé de Projet de Fin d'Études</dc:subject>
  <dc:creator>Ahmed EL BATTAH</dc:creator>
  <cp:keywords/>
  <dc:description>generated by python-docx</dc:description>
  <cp:lastModifiedBy/>
  <cp:revision>1</cp:revision>
  <dcterms:created xsi:type="dcterms:W3CDTF">2013-12-23T23:15:00Z</dcterms:created>
  <dcterms:modified xsi:type="dcterms:W3CDTF">2013-12-23T23:15:00Z</dcterms:modified>
  <cp:category/>
</cp:coreProperties>
</file>