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Declaración Ética de Uso de Inteligencia Artificial</w:t>
      </w:r>
    </w:p>
    <w:p>
      <w:pPr>
        <w:pStyle w:val="BodyText"/>
        <w:bidi w:val="0"/>
        <w:jc w:val="left"/>
        <w:rPr/>
      </w:pPr>
      <w:r>
        <w:rPr>
          <w:rStyle w:val="Strong"/>
        </w:rPr>
        <w:t>Contenido sintético en DrinkEmAll</w:t>
      </w:r>
      <w:r>
        <w:rPr/>
        <w:t xml:space="preserve"> Documento de transparencia dirigido al usuario final</w:t>
      </w:r>
    </w:p>
    <w:p>
      <w:pPr>
        <w:pStyle w:val="BodyText"/>
        <w:bidi w:val="0"/>
        <w:jc w:val="left"/>
        <w:rPr/>
      </w:pPr>
      <w:r>
        <w:rPr>
          <w:rStyle w:val="Emphasis"/>
        </w:rPr>
        <w:t>Este documento describe prácticas y analiza el estado de un debate jurídico abierto. No constituye asesoramiento legal. Antes de la puesta en producción comercial corresponde validación por profesional del derecho.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Qué contenido de esta tienda es sintético</w:t>
      </w:r>
    </w:p>
    <w:p>
      <w:pPr>
        <w:pStyle w:val="BodyText"/>
        <w:bidi w:val="0"/>
        <w:jc w:val="left"/>
        <w:rPr/>
      </w:pPr>
      <w:r>
        <w:rPr/>
        <w:t xml:space="preserve">Durante la etapa de desarrollo y demostración, </w:t>
      </w:r>
      <w:r>
        <w:rPr>
          <w:rStyle w:val="Strong"/>
        </w:rPr>
        <w:t>la totalidad del catálogo de DrinkEmAll es ficticio</w:t>
      </w:r>
      <w:r>
        <w:rPr/>
        <w:t>. Ningún producto exhibido corresponde a una bebida real en venta.</w:t>
      </w:r>
    </w:p>
    <w:p>
      <w:pPr>
        <w:pStyle w:val="BodyText"/>
        <w:bidi w:val="0"/>
        <w:jc w:val="left"/>
        <w:rPr/>
      </w:pPr>
      <w:r>
        <w:rPr/>
        <w:t>Concretamente, es contenido generado y no real:</w:t>
      </w:r>
    </w:p>
    <w:tbl>
      <w:tblPr>
        <w:tblW w:w="10003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335"/>
        <w:gridCol w:w="3830"/>
        <w:gridCol w:w="2838"/>
      </w:tblGrid>
      <w:tr>
        <w:trPr>
          <w:tblHeader w:val="true"/>
        </w:trPr>
        <w:tc>
          <w:tcPr>
            <w:tcW w:w="333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Elemento</w:t>
            </w:r>
          </w:p>
        </w:tc>
        <w:tc>
          <w:tcPr>
            <w:tcW w:w="38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Origen</w:t>
            </w:r>
          </w:p>
        </w:tc>
        <w:tc>
          <w:tcPr>
            <w:tcW w:w="28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3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Nombres de producto</w:t>
            </w:r>
          </w:p>
        </w:tc>
        <w:tc>
          <w:tcPr>
            <w:tcW w:w="3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Redacción asistida por IA</w:t>
            </w:r>
          </w:p>
        </w:tc>
        <w:tc>
          <w:tcPr>
            <w:tcW w:w="28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Ficticio</w:t>
            </w:r>
          </w:p>
        </w:tc>
      </w:tr>
      <w:tr>
        <w:trPr/>
        <w:tc>
          <w:tcPr>
            <w:tcW w:w="3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Marcas y bodegas</w:t>
            </w:r>
          </w:p>
        </w:tc>
        <w:tc>
          <w:tcPr>
            <w:tcW w:w="3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Redacción asistida por IA</w:t>
            </w:r>
          </w:p>
        </w:tc>
        <w:tc>
          <w:tcPr>
            <w:tcW w:w="28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Inventadas</w:t>
            </w:r>
          </w:p>
        </w:tc>
      </w:tr>
      <w:tr>
        <w:trPr/>
        <w:tc>
          <w:tcPr>
            <w:tcW w:w="3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Notas de cata y descripciones</w:t>
            </w:r>
          </w:p>
        </w:tc>
        <w:tc>
          <w:tcPr>
            <w:tcW w:w="3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Redacción asistida por IA</w:t>
            </w:r>
          </w:p>
        </w:tc>
        <w:tc>
          <w:tcPr>
            <w:tcW w:w="28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Ficticias</w:t>
            </w:r>
          </w:p>
        </w:tc>
      </w:tr>
      <w:tr>
        <w:trPr/>
        <w:tc>
          <w:tcPr>
            <w:tcW w:w="3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Precios y stock</w:t>
            </w:r>
          </w:p>
        </w:tc>
        <w:tc>
          <w:tcPr>
            <w:tcW w:w="3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Valores de ejemplo</w:t>
            </w:r>
          </w:p>
        </w:tc>
        <w:tc>
          <w:tcPr>
            <w:tcW w:w="28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comerciales</w:t>
            </w:r>
          </w:p>
        </w:tc>
      </w:tr>
      <w:tr>
        <w:trPr/>
        <w:tc>
          <w:tcPr>
            <w:tcW w:w="3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Reseñas y puntajes</w:t>
            </w:r>
          </w:p>
        </w:tc>
        <w:tc>
          <w:tcPr>
            <w:tcW w:w="3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Valores de ejemplo</w:t>
            </w:r>
          </w:p>
        </w:tc>
        <w:tc>
          <w:tcPr>
            <w:tcW w:w="28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provienen de clientes</w:t>
            </w:r>
          </w:p>
        </w:tc>
      </w:tr>
      <w:tr>
        <w:trPr/>
        <w:tc>
          <w:tcPr>
            <w:tcW w:w="3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Imágenes de producto</w:t>
            </w:r>
          </w:p>
        </w:tc>
        <w:tc>
          <w:tcPr>
            <w:tcW w:w="3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Generación procedural por código</w:t>
            </w:r>
          </w:p>
        </w:tc>
        <w:tc>
          <w:tcPr>
            <w:tcW w:w="28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Ilustrativas</w:t>
            </w:r>
          </w:p>
        </w:tc>
      </w:tr>
      <w:tr>
        <w:trPr/>
        <w:tc>
          <w:tcPr>
            <w:tcW w:w="333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Testimonios</w:t>
            </w:r>
          </w:p>
        </w:tc>
        <w:tc>
          <w:tcPr>
            <w:tcW w:w="38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Redacción asistida por IA</w:t>
            </w:r>
          </w:p>
        </w:tc>
        <w:tc>
          <w:tcPr>
            <w:tcW w:w="28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Personas inexistentes</w:t>
            </w:r>
          </w:p>
        </w:tc>
      </w:tr>
    </w:tbl>
    <w:p>
      <w:pPr>
        <w:pStyle w:val="BodyText"/>
        <w:bidi w:val="0"/>
        <w:jc w:val="left"/>
        <w:rPr/>
      </w:pPr>
      <w:r>
        <w:rPr/>
        <w:t>Ninguna de las marcas mencionadas —Finca del Sauce, Barrio Nueve, Casa Miramar, Destilería Sur y las demás— existe. Ninguna de las personas que aparecen en la sección de opiniones es real.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Precisión técnica sobre cómo se genera cada cosa</w:t>
      </w:r>
    </w:p>
    <w:p>
      <w:pPr>
        <w:pStyle w:val="BodyText"/>
        <w:bidi w:val="0"/>
        <w:jc w:val="left"/>
        <w:rPr/>
      </w:pPr>
      <w:r>
        <w:rPr/>
        <w:t xml:space="preserve">La consigna habitual asume que las imágenes de un catálogo sintético provienen de modelos generativos de imagen. </w:t>
      </w:r>
      <w:r>
        <w:rPr>
          <w:rStyle w:val="Strong"/>
        </w:rPr>
        <w:t>En este proyecto no es así</w:t>
      </w:r>
      <w:r>
        <w:rPr/>
        <w:t>, y la distinción tiene consecuencias jurídicas concretas que conviene no borrar.</w:t>
      </w:r>
    </w:p>
    <w:p>
      <w:pPr>
        <w:pStyle w:val="Heading3"/>
        <w:bidi w:val="0"/>
        <w:jc w:val="left"/>
        <w:rPr/>
      </w:pPr>
      <w:r>
        <w:rPr/>
        <w:t>2.1 Las imágenes: generación procedural, no modelo generativo</w:t>
      </w:r>
    </w:p>
    <w:p>
      <w:pPr>
        <w:pStyle w:val="BodyText"/>
        <w:bidi w:val="0"/>
        <w:jc w:val="left"/>
        <w:rPr/>
      </w:pPr>
      <w:r>
        <w:rPr/>
        <w:t>Las ilustraciones de producto se producen con una función escrita por el equipo (</w:t>
      </w:r>
      <w:r>
        <w:rPr>
          <w:rStyle w:val="SourceText"/>
        </w:rPr>
        <w:t>src/lib/placeholder.js</w:t>
      </w:r>
      <w:r>
        <w:rPr/>
        <w:t>) que dibuja vectores SVG. Los trazados de las siluetas —botella, lata, botella de destilado— están escritos a mano en el código fuente. La función recibe un tono de color y una forma, y devuelve siempre el mismo resultado para los mismos parámetros.</w:t>
      </w:r>
    </w:p>
    <w:p>
      <w:pPr>
        <w:pStyle w:val="BodyText"/>
        <w:bidi w:val="0"/>
        <w:jc w:val="left"/>
        <w:rPr/>
      </w:pPr>
      <w:r>
        <w:rPr/>
        <w:t xml:space="preserve">Es decir: </w:t>
      </w:r>
      <w:r>
        <w:rPr>
          <w:rStyle w:val="Strong"/>
        </w:rPr>
        <w:t>es un programa determinista, no un modelo entrenado sobre obras de terceros</w:t>
      </w:r>
      <w:r>
        <w:rPr/>
        <w:t>. No interviene difusión, no hay corpus de entrenamiento, no hay imágenes ajenas involucradas en ninguna etapa.</w:t>
      </w:r>
    </w:p>
    <w:p>
      <w:pPr>
        <w:pStyle w:val="BodyText"/>
        <w:bidi w:val="0"/>
        <w:jc w:val="left"/>
        <w:rPr/>
      </w:pPr>
      <w:r>
        <w:rPr/>
        <w:t xml:space="preserve">Consecuencia jurídica: la obra protegible acá es </w:t>
      </w:r>
      <w:r>
        <w:rPr>
          <w:rStyle w:val="Strong"/>
        </w:rPr>
        <w:t>el código fuente</w:t>
      </w:r>
      <w:r>
        <w:rPr/>
        <w:t>, que tiene autoría humana clara y no plantea ninguna de las controversias descriptas en la sección 4. Las ilustraciones son salida determinista de ese programa.</w:t>
      </w:r>
    </w:p>
    <w:p>
      <w:pPr>
        <w:pStyle w:val="Heading3"/>
        <w:bidi w:val="0"/>
        <w:jc w:val="left"/>
        <w:rPr/>
      </w:pPr>
      <w:r>
        <w:rPr/>
        <w:t>2.2 Los textos: asistidos por IA</w:t>
      </w:r>
    </w:p>
    <w:p>
      <w:pPr>
        <w:pStyle w:val="BodyText"/>
        <w:bidi w:val="0"/>
        <w:jc w:val="left"/>
        <w:rPr/>
      </w:pPr>
      <w:r>
        <w:rPr/>
        <w:t>Los nombres, descripciones y notas de cata sí fueron redactados con asistencia de un modelo de lenguaje, con revisión y edición humana posterior. A este contenido sí le aplica, en lo pertinente, el debate de la sección 4.</w:t>
      </w:r>
    </w:p>
    <w:p>
      <w:pPr>
        <w:pStyle w:val="Heading3"/>
        <w:bidi w:val="0"/>
        <w:jc w:val="left"/>
        <w:rPr/>
      </w:pPr>
      <w:r>
        <w:rPr/>
        <w:t>2.3 Por qué se explicita esta diferencia</w:t>
      </w:r>
    </w:p>
    <w:p>
      <w:pPr>
        <w:pStyle w:val="BodyText"/>
        <w:bidi w:val="0"/>
        <w:jc w:val="left"/>
        <w:rPr/>
      </w:pPr>
      <w:r>
        <w:rPr/>
        <w:t>Declarar "usamos imágenes generadas por IA" cuando en realidad se usa dibujo vectorial programático sería inexacto en perjuicio propio: asumiría riesgos legales que el proyecto no tiene. La transparencia exige precisión, no autoinculpación genérica.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Compromiso de transparencia con el usuario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Identificación visible.</w:t>
      </w:r>
      <w:r>
        <w:rPr/>
        <w:t xml:space="preserve"> Mientras el catálogo sea de demostración, la tienda lo señala de forma clara y no en letra chica.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Sin simulación de reseñas reales.</w:t>
      </w:r>
      <w:r>
        <w:rPr/>
        <w:t xml:space="preserve"> Los testimonios y puntajes ficticios se identifican como tales. No se presentan opiniones inventadas como si provinieran de clientes.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Sin marcas ajenas.</w:t>
      </w:r>
      <w:r>
        <w:rPr/>
        <w:t xml:space="preserve"> No se generan etiquetas, envases ni denominaciones que imiten marcas reales del rubro.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Sin personas simuladas como reales.</w:t>
      </w:r>
      <w:r>
        <w:rPr/>
        <w:t xml:space="preserve"> No se utilizan retratos sintéticos presentados como clientes, empleados ni especialistas.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Trazabilidad interna.</w:t>
      </w:r>
      <w:r>
        <w:rPr/>
        <w:t xml:space="preserve"> Se documenta qué contenido fue asistido por IA, para poder auditarlo y reemplazarlo.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Estado del debate legal sobre obras generadas por IA</w:t>
      </w:r>
    </w:p>
    <w:p>
      <w:pPr>
        <w:pStyle w:val="BodyText"/>
        <w:bidi w:val="0"/>
        <w:jc w:val="left"/>
        <w:rPr/>
      </w:pPr>
      <w:r>
        <w:rPr/>
        <w:t xml:space="preserve">El punto de partida común a la mayoría de los ordenamientos es el requisito de </w:t>
      </w:r>
      <w:r>
        <w:rPr>
          <w:rStyle w:val="Strong"/>
        </w:rPr>
        <w:t>autoría humana</w:t>
      </w:r>
      <w:r>
        <w:rPr/>
        <w:t>. La divergencia aparece al determinar cuánta intervención humana hace falta y qué ocurre con el material usado para entrenar los modelos.</w:t>
      </w:r>
    </w:p>
    <w:p>
      <w:pPr>
        <w:pStyle w:val="Heading3"/>
        <w:bidi w:val="0"/>
        <w:jc w:val="left"/>
        <w:rPr/>
      </w:pPr>
      <w:r>
        <w:rPr/>
        <w:t>4.1 Argentina — marco aplicable al proyecto</w:t>
      </w:r>
    </w:p>
    <w:p>
      <w:pPr>
        <w:pStyle w:val="BodyText"/>
        <w:bidi w:val="0"/>
        <w:jc w:val="left"/>
        <w:rPr/>
      </w:pPr>
      <w:r>
        <w:rPr/>
        <w:t>La Ley 11.723 de Propiedad Intelectual estructura la protección alrededor de un autor persona física. No contiene previsiones específicas sobre generación automatizada, y no existe jurisprudencia local consolidada sobre imágenes generadas por IA.</w:t>
      </w:r>
    </w:p>
    <w:p>
      <w:pPr>
        <w:pStyle w:val="BodyText"/>
        <w:bidi w:val="0"/>
        <w:jc w:val="left"/>
        <w:rPr/>
      </w:pPr>
      <w:r>
        <w:rPr/>
        <w:t>La lectura mayoritaria en doctrina sigue la tradición de autoría humana: una salida producida sin intervención creativa humana suficiente difícilmente acceda a protección. Al no haber pronunciamiento judicial firme, es un terreno de interpretación abierta.</w:t>
      </w:r>
    </w:p>
    <w:p>
      <w:pPr>
        <w:pStyle w:val="Heading3"/>
        <w:bidi w:val="0"/>
        <w:jc w:val="left"/>
        <w:rPr/>
      </w:pPr>
      <w:r>
        <w:rPr/>
        <w:t>4.2 Estados Unidos</w:t>
      </w:r>
    </w:p>
    <w:p>
      <w:pPr>
        <w:pStyle w:val="BodyText"/>
        <w:bidi w:val="0"/>
        <w:jc w:val="left"/>
        <w:rPr/>
      </w:pPr>
      <w:r>
        <w:rPr/>
        <w:t>Es la jurisdicción con desarrollo más denso: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La Oficina de Derechos de Autor sostiene de manera constante que se requiere autoría humana. En </w:t>
      </w:r>
      <w:r>
        <w:rPr>
          <w:rStyle w:val="Emphasis"/>
        </w:rPr>
        <w:t>Zarya of the Dawn</w:t>
      </w:r>
      <w:r>
        <w:rPr/>
        <w:t xml:space="preserve"> (2023) registró el texto y la selección y disposición de una obra, pero </w:t>
      </w:r>
      <w:r>
        <w:rPr>
          <w:rStyle w:val="Strong"/>
        </w:rPr>
        <w:t>rechazó</w:t>
      </w:r>
      <w:r>
        <w:rPr/>
        <w:t xml:space="preserve"> el registro de las imágenes individuales generadas por el modelo.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En </w:t>
      </w:r>
      <w:r>
        <w:rPr>
          <w:rStyle w:val="Emphasis"/>
        </w:rPr>
        <w:t>Thaler v. Perlmutter</w:t>
      </w:r>
      <w:r>
        <w:rPr/>
        <w:t>, el Circuito de D.C. confirmó en 2025 que una obra presentada como generada autónomamente por una máquina, sin autor humano, no es registrable.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 informe de la Copyright Office sobre IA y registrabilidad (2025) concluyó que </w:t>
      </w:r>
      <w:r>
        <w:rPr>
          <w:rStyle w:val="Strong"/>
        </w:rPr>
        <w:t>los prompts, por sí solos, no suelen bastar</w:t>
      </w:r>
      <w:r>
        <w:rPr/>
        <w:t xml:space="preserve"> para conferir autoría, pero que las contribuciones humanas de selección, disposición y modificación sí pueden ser protegibles.</w:t>
      </w:r>
    </w:p>
    <w:p>
      <w:pPr>
        <w:pStyle w:val="BodyText"/>
        <w:bidi w:val="0"/>
        <w:jc w:val="left"/>
        <w:rPr/>
      </w:pPr>
      <w:r>
        <w:rPr/>
        <w:t>Sobre los datos de entrenamiento hay litigios abiertos —entre ellos los iniciados por artistas contra Stability AI y por Getty Images— y decisiones de 2025 sobre uso legítimo que resolvieron de manera acotada y sin sentar criterio general. Es materia no resuelta.</w:t>
      </w:r>
    </w:p>
    <w:p>
      <w:pPr>
        <w:pStyle w:val="Heading3"/>
        <w:bidi w:val="0"/>
        <w:jc w:val="left"/>
        <w:rPr/>
      </w:pPr>
      <w:r>
        <w:rPr/>
        <w:t>4.3 Unión Europea</w:t>
      </w:r>
    </w:p>
    <w:p>
      <w:pPr>
        <w:pStyle w:val="BodyText"/>
        <w:bidi w:val="0"/>
        <w:jc w:val="left"/>
        <w:rPr/>
      </w:pPr>
      <w:r>
        <w:rPr/>
        <w:t>El estándar exige que la obra sea "creación intelectual propia" de su autor, lo que la jurisprudencia del TJUE ha vinculado a decisiones libres y creativas de una persona.</w:t>
      </w:r>
    </w:p>
    <w:p>
      <w:pPr>
        <w:pStyle w:val="BodyText"/>
        <w:bidi w:val="0"/>
        <w:jc w:val="left"/>
        <w:rPr/>
      </w:pPr>
      <w:r>
        <w:rPr/>
        <w:t xml:space="preserve">En paralelo, el Reglamento de IA (2024/1689) introduce obligaciones de </w:t>
      </w:r>
      <w:r>
        <w:rPr>
          <w:rStyle w:val="Strong"/>
        </w:rPr>
        <w:t>transparencia sobre contenido sintético</w:t>
      </w:r>
      <w:r>
        <w:rPr/>
        <w:t>: marcado en formato legible por máquina y deber de informar cuando el contenido ha sido generado o manipulado artificialmente. Su aplicación es escalonada, con las obligaciones de transparencia previstas para 2026.</w:t>
      </w:r>
    </w:p>
    <w:p>
      <w:pPr>
        <w:pStyle w:val="BodyText"/>
        <w:bidi w:val="0"/>
        <w:jc w:val="left"/>
        <w:rPr/>
      </w:pPr>
      <w:r>
        <w:rPr/>
        <w:t>Su relevancia para este proyecto es indirecta —no opera en la UE— pero marca la dirección regulatoria internacional: el eje se está desplazando de "quién es titular" hacia "el usuario debe poder saberlo".</w:t>
      </w:r>
    </w:p>
    <w:p>
      <w:pPr>
        <w:pStyle w:val="Heading3"/>
        <w:bidi w:val="0"/>
        <w:jc w:val="left"/>
        <w:rPr/>
      </w:pPr>
      <w:r>
        <w:rPr/>
        <w:t>4.4 Reino Unido</w:t>
      </w:r>
    </w:p>
    <w:p>
      <w:pPr>
        <w:pStyle w:val="BodyText"/>
        <w:bidi w:val="0"/>
        <w:jc w:val="left"/>
        <w:rPr/>
      </w:pPr>
      <w:r>
        <w:rPr/>
        <w:t>Constituye la excepción histórica: su ley de 1988 previó las obras generadas por computadora sin autor humano, atribuyendo la autoría a quien hubiera realizado las disposiciones necesarias para su creación. Esa figura, anterior a la IA generativa, ha sido objeto de consultas públicas y propuestas de derogación por considerarse mal ajustada a la tecnología actual.</w:t>
      </w:r>
    </w:p>
    <w:p>
      <w:pPr>
        <w:pStyle w:val="Heading3"/>
        <w:bidi w:val="0"/>
        <w:jc w:val="left"/>
        <w:rPr/>
      </w:pPr>
      <w:r>
        <w:rPr/>
        <w:t>4.5 China — divergencia relevante</w:t>
      </w:r>
    </w:p>
    <w:p>
      <w:pPr>
        <w:pStyle w:val="BodyText"/>
        <w:bidi w:val="0"/>
        <w:jc w:val="left"/>
        <w:rPr/>
      </w:pPr>
      <w:r>
        <w:rPr/>
        <w:t>Tribunales chinos han reconocido protección sobre imágenes generadas por IA cuando el usuario acreditó una intervención intelectual sustantiva —diseño iterativo de instrucciones y ajuste de parámetros—. Es la posición más permisiva entre las jurisdicciones mayores y muestra que el criterio de "suficiente aporte humano" dista de ser uniforme.</w:t>
      </w:r>
    </w:p>
    <w:p>
      <w:pPr>
        <w:pStyle w:val="Heading3"/>
        <w:bidi w:val="0"/>
        <w:jc w:val="left"/>
        <w:rPr/>
      </w:pPr>
      <w:r>
        <w:rPr/>
        <w:t>4.6 Síntesis del estado actual</w:t>
      </w:r>
    </w:p>
    <w:tbl>
      <w:tblPr>
        <w:tblW w:w="9898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892"/>
        <w:gridCol w:w="5006"/>
      </w:tblGrid>
      <w:tr>
        <w:trPr>
          <w:tblHeader w:val="true"/>
        </w:trPr>
        <w:tc>
          <w:tcPr>
            <w:tcW w:w="48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Aspecto</w:t>
            </w:r>
          </w:p>
        </w:tc>
        <w:tc>
          <w:tcPr>
            <w:tcW w:w="50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48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Autoría de salida puramente automática</w:t>
            </w:r>
          </w:p>
        </w:tc>
        <w:tc>
          <w:tcPr>
            <w:tcW w:w="5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Rechazada en la mayoría de las jurisdicciones</w:t>
            </w:r>
          </w:p>
        </w:tc>
      </w:tr>
      <w:tr>
        <w:trPr/>
        <w:tc>
          <w:tcPr>
            <w:tcW w:w="48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Aporte humano suficiente para proteger</w:t>
            </w:r>
          </w:p>
        </w:tc>
        <w:tc>
          <w:tcPr>
            <w:tcW w:w="5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Sin criterio uniforme</w:t>
            </w:r>
          </w:p>
        </w:tc>
      </w:tr>
      <w:tr>
        <w:trPr/>
        <w:tc>
          <w:tcPr>
            <w:tcW w:w="48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Legalidad del entrenamiento con obra ajena</w:t>
            </w:r>
          </w:p>
        </w:tc>
        <w:tc>
          <w:tcPr>
            <w:tcW w:w="50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 litigio, sin resolución general</w:t>
            </w:r>
          </w:p>
        </w:tc>
      </w:tr>
      <w:tr>
        <w:trPr/>
        <w:tc>
          <w:tcPr>
            <w:tcW w:w="48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Deber de transparencia hacia el usuario</w:t>
            </w:r>
          </w:p>
        </w:tc>
        <w:tc>
          <w:tcPr>
            <w:tcW w:w="50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Tendencia clara a exigirlo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La conclusión operativa es que </w:t>
      </w:r>
      <w:r>
        <w:rPr>
          <w:rStyle w:val="Strong"/>
        </w:rPr>
        <w:t>no conviene construir una estrategia comercial sobre el supuesto de exclusividad respecto de contenido generado por IA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Riesgos concretos para la estrategia comercial</w:t>
      </w:r>
    </w:p>
    <w:p>
      <w:pPr>
        <w:pStyle w:val="Heading3"/>
        <w:bidi w:val="0"/>
        <w:jc w:val="left"/>
        <w:rPr/>
      </w:pPr>
      <w:r>
        <w:rPr/>
        <w:t>5.1 Ausencia de exclusividad</w:t>
      </w:r>
    </w:p>
    <w:p>
      <w:pPr>
        <w:pStyle w:val="BodyText"/>
        <w:bidi w:val="0"/>
        <w:jc w:val="left"/>
        <w:rPr/>
      </w:pPr>
      <w:r>
        <w:rPr/>
        <w:t>Si en el futuro se incorporan imágenes de modelos generativos, es probable que no se pueda impedir que un competidor use material equivalente. La diferenciación debe apoyarse en el servicio, la logística y la curaduría, no en la titularidad del arte del catálogo.</w:t>
      </w:r>
    </w:p>
    <w:p>
      <w:pPr>
        <w:pStyle w:val="Heading3"/>
        <w:bidi w:val="0"/>
        <w:jc w:val="left"/>
        <w:rPr/>
      </w:pPr>
      <w:r>
        <w:rPr/>
        <w:t>5.2 Publicidad engañosa — el riesgo más serio</w:t>
      </w:r>
    </w:p>
    <w:p>
      <w:pPr>
        <w:pStyle w:val="BodyText"/>
        <w:bidi w:val="0"/>
        <w:jc w:val="left"/>
        <w:rPr/>
      </w:pPr>
      <w:r>
        <w:rPr/>
        <w:t>Es el punto de mayor exposición comercial y no es de propiedad intelectual sino de defensa del consumidor. Mostrar una imagen sintética de una botella que no coincide con el producto realmente entregado puede configurar publicidad engañosa bajo la Ley 24.240.</w:t>
      </w:r>
    </w:p>
    <w:p>
      <w:pPr>
        <w:pStyle w:val="BodyText"/>
        <w:bidi w:val="0"/>
        <w:jc w:val="left"/>
        <w:rPr/>
      </w:pPr>
      <w:r>
        <w:rPr>
          <w:rStyle w:val="Strong"/>
        </w:rPr>
        <w:t>Compromiso</w:t>
      </w:r>
      <w:r>
        <w:rPr/>
        <w:t>: cuando la tienda pase a vender producto real, las ilustraciones sintéticas se reemplazan por fotografía del producto efectivo. No se usará arte generado para representar mercadería concreta en venta.</w:t>
      </w:r>
    </w:p>
    <w:p>
      <w:pPr>
        <w:pStyle w:val="Heading3"/>
        <w:bidi w:val="0"/>
        <w:jc w:val="left"/>
        <w:rPr/>
      </w:pPr>
      <w:r>
        <w:rPr/>
        <w:t>5.3 Riesgo marcario</w:t>
      </w:r>
    </w:p>
    <w:p>
      <w:pPr>
        <w:pStyle w:val="BodyText"/>
        <w:bidi w:val="0"/>
        <w:jc w:val="left"/>
        <w:rPr/>
      </w:pPr>
      <w:r>
        <w:rPr/>
        <w:t>En bebidas, la forma del envase y la presentación pueden estar protegidas. Generar etiquetas o envases que evoquen marcas existentes expone a conflicto marcario con independencia de quién sea titular de la imagen. Por eso las siluetas del proyecto son genéricas y no reproducen identidad visual de ninguna marca real.</w:t>
      </w:r>
    </w:p>
    <w:p>
      <w:pPr>
        <w:pStyle w:val="Heading3"/>
        <w:bidi w:val="0"/>
        <w:jc w:val="left"/>
        <w:rPr/>
      </w:pPr>
      <w:r>
        <w:rPr/>
        <w:t>5.4 Procedencia del material de entrenamiento</w:t>
      </w:r>
    </w:p>
    <w:p>
      <w:pPr>
        <w:pStyle w:val="BodyText"/>
        <w:bidi w:val="0"/>
        <w:jc w:val="left"/>
        <w:rPr/>
      </w:pPr>
      <w:r>
        <w:rPr/>
        <w:t>Si se incorporan herramientas generativas de terceros, se asume el riesgo asociado a la procedencia de sus datos de entrenamiento, hoy en discusión judicial. Corresponde priorizar proveedores que documenten el origen del material y ofrezcan indemnidad contractual.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Compromisos operativos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Sustitución antes de la venta real.</w:t>
      </w:r>
      <w:r>
        <w:rPr/>
        <w:t xml:space="preserve"> Ninguna ilustración sintética representará un producto efectivamente ofrecido. Se reemplaza por fotografía real antes de habilitar la venta.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Revisión humana.</w:t>
      </w:r>
      <w:r>
        <w:rPr/>
        <w:t xml:space="preserve"> Todo texto asistido por IA se revisa y edita antes de publicarse. No se publica salida sin revisar.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Sin datos personales en los prompts.</w:t>
      </w:r>
      <w:r>
        <w:rPr/>
        <w:t xml:space="preserve"> No se incorpora información de clientes a herramientas de terceros.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Sin decisiones automatizadas sobre personas.</w:t>
      </w:r>
      <w:r>
        <w:rPr/>
        <w:t xml:space="preserve"> La IA no interviene en precios personalizados, scoring ni decisiones que afecten a un cliente concreto.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Registro de uso.</w:t>
      </w:r>
      <w:r>
        <w:rPr/>
        <w:t xml:space="preserve"> Se documenta qué herramientas se emplean y para qué.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Marcado del contenido.</w:t>
      </w:r>
      <w:r>
        <w:rPr/>
        <w:t xml:space="preserve"> Se adopta el criterio de identificar el contenido sintético, alineado con la dirección regulatoria internacional, aun sin obligación local vigente.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Revisión periódica.</w:t>
      </w:r>
      <w:r>
        <w:rPr/>
        <w:t xml:space="preserve"> Este documento se revisa al menos una vez al año o ante cambios normativos relevantes.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Qué cambia cuando el catálogo sea real</w:t>
      </w:r>
    </w:p>
    <w:tbl>
      <w:tblPr>
        <w:tblW w:w="8356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954"/>
        <w:gridCol w:w="5402"/>
      </w:tblGrid>
      <w:tr>
        <w:trPr>
          <w:tblHeader w:val="true"/>
        </w:trPr>
        <w:tc>
          <w:tcPr>
            <w:tcW w:w="295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Hoy</w:t>
            </w:r>
          </w:p>
        </w:tc>
        <w:tc>
          <w:tcPr>
            <w:tcW w:w="540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Al operar comercialmente</w:t>
            </w:r>
          </w:p>
        </w:tc>
      </w:tr>
      <w:tr>
        <w:trPr/>
        <w:tc>
          <w:tcPr>
            <w:tcW w:w="29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Catálogo ficticio completo</w:t>
            </w:r>
          </w:p>
        </w:tc>
        <w:tc>
          <w:tcPr>
            <w:tcW w:w="54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Productos reales del comercio</w:t>
            </w:r>
          </w:p>
        </w:tc>
      </w:tr>
      <w:tr>
        <w:trPr/>
        <w:tc>
          <w:tcPr>
            <w:tcW w:w="29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Ilustraciones vectoriales</w:t>
            </w:r>
          </w:p>
        </w:tc>
        <w:tc>
          <w:tcPr>
            <w:tcW w:w="54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Fotografía del producto</w:t>
            </w:r>
          </w:p>
        </w:tc>
      </w:tr>
      <w:tr>
        <w:trPr/>
        <w:tc>
          <w:tcPr>
            <w:tcW w:w="29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Reseñas de ejemplo</w:t>
            </w:r>
          </w:p>
        </w:tc>
        <w:tc>
          <w:tcPr>
            <w:tcW w:w="54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Opiniones verificadas de clientes</w:t>
            </w:r>
          </w:p>
        </w:tc>
      </w:tr>
      <w:tr>
        <w:trPr/>
        <w:tc>
          <w:tcPr>
            <w:tcW w:w="29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Precios de muestra</w:t>
            </w:r>
          </w:p>
        </w:tc>
        <w:tc>
          <w:tcPr>
            <w:tcW w:w="54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Precios vigentes</w:t>
            </w:r>
          </w:p>
        </w:tc>
      </w:tr>
      <w:tr>
        <w:trPr/>
        <w:tc>
          <w:tcPr>
            <w:tcW w:w="295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Aviso de demostración</w:t>
            </w:r>
          </w:p>
        </w:tc>
        <w:tc>
          <w:tcPr>
            <w:tcW w:w="540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Aviso retirado, sustituido por trazabilidad interna</w:t>
            </w:r>
          </w:p>
        </w:tc>
      </w:tr>
    </w:tbl>
    <w:p>
      <w:pPr>
        <w:pStyle w:val="BodyText"/>
        <w:bidi w:val="0"/>
        <w:jc w:val="left"/>
        <w:rPr/>
      </w:pPr>
      <w:r>
        <w:rPr/>
        <w:t>La arquitectura del sistema ya contempla esta transición: la capa de datos está aislada del resto de la aplicación, de modo que el reemplazo del catálogo es una sustitución de origen y no una reescritura.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Limitaciones de esta declaración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El panorama jurídico descripto está en evolución. Hay litigios abiertos cuyo resultado puede alterar varias de las afirmaciones de la sección 4.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El equipo no cuenta con asesoramiento legal profesional a la fecha. Este documento refleja una posición razonada, no un dictamen.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jc w:val="left"/>
        <w:rPr/>
      </w:pPr>
      <w:r>
        <w:rPr/>
        <w:t>Los compromisos de la sección 6 son declarativos: su cumplimiento debe poder auditarse antes de sostener que se cumplen.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Carlito;sans-serif" w:hAnsi="Calibri;Carlito;sans-serif" w:eastAsia="Calibri;Carlito;sans-serif" w:cs="Calibri;Carlito;sans-serif"/>
      <w:color w:val="auto"/>
      <w:sz w:val="22"/>
      <w:szCs w:val="22"/>
      <w:lang w:val="es-A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5"/>
      <w:szCs w:val="25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LibreOffice_project/30643f3b95f81f04449dc87ba649cc313a42270e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revision>0</cp:revision>
  <dc:subject/>
  <dc:title>declaracion-etica-ia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