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Justificación del Modelo de Licenciamiento</w:t>
      </w:r>
    </w:p>
    <w:p>
      <w:pPr>
        <w:pStyle w:val="BodyText"/>
        <w:bidi w:val="0"/>
        <w:rPr/>
      </w:pPr>
      <w:r>
        <w:rPr>
          <w:rStyle w:val="Strong"/>
        </w:rPr>
        <w:t>DrinkEmAll</w:t>
      </w:r>
      <w:r>
        <w:rPr/>
        <w:t xml:space="preserve"> — Proyecto Integrador Interdisciplinar 2026 Espacio curricular: Legislación Informática</w:t>
      </w:r>
    </w:p>
    <w:p>
      <w:pPr>
        <w:pStyle w:val="BodyText"/>
        <w:bidi w:val="0"/>
        <w:rPr/>
      </w:pPr>
      <w:r>
        <w:rPr>
          <w:rStyle w:val="Strong"/>
        </w:rPr>
        <w:t>Equipo:</w:t>
      </w:r>
      <w:r>
        <w:rPr/>
        <w:t xml:space="preserve"> Senger, Brian Leonel Miguel - Baumgatner, Jose Ignacio - Riquel, Gaston Azula</w:t>
      </w:r>
    </w:p>
    <w:p>
      <w:pPr>
        <w:pStyle w:val="HorizontalLine"/>
        <w:bidi w:val="0"/>
        <w:rPr/>
      </w:pPr>
      <w:r>
        <w:rPr/>
      </w:r>
    </w:p>
    <w:p>
      <w:pPr>
        <w:pStyle w:val="Heading2"/>
        <w:bidi w:val="0"/>
        <w:rPr/>
      </w:pPr>
      <w:r>
        <w:rPr/>
        <w:t>1. Qué hay que licenciar</w:t>
      </w:r>
    </w:p>
    <w:p>
      <w:pPr>
        <w:pStyle w:val="BodyText"/>
        <w:bidi w:val="0"/>
        <w:rPr/>
      </w:pPr>
      <w:r>
        <w:rPr/>
        <w:t>La consigna habla del "código fuente de la plataforma web y sus producciones digitales asociadas". Son dos cosas distintas y el error más común es cubrirlas con una sola licencia. El proyecto produce:</w:t>
      </w:r>
    </w:p>
    <w:tbl>
      <w:tblPr>
        <w:tblW w:w="7969" w:type="dxa"/>
        <w:jc w:val="left"/>
        <w:tblInd w:w="90" w:type="dxa"/>
        <w:tblLayout w:type="fixed"/>
        <w:tblCellMar>
          <w:top w:w="90" w:type="dxa"/>
          <w:left w:w="90" w:type="dxa"/>
          <w:bottom w:w="90" w:type="dxa"/>
          <w:right w:w="90" w:type="dxa"/>
        </w:tblCellMar>
      </w:tblPr>
      <w:tblGrid>
        <w:gridCol w:w="5754"/>
        <w:gridCol w:w="2215"/>
      </w:tblGrid>
      <w:tr>
        <w:trPr>
          <w:tblHeader w:val="true"/>
        </w:trPr>
        <w:tc>
          <w:tcPr>
            <w:tcW w:w="57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Producción</w:t>
            </w:r>
          </w:p>
        </w:tc>
        <w:tc>
          <w:tcPr>
            <w:tcW w:w="22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Naturaleza</w:t>
            </w:r>
          </w:p>
        </w:tc>
      </w:tr>
      <w:tr>
        <w:trPr/>
        <w:tc>
          <w:tcPr>
            <w:tcW w:w="57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Código de la aplicación web (React, CSS, JavaScript)</w:t>
            </w:r>
          </w:p>
        </w:tc>
        <w:tc>
          <w:tcPr>
            <w:tcW w:w="2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Software</w:t>
            </w:r>
          </w:p>
        </w:tc>
      </w:tr>
      <w:tr>
        <w:trPr/>
        <w:tc>
          <w:tcPr>
            <w:tcW w:w="57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Código del backend (Node, Express, Sequelize)</w:t>
            </w:r>
          </w:p>
        </w:tc>
        <w:tc>
          <w:tcPr>
            <w:tcW w:w="2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Software</w:t>
            </w:r>
          </w:p>
        </w:tc>
      </w:tr>
      <w:tr>
        <w:trPr/>
        <w:tc>
          <w:tcPr>
            <w:tcW w:w="575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ourceText"/>
              </w:rPr>
              <w:t>productos.json</w:t>
            </w:r>
            <w:r>
              <w:rPr/>
              <w:t xml:space="preserve"> y el arte SVG generado</w:t>
            </w:r>
          </w:p>
        </w:tc>
        <w:tc>
          <w:tcPr>
            <w:tcW w:w="2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Datos y obra visual</w:t>
            </w:r>
          </w:p>
        </w:tc>
      </w:tr>
      <w:tr>
        <w:trPr/>
        <w:tc>
          <w:tcPr>
            <w:tcW w:w="575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Documentos del portafolio (declaraciones, informes)</w:t>
            </w:r>
          </w:p>
        </w:tc>
        <w:tc>
          <w:tcPr>
            <w:tcW w:w="22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Obra literaria</w:t>
            </w:r>
          </w:p>
        </w:tc>
      </w:tr>
    </w:tbl>
    <w:p>
      <w:pPr>
        <w:pStyle w:val="BodyText"/>
        <w:bidi w:val="0"/>
        <w:rPr/>
      </w:pPr>
      <w:r>
        <w:rPr/>
        <w:t>El software y las obras no-software se rigen por lógicas de licenciamiento diferentes. Tratarlos igual produce una licencia que no sirve para ninguno de los dos.</w:t>
      </w:r>
    </w:p>
    <w:p>
      <w:pPr>
        <w:pStyle w:val="HorizontalLine"/>
        <w:bidi w:val="0"/>
        <w:rPr/>
      </w:pPr>
      <w:r>
        <w:rPr/>
      </w:r>
    </w:p>
    <w:p>
      <w:pPr>
        <w:pStyle w:val="Heading2"/>
        <w:bidi w:val="0"/>
        <w:rPr/>
      </w:pPr>
      <w:r>
        <w:rPr/>
        <w:t>2. Marco legal argentino</w:t>
      </w:r>
    </w:p>
    <w:p>
      <w:pPr>
        <w:pStyle w:val="BodyText"/>
        <w:bidi w:val="0"/>
        <w:rPr/>
      </w:pPr>
      <w:r>
        <w:rPr/>
        <w:t xml:space="preserve">La </w:t>
      </w:r>
      <w:r>
        <w:rPr>
          <w:rStyle w:val="Strong"/>
        </w:rPr>
        <w:t>Ley 11.723 de Propiedad Intelectual</w:t>
      </w:r>
      <w:r>
        <w:rPr/>
        <w:t xml:space="preserve"> protege estas producciones. Su artículo 1 incluye expresamente a </w:t>
      </w:r>
      <w:r>
        <w:rPr>
          <w:rStyle w:val="Strong"/>
        </w:rPr>
        <w:t>los programas de computación fuente y objeto</w:t>
      </w:r>
      <w:r>
        <w:rPr/>
        <w:t xml:space="preserve"> y a </w:t>
      </w:r>
      <w:r>
        <w:rPr>
          <w:rStyle w:val="Strong"/>
        </w:rPr>
        <w:t>las compilaciones de datos</w:t>
      </w:r>
      <w:r>
        <w:rPr/>
        <w:t>, incorporados por la Ley 25.036 de 1998.</w:t>
      </w:r>
    </w:p>
    <w:p>
      <w:pPr>
        <w:pStyle w:val="BodyText"/>
        <w:bidi w:val="0"/>
        <w:rPr/>
      </w:pPr>
      <w:r>
        <w:rPr/>
        <w:t>Dos consecuencias prácticas:</w:t>
      </w:r>
    </w:p>
    <w:p>
      <w:pPr>
        <w:pStyle w:val="BodyText"/>
        <w:numPr>
          <w:ilvl w:val="0"/>
          <w:numId w:val="1"/>
        </w:numPr>
        <w:tabs>
          <w:tab w:val="clear" w:pos="709"/>
          <w:tab w:val="left" w:pos="709" w:leader="none"/>
        </w:tabs>
        <w:bidi w:val="0"/>
        <w:spacing w:before="0" w:after="0"/>
        <w:ind w:hanging="283" w:left="709"/>
        <w:rPr/>
      </w:pPr>
      <w:r>
        <w:rPr>
          <w:rStyle w:val="Strong"/>
        </w:rPr>
        <w:t>La protección nace con la creación.</w:t>
      </w:r>
      <w:r>
        <w:rPr/>
        <w:t xml:space="preserve"> No hace falta registrar nada para ser titular. El registro ante la Dirección Nacional del Derecho de Autor es declarativo, no constitutivo.</w:t>
      </w:r>
    </w:p>
    <w:p>
      <w:pPr>
        <w:pStyle w:val="BodyText"/>
        <w:numPr>
          <w:ilvl w:val="0"/>
          <w:numId w:val="1"/>
        </w:numPr>
        <w:tabs>
          <w:tab w:val="clear" w:pos="709"/>
          <w:tab w:val="left" w:pos="709" w:leader="none"/>
        </w:tabs>
        <w:bidi w:val="0"/>
        <w:ind w:hanging="283" w:left="709"/>
        <w:rPr/>
      </w:pPr>
      <w:r>
        <w:rPr>
          <w:rStyle w:val="Strong"/>
        </w:rPr>
        <w:t>Sin licencia expresa, rige "todos los derechos reservados".</w:t>
      </w:r>
      <w:r>
        <w:rPr/>
        <w:t xml:space="preserve"> Un repositorio sin archivo de licencia no es código abierto: es código cerrado por omisión, aunque esté publicado. Nadie puede usarlo legalmente.</w:t>
      </w:r>
    </w:p>
    <w:p>
      <w:pPr>
        <w:pStyle w:val="BodyText"/>
        <w:bidi w:val="0"/>
        <w:rPr/>
      </w:pPr>
      <w:r>
        <w:rPr/>
        <w:t>Ese último punto es el que vuelve obligatorio tomar una decisión explícita.</w:t>
      </w:r>
    </w:p>
    <w:p>
      <w:pPr>
        <w:pStyle w:val="HorizontalLine"/>
        <w:bidi w:val="0"/>
        <w:rPr/>
      </w:pPr>
      <w:r>
        <w:rPr/>
      </w:r>
    </w:p>
    <w:p>
      <w:pPr>
        <w:pStyle w:val="Heading2"/>
        <w:bidi w:val="0"/>
        <w:rPr/>
      </w:pPr>
      <w:r>
        <w:rPr/>
        <w:t>3. Las opciones</w:t>
      </w:r>
    </w:p>
    <w:p>
      <w:pPr>
        <w:pStyle w:val="Heading3"/>
        <w:bidi w:val="0"/>
        <w:rPr/>
      </w:pPr>
      <w:r>
        <w:rPr/>
        <w:t>3.1 Licencia de código cerrado (propietaria)</w:t>
      </w:r>
    </w:p>
    <w:p>
      <w:pPr>
        <w:pStyle w:val="BodyText"/>
        <w:bidi w:val="0"/>
        <w:rPr/>
      </w:pPr>
      <w:r>
        <w:rPr/>
        <w:t>El titular retiene todos los derechos. Terceros no pueden usar, modificar ni redistribuir sin autorización expresa.</w:t>
      </w:r>
    </w:p>
    <w:p>
      <w:pPr>
        <w:pStyle w:val="BodyText"/>
        <w:bidi w:val="0"/>
        <w:rPr/>
      </w:pPr>
      <w:r>
        <w:rPr>
          <w:rStyle w:val="Strong"/>
        </w:rPr>
        <w:t>A favor:</w:t>
      </w:r>
      <w:r>
        <w:rPr/>
        <w:t xml:space="preserve"> control total sobre la explotación comercial; posibilidad de vender licencias de uso; ningún competidor puede partir del trabajo hecho.</w:t>
      </w:r>
    </w:p>
    <w:p>
      <w:pPr>
        <w:pStyle w:val="BodyText"/>
        <w:bidi w:val="0"/>
        <w:rPr/>
      </w:pPr>
      <w:r>
        <w:rPr>
          <w:rStyle w:val="Strong"/>
        </w:rPr>
        <w:t>En contra:</w:t>
      </w:r>
      <w:r>
        <w:rPr/>
        <w:t xml:space="preserve"> impide la colaboración externa; anula el valor del repositorio como pieza de portafolio verificable; contradice el espíritu de un proyecto académico formativo; y no aporta protección adicional real frente a una reimplementación independiente, que de todos modos es legal.</w:t>
      </w:r>
    </w:p>
    <w:p>
      <w:pPr>
        <w:pStyle w:val="Heading3"/>
        <w:bidi w:val="0"/>
        <w:rPr/>
      </w:pPr>
      <w:r>
        <w:rPr/>
        <w:t>3.2 GNU GPL v3 (copyleft fuerte)</w:t>
      </w:r>
    </w:p>
    <w:p>
      <w:pPr>
        <w:pStyle w:val="BodyText"/>
        <w:bidi w:val="0"/>
        <w:rPr/>
      </w:pPr>
      <w:r>
        <w:rPr/>
        <w:t xml:space="preserve">Permite usar, estudiar, modificar y redistribuir, </w:t>
      </w:r>
      <w:r>
        <w:rPr>
          <w:rStyle w:val="Strong"/>
        </w:rPr>
        <w:t>con la condición de que toda obra derivada se distribuya bajo la misma licencia</w:t>
      </w:r>
      <w:r>
        <w:rPr/>
        <w:t xml:space="preserve"> y con su código fuente disponible.</w:t>
      </w:r>
    </w:p>
    <w:p>
      <w:pPr>
        <w:pStyle w:val="BodyText"/>
        <w:bidi w:val="0"/>
        <w:rPr/>
      </w:pPr>
      <w:r>
        <w:rPr>
          <w:rStyle w:val="Strong"/>
        </w:rPr>
        <w:t>A favor:</w:t>
      </w:r>
      <w:r>
        <w:rPr/>
        <w:t xml:space="preserve"> garantiza que las mejoras vuelvan a la comunidad; impide que un tercero tome el trabajo, lo cierre y lo comercialice sin aportar nada; incluye una concesión expresa de patentes y cláusulas contra la tivoización.</w:t>
      </w:r>
    </w:p>
    <w:p>
      <w:pPr>
        <w:pStyle w:val="BodyText"/>
        <w:bidi w:val="0"/>
        <w:rPr/>
      </w:pPr>
      <w:r>
        <w:rPr>
          <w:rStyle w:val="Strong"/>
        </w:rPr>
        <w:t>En contra:</w:t>
      </w:r>
      <w:r>
        <w:rPr/>
        <w:t xml:space="preserve"> su carácter viral desalienta a empresas que quieran integrarlo en productos cerrados, lo que reduce la adopción.</w:t>
      </w:r>
    </w:p>
    <w:p>
      <w:pPr>
        <w:pStyle w:val="Heading3"/>
        <w:bidi w:val="0"/>
        <w:rPr/>
      </w:pPr>
      <w:r>
        <w:rPr/>
        <w:t>3.3 Licencias permisivas (MIT, Apache 2.0)</w:t>
      </w:r>
    </w:p>
    <w:p>
      <w:pPr>
        <w:pStyle w:val="BodyText"/>
        <w:bidi w:val="0"/>
        <w:rPr/>
      </w:pPr>
      <w:r>
        <w:rPr/>
        <w:t>Permiten casi cualquier uso, incluso cerrado y comercial, con la sola condición de conservar el aviso de autoría.</w:t>
      </w:r>
    </w:p>
    <w:p>
      <w:pPr>
        <w:pStyle w:val="BodyText"/>
        <w:bidi w:val="0"/>
        <w:rPr/>
      </w:pPr>
      <w:r>
        <w:rPr>
          <w:rStyle w:val="Strong"/>
        </w:rPr>
        <w:t>A favor:</w:t>
      </w:r>
      <w:r>
        <w:rPr/>
        <w:t xml:space="preserve"> máxima adopción; integración sin fricción en cualquier producto.</w:t>
      </w:r>
    </w:p>
    <w:p>
      <w:pPr>
        <w:pStyle w:val="BodyText"/>
        <w:bidi w:val="0"/>
        <w:rPr/>
      </w:pPr>
      <w:r>
        <w:rPr>
          <w:rStyle w:val="Strong"/>
        </w:rPr>
        <w:t>En contra:</w:t>
      </w:r>
      <w:r>
        <w:rPr/>
        <w:t xml:space="preserve"> no obligan a devolver nada. Un competidor puede tomar el código, cerrarlo y comercializarlo sin contribuir ni reconocer más que una línea de atribución.</w:t>
      </w:r>
    </w:p>
    <w:p>
      <w:pPr>
        <w:pStyle w:val="Heading3"/>
        <w:bidi w:val="0"/>
        <w:rPr/>
      </w:pPr>
      <w:r>
        <w:rPr/>
        <w:t>3.4 Creative Commons</w:t>
      </w:r>
    </w:p>
    <w:p>
      <w:pPr>
        <w:pStyle w:val="BodyText"/>
        <w:bidi w:val="0"/>
        <w:rPr/>
      </w:pPr>
      <w:r>
        <w:rPr>
          <w:rStyle w:val="Strong"/>
        </w:rPr>
        <w:t>No corresponde para software.</w:t>
      </w:r>
      <w:r>
        <w:rPr/>
        <w:t xml:space="preserve"> Este punto merece desarrollo porque la consigna las presenta como alternativa equivalente a la GPL, y no lo son.</w:t>
      </w:r>
    </w:p>
    <w:p>
      <w:pPr>
        <w:pStyle w:val="BodyText"/>
        <w:bidi w:val="0"/>
        <w:rPr/>
      </w:pPr>
      <w:r>
        <w:rPr/>
        <w:t xml:space="preserve">La propia organización Creative Commons </w:t>
      </w:r>
      <w:r>
        <w:rPr>
          <w:rStyle w:val="Strong"/>
        </w:rPr>
        <w:t>desaconseja expresamente</w:t>
      </w:r>
      <w:r>
        <w:rPr/>
        <w:t xml:space="preserve"> el uso de sus licencias para código fuente, y recomienda en su lugar las licencias de la Free Software Foundation o la Open Source Initiative. Las razones son concretas:</w:t>
      </w:r>
    </w:p>
    <w:p>
      <w:pPr>
        <w:pStyle w:val="BodyText"/>
        <w:numPr>
          <w:ilvl w:val="0"/>
          <w:numId w:val="2"/>
        </w:numPr>
        <w:tabs>
          <w:tab w:val="clear" w:pos="709"/>
          <w:tab w:val="left" w:pos="709" w:leader="none"/>
        </w:tabs>
        <w:bidi w:val="0"/>
        <w:spacing w:before="0" w:after="0"/>
        <w:ind w:hanging="283" w:left="709"/>
        <w:rPr/>
      </w:pPr>
      <w:r>
        <w:rPr/>
        <w:t xml:space="preserve">Las licencias CC </w:t>
      </w:r>
      <w:r>
        <w:rPr>
          <w:rStyle w:val="Strong"/>
        </w:rPr>
        <w:t>no distinguen entre código fuente y código objeto</w:t>
      </w:r>
      <w:r>
        <w:rPr/>
        <w:t>. Una obra puede distribuirse compilada cumpliendo la licencia al pie de la letra, dejando al receptor sin posibilidad de estudiarla ni modificarla, que es justamente lo que una licencia de software libre busca garantizar.</w:t>
      </w:r>
    </w:p>
    <w:p>
      <w:pPr>
        <w:pStyle w:val="BodyText"/>
        <w:numPr>
          <w:ilvl w:val="0"/>
          <w:numId w:val="2"/>
        </w:numPr>
        <w:tabs>
          <w:tab w:val="clear" w:pos="709"/>
          <w:tab w:val="left" w:pos="709" w:leader="none"/>
        </w:tabs>
        <w:bidi w:val="0"/>
        <w:spacing w:before="0" w:after="0"/>
        <w:ind w:hanging="283" w:left="709"/>
        <w:rPr/>
      </w:pPr>
      <w:r>
        <w:rPr>
          <w:rStyle w:val="Strong"/>
        </w:rPr>
        <w:t>No contemplan cláusulas de patentes</w:t>
      </w:r>
      <w:r>
        <w:rPr/>
        <w:t>, centrales en software y ausentes en el diseño de CC, pensado para obras culturales.</w:t>
      </w:r>
    </w:p>
    <w:p>
      <w:pPr>
        <w:pStyle w:val="BodyText"/>
        <w:numPr>
          <w:ilvl w:val="0"/>
          <w:numId w:val="2"/>
        </w:numPr>
        <w:tabs>
          <w:tab w:val="clear" w:pos="709"/>
          <w:tab w:val="left" w:pos="709" w:leader="none"/>
        </w:tabs>
        <w:bidi w:val="0"/>
        <w:ind w:hanging="283" w:left="709"/>
        <w:rPr/>
      </w:pPr>
      <w:r>
        <w:rPr>
          <w:rStyle w:val="Strong"/>
        </w:rPr>
        <w:t>No son compatibles</w:t>
      </w:r>
      <w:r>
        <w:rPr/>
        <w:t xml:space="preserve"> con el ecosistema de licencias de software, lo que genera conflictos al combinar código de distintas procedencias.</w:t>
      </w:r>
    </w:p>
    <w:p>
      <w:pPr>
        <w:pStyle w:val="BodyText"/>
        <w:bidi w:val="0"/>
        <w:rPr/>
      </w:pPr>
      <w:r>
        <w:rPr/>
        <w:t xml:space="preserve">Donde Creative Commons </w:t>
      </w:r>
      <w:r>
        <w:rPr>
          <w:rStyle w:val="Strong"/>
        </w:rPr>
        <w:t>sí es la herramienta correcta</w:t>
      </w:r>
      <w:r>
        <w:rPr/>
        <w:t xml:space="preserve"> es en las producciones no-software: los documentos del portafolio, el arte generado y el catálogo de datos.</w:t>
      </w:r>
    </w:p>
    <w:p>
      <w:pPr>
        <w:pStyle w:val="HorizontalLine"/>
        <w:bidi w:val="0"/>
        <w:rPr/>
      </w:pPr>
      <w:r>
        <w:rPr/>
      </w:r>
    </w:p>
    <w:p>
      <w:pPr>
        <w:pStyle w:val="Heading2"/>
        <w:bidi w:val="0"/>
        <w:rPr/>
      </w:pPr>
      <w:r>
        <w:rPr/>
        <w:t>4. Decisión adoptada: licenciamiento dual</w:t>
      </w:r>
    </w:p>
    <w:p>
      <w:pPr>
        <w:pStyle w:val="BodyText"/>
        <w:bidi w:val="0"/>
        <w:rPr/>
      </w:pPr>
      <w:r>
        <w:rPr/>
        <w:t xml:space="preserve">Se adopta un esquema de </w:t>
      </w:r>
      <w:r>
        <w:rPr>
          <w:rStyle w:val="Strong"/>
        </w:rPr>
        <w:t>dos licencias según el tipo de obra</w:t>
      </w:r>
      <w:r>
        <w:rPr/>
        <w:t>:</w:t>
      </w:r>
    </w:p>
    <w:tbl>
      <w:tblPr>
        <w:tblW w:w="7024" w:type="dxa"/>
        <w:jc w:val="left"/>
        <w:tblInd w:w="90" w:type="dxa"/>
        <w:tblLayout w:type="fixed"/>
        <w:tblCellMar>
          <w:top w:w="90" w:type="dxa"/>
          <w:left w:w="90" w:type="dxa"/>
          <w:bottom w:w="90" w:type="dxa"/>
          <w:right w:w="90" w:type="dxa"/>
        </w:tblCellMar>
      </w:tblPr>
      <w:tblGrid>
        <w:gridCol w:w="5300"/>
        <w:gridCol w:w="1724"/>
      </w:tblGrid>
      <w:tr>
        <w:trPr>
          <w:tblHeader w:val="true"/>
        </w:trPr>
        <w:tc>
          <w:tcPr>
            <w:tcW w:w="53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Producción</w:t>
            </w:r>
          </w:p>
        </w:tc>
        <w:tc>
          <w:tcPr>
            <w:tcW w:w="17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Licencia</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Código fuente (frontend y backend)</w:t>
            </w:r>
          </w:p>
        </w:tc>
        <w:tc>
          <w:tcPr>
            <w:tcW w:w="17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GNU GPL v3.0</w:t>
            </w:r>
          </w:p>
        </w:tc>
      </w:tr>
      <w:tr>
        <w:trPr/>
        <w:tc>
          <w:tcPr>
            <w:tcW w:w="53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Documentos, arte generado y catálogo de datos</w:t>
            </w:r>
          </w:p>
        </w:tc>
        <w:tc>
          <w:tcPr>
            <w:tcW w:w="17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CC BY-SA 4.0</w:t>
            </w:r>
          </w:p>
        </w:tc>
      </w:tr>
    </w:tbl>
    <w:p>
      <w:pPr>
        <w:pStyle w:val="Heading3"/>
        <w:bidi w:val="0"/>
        <w:rPr/>
      </w:pPr>
      <w:r>
        <w:rPr/>
        <w:t>Por qué GPL v3 para el código</w:t>
      </w:r>
    </w:p>
    <w:p>
      <w:pPr>
        <w:pStyle w:val="BodyText"/>
        <w:bidi w:val="0"/>
        <w:rPr/>
      </w:pPr>
      <w:r>
        <w:rPr>
          <w:rStyle w:val="Strong"/>
        </w:rPr>
        <w:t>Coherencia con el modelo de triple impacto.</w:t>
      </w:r>
      <w:r>
        <w:rPr/>
        <w:t xml:space="preserve"> El proyecto declara un compromiso con el valor comunitario. Una licencia copyleft lo hace operativo en lugar de declamarlo: garantiza que cualquier mejora sobre este trabajo siga siendo accesible.</w:t>
      </w:r>
    </w:p>
    <w:p>
      <w:pPr>
        <w:pStyle w:val="BodyText"/>
        <w:bidi w:val="0"/>
        <w:rPr/>
      </w:pPr>
      <w:r>
        <w:rPr>
          <w:rStyle w:val="Strong"/>
        </w:rPr>
        <w:t>Protección frente al aprovechamiento unilateral.</w:t>
      </w:r>
      <w:r>
        <w:rPr/>
        <w:t xml:space="preserve"> Una licencia permisiva permitiría que un competidor tome la plataforma, la cierre y la comercialice sin devolver nada. La GPL lo impide: puede comercializarla, pero debe publicar el código de lo que modifique.</w:t>
      </w:r>
    </w:p>
    <w:p>
      <w:pPr>
        <w:pStyle w:val="BodyText"/>
        <w:bidi w:val="0"/>
        <w:rPr/>
      </w:pPr>
      <w:r>
        <w:rPr>
          <w:rStyle w:val="Strong"/>
        </w:rPr>
        <w:t>No bloquea la explotación comercial propia.</w:t>
      </w:r>
      <w:r>
        <w:rPr/>
        <w:t xml:space="preserve"> Este punto suele malinterpretarse. Al ser titulares de los derechos, el equipo conserva la facultad de </w:t>
      </w:r>
      <w:r>
        <w:rPr>
          <w:rStyle w:val="Strong"/>
        </w:rPr>
        <w:t>licenciar el mismo código bajo condiciones distintas</w:t>
      </w:r>
      <w:r>
        <w:rPr/>
        <w:t xml:space="preserve"> a quien lo solicite. La GPL restringe a los terceros, no al titular. Es el modelo de licenciamiento dual que usan numerosos proyectos comerciales.</w:t>
      </w:r>
    </w:p>
    <w:p>
      <w:pPr>
        <w:pStyle w:val="BodyText"/>
        <w:bidi w:val="0"/>
        <w:rPr/>
      </w:pPr>
      <w:r>
        <w:rPr>
          <w:rStyle w:val="Strong"/>
        </w:rPr>
        <w:t>Transparencia verificable.</w:t>
      </w:r>
      <w:r>
        <w:rPr/>
        <w:t xml:space="preserve"> En una plataforma que vende alcohol y declara controles de edad y tratamiento de datos personales, poder auditar el código es un respaldo concreto de lo que se afirma en la Política de Privacidad.</w:t>
      </w:r>
    </w:p>
    <w:p>
      <w:pPr>
        <w:pStyle w:val="Heading3"/>
        <w:bidi w:val="0"/>
        <w:rPr/>
      </w:pPr>
      <w:r>
        <w:rPr/>
        <w:t>Por qué CC BY-SA 4.0 para las producciones asociadas</w:t>
      </w:r>
    </w:p>
    <w:p>
      <w:pPr>
        <w:pStyle w:val="BodyText"/>
        <w:bidi w:val="0"/>
        <w:rPr/>
      </w:pPr>
      <w:r>
        <w:rPr/>
        <w:t>Permite reutilizar y adaptar los documentos y el material visual citando la fuente, y exige que las adaptaciones mantengan la misma apertura. Es la licencia adecuada para obra no-software, y su cláusula de compartir-igual mantiene la coherencia con el copyleft elegido para el código.</w:t>
      </w:r>
    </w:p>
    <w:p>
      <w:pPr>
        <w:pStyle w:val="HorizontalLine"/>
        <w:bidi w:val="0"/>
        <w:rPr/>
      </w:pPr>
      <w:r>
        <w:rPr/>
      </w:r>
    </w:p>
    <w:p>
      <w:pPr>
        <w:pStyle w:val="Heading2"/>
        <w:bidi w:val="0"/>
        <w:rPr/>
      </w:pPr>
      <w:r>
        <w:rPr/>
        <w:t>5. Implementación</w:t>
      </w:r>
    </w:p>
    <w:tbl>
      <w:tblPr>
        <w:tblW w:w="8821" w:type="dxa"/>
        <w:jc w:val="left"/>
        <w:tblInd w:w="90" w:type="dxa"/>
        <w:tblLayout w:type="fixed"/>
        <w:tblCellMar>
          <w:top w:w="90" w:type="dxa"/>
          <w:left w:w="90" w:type="dxa"/>
          <w:bottom w:w="90" w:type="dxa"/>
          <w:right w:w="90" w:type="dxa"/>
        </w:tblCellMar>
      </w:tblPr>
      <w:tblGrid>
        <w:gridCol w:w="2203"/>
        <w:gridCol w:w="6618"/>
      </w:tblGrid>
      <w:tr>
        <w:trPr>
          <w:tblHeader w:val="true"/>
        </w:trPr>
        <w:tc>
          <w:tcPr>
            <w:tcW w:w="220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Archivo</w:t>
            </w:r>
          </w:p>
        </w:tc>
        <w:tc>
          <w:tcPr>
            <w:tcW w:w="66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Contenido</w:t>
            </w:r>
          </w:p>
        </w:tc>
      </w:tr>
      <w:tr>
        <w:trPr/>
        <w:tc>
          <w:tcPr>
            <w:tcW w:w="22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ourceText"/>
              </w:rPr>
              <w:t>LICENSE</w:t>
            </w:r>
          </w:p>
        </w:tc>
        <w:tc>
          <w:tcPr>
            <w:tcW w:w="6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Texto completo de la GNU GPL v3.0</w:t>
            </w:r>
          </w:p>
        </w:tc>
      </w:tr>
      <w:tr>
        <w:trPr/>
        <w:tc>
          <w:tcPr>
            <w:tcW w:w="22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ourceText"/>
              </w:rPr>
              <w:t>LICENSE-CONTENIDO</w:t>
            </w:r>
          </w:p>
        </w:tc>
        <w:tc>
          <w:tcPr>
            <w:tcW w:w="6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Referencia a CC BY-SA 4.0 para las producciones no-software</w:t>
            </w:r>
          </w:p>
        </w:tc>
      </w:tr>
      <w:tr>
        <w:trPr/>
        <w:tc>
          <w:tcPr>
            <w:tcW w:w="220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rStyle w:val="SourceText"/>
              </w:rPr>
              <w:t>README.md</w:t>
            </w:r>
          </w:p>
        </w:tc>
        <w:tc>
          <w:tcPr>
            <w:tcW w:w="66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Sección que explica el alcance de cada una</w:t>
            </w:r>
          </w:p>
        </w:tc>
      </w:tr>
    </w:tbl>
    <w:p>
      <w:pPr>
        <w:pStyle w:val="BodyText"/>
        <w:bidi w:val="0"/>
        <w:rPr/>
      </w:pPr>
      <w:r>
        <w:rPr/>
        <w:t>El encabezado de licencia debe conservarse en las redistribuciones. Los titulares de los derechos son los integrantes del equipo: Senger, Brian Leonel Miguel - Baumgatner, Jose Ignacio - Riquel, Gaston Azula.</w:t>
      </w:r>
    </w:p>
    <w:p>
      <w:pPr>
        <w:pStyle w:val="HorizontalLine"/>
        <w:bidi w:val="0"/>
        <w:rPr/>
      </w:pPr>
      <w:r>
        <w:rPr/>
      </w:r>
    </w:p>
    <w:p>
      <w:pPr>
        <w:pStyle w:val="Heading2"/>
        <w:bidi w:val="0"/>
        <w:rPr/>
      </w:pPr>
      <w:r>
        <w:rPr/>
        <w:t>6. Lo que esta decisión no resuelve</w:t>
      </w:r>
    </w:p>
    <w:p>
      <w:pPr>
        <w:pStyle w:val="BodyText"/>
        <w:numPr>
          <w:ilvl w:val="0"/>
          <w:numId w:val="3"/>
        </w:numPr>
        <w:tabs>
          <w:tab w:val="clear" w:pos="709"/>
          <w:tab w:val="left" w:pos="709" w:leader="none"/>
        </w:tabs>
        <w:bidi w:val="0"/>
        <w:spacing w:before="0" w:after="0"/>
        <w:ind w:hanging="283" w:left="709"/>
        <w:rPr/>
      </w:pPr>
      <w:r>
        <w:rPr>
          <w:rStyle w:val="Strong"/>
        </w:rPr>
        <w:t>Las dependencias tienen sus propias licencias.</w:t>
      </w:r>
      <w:r>
        <w:rPr/>
        <w:t xml:space="preserve"> React, Express y Sequelize son MIT, compatible con GPL en este sentido de combinación. Incorporar a futuro una dependencia con licencia incompatible obligaría a revisar el esquema.</w:t>
      </w:r>
    </w:p>
    <w:p>
      <w:pPr>
        <w:pStyle w:val="BodyText"/>
        <w:numPr>
          <w:ilvl w:val="0"/>
          <w:numId w:val="3"/>
        </w:numPr>
        <w:tabs>
          <w:tab w:val="clear" w:pos="709"/>
          <w:tab w:val="left" w:pos="709" w:leader="none"/>
        </w:tabs>
        <w:bidi w:val="0"/>
        <w:spacing w:before="0" w:after="0"/>
        <w:ind w:hanging="283" w:left="709"/>
        <w:rPr/>
      </w:pPr>
      <w:r>
        <w:rPr>
          <w:rStyle w:val="Strong"/>
        </w:rPr>
        <w:t>El arte generado plantea una cuestión abierta.</w:t>
      </w:r>
      <w:r>
        <w:rPr/>
        <w:t xml:space="preserve"> Las ilustraciones se producen por código propio y determinista, de modo que la titularidad es clara. Si en el futuro se incorporan imágenes de modelos generativos, su protegibilidad queda sujeta al debate analizado en la Declaración Ética de Uso de Inteligencia Artificial.</w:t>
      </w:r>
    </w:p>
    <w:p>
      <w:pPr>
        <w:pStyle w:val="BodyText"/>
        <w:numPr>
          <w:ilvl w:val="0"/>
          <w:numId w:val="3"/>
        </w:numPr>
        <w:tabs>
          <w:tab w:val="clear" w:pos="709"/>
          <w:tab w:val="left" w:pos="709" w:leader="none"/>
        </w:tabs>
        <w:bidi w:val="0"/>
        <w:spacing w:before="0" w:after="140"/>
        <w:ind w:hanging="283" w:left="709"/>
        <w:rPr/>
      </w:pPr>
      <w:r>
        <w:rPr>
          <w:rStyle w:val="Strong"/>
        </w:rPr>
        <w:t>Este documento no es asesoramiento legal.</w:t>
      </w:r>
      <w:r>
        <w:rPr/>
        <w:t xml:space="preserve"> Expresa una decisión fundada del equipo; una explotación comercial efectiva amerita revisión profesional.</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5"/>
      <w:szCs w:val="25"/>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justificacion-licenciamiento</dc:title>
</cp:coreProperties>
</file>

<file path=docProps/custom.xml><?xml version="1.0" encoding="utf-8"?>
<Properties xmlns="http://schemas.openxmlformats.org/officeDocument/2006/custom-properties" xmlns:vt="http://schemas.openxmlformats.org/officeDocument/2006/docPropsVTypes"/>
</file>