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Asignación de Roles y Responsabilidades</w:t>
      </w:r>
    </w:p>
    <w:p>
      <w:pPr>
        <w:pStyle w:val="BodyText"/>
        <w:bidi w:val="0"/>
        <w:rPr/>
      </w:pPr>
      <w:r>
        <w:rPr>
          <w:rStyle w:val="Strong"/>
        </w:rPr>
        <w:t>DrinkEmAll</w:t>
      </w:r>
      <w:r>
        <w:rPr/>
        <w:t xml:space="preserve"> — Proyecto Integrador Interdisciplinar 2026 </w:t>
      </w:r>
      <w:r>
        <w:rPr>
          <w:rStyle w:val="Strong"/>
        </w:rPr>
        <w:t>Sprint 2</w:t>
      </w:r>
      <w:r>
        <w:rPr/>
        <w:t xml:space="preserve"> — Maquetación, Datos y Privacidad · Semanas 4 a 6 (14/09 al 02/10)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1. Integrantes y roles</w:t>
      </w:r>
    </w:p>
    <w:tbl>
      <w:tblPr>
        <w:tblW w:w="10205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321"/>
        <w:gridCol w:w="3052"/>
        <w:gridCol w:w="4832"/>
      </w:tblGrid>
      <w:tr>
        <w:trPr>
          <w:tblHeader w:val="true"/>
        </w:trPr>
        <w:tc>
          <w:tcPr>
            <w:tcW w:w="232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Integrante</w:t>
            </w:r>
          </w:p>
        </w:tc>
        <w:tc>
          <w:tcPr>
            <w:tcW w:w="305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Rol</w:t>
            </w:r>
          </w:p>
        </w:tc>
        <w:tc>
          <w:tcPr>
            <w:tcW w:w="483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Alcance</w:t>
            </w:r>
          </w:p>
        </w:tc>
      </w:tr>
      <w:tr>
        <w:trPr/>
        <w:tc>
          <w:tcPr>
            <w:tcW w:w="232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Senger, Brian Leonel Miguel</w:t>
            </w:r>
          </w:p>
        </w:tc>
        <w:tc>
          <w:tcPr>
            <w:tcW w:w="30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Líder técnico e integrador</w:t>
            </w:r>
          </w:p>
        </w:tc>
        <w:tc>
          <w:tcPr>
            <w:tcW w:w="48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Inicio del frontend, integración entre frontend y backend, y estabilidad general de ambos</w:t>
            </w:r>
          </w:p>
        </w:tc>
      </w:tr>
      <w:tr>
        <w:trPr/>
        <w:tc>
          <w:tcPr>
            <w:tcW w:w="232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Riquel, Gaston Azula</w:t>
            </w:r>
          </w:p>
        </w:tc>
        <w:tc>
          <w:tcPr>
            <w:tcW w:w="30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Desarrollador Frontend — módulo de productos</w:t>
            </w:r>
          </w:p>
        </w:tc>
        <w:tc>
          <w:tcPr>
            <w:tcW w:w="48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Creación y mantenimiento de la ruta de productos del frontend</w:t>
            </w:r>
          </w:p>
        </w:tc>
      </w:tr>
      <w:tr>
        <w:trPr/>
        <w:tc>
          <w:tcPr>
            <w:tcW w:w="232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Baumgatner, Jose Ignacio</w:t>
            </w:r>
          </w:p>
        </w:tc>
        <w:tc>
          <w:tcPr>
            <w:tcW w:w="305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Arquitecto y desarrollador Backend</w:t>
            </w:r>
          </w:p>
        </w:tc>
        <w:tc>
          <w:tcPr>
            <w:tcW w:w="483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Diseño y construcción completa de la API</w:t>
            </w:r>
          </w:p>
        </w:tc>
      </w:tr>
    </w:tbl>
    <w:p>
      <w:pPr>
        <w:pStyle w:val="BodyText"/>
        <w:bidi w:val="0"/>
        <w:rPr/>
      </w:pPr>
      <w:r>
        <w:rPr/>
        <w:t xml:space="preserve">El rol de </w:t>
      </w:r>
      <w:r>
        <w:rPr>
          <w:rStyle w:val="Strong"/>
        </w:rPr>
        <w:t>Compliance Officer</w:t>
      </w:r>
      <w:r>
        <w:rPr/>
        <w:t xml:space="preserve">, requerido por el espacio de Legislación Informática, fue cumplido por </w:t>
      </w:r>
      <w:r>
        <w:rPr>
          <w:rStyle w:val="Strong"/>
        </w:rPr>
        <w:t>Senger, Brian Leonel Miguel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2. Asignación por entregable del Sprint 2</w:t>
      </w:r>
    </w:p>
    <w:p>
      <w:pPr>
        <w:pStyle w:val="Heading3"/>
        <w:bidi w:val="0"/>
        <w:rPr/>
      </w:pPr>
      <w:r>
        <w:rPr/>
        <w:t>2.1 Desarrollo de Sitios Web</w:t>
      </w:r>
    </w:p>
    <w:tbl>
      <w:tblPr>
        <w:tblW w:w="8911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7280"/>
        <w:gridCol w:w="1631"/>
      </w:tblGrid>
      <w:tr>
        <w:trPr>
          <w:tblHeader w:val="true"/>
        </w:trPr>
        <w:tc>
          <w:tcPr>
            <w:tcW w:w="728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Entregable</w:t>
            </w:r>
          </w:p>
        </w:tc>
        <w:tc>
          <w:tcPr>
            <w:tcW w:w="163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Responsable</w:t>
            </w:r>
          </w:p>
        </w:tc>
      </w:tr>
      <w:tr>
        <w:trPr/>
        <w:tc>
          <w:tcPr>
            <w:tcW w:w="72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Maquetación visual adaptable con CSS externo (Flexbox y CSS Grid)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Senger</w:t>
            </w:r>
          </w:p>
        </w:tc>
      </w:tr>
      <w:tr>
        <w:trPr/>
        <w:tc>
          <w:tcPr>
            <w:tcW w:w="72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Estructuración del catálogo en </w:t>
            </w:r>
            <w:r>
              <w:rPr>
                <w:rStyle w:val="SourceText"/>
              </w:rPr>
              <w:t>productos.json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Senger</w:t>
            </w:r>
          </w:p>
        </w:tc>
      </w:tr>
      <w:tr>
        <w:trPr/>
        <w:tc>
          <w:tcPr>
            <w:tcW w:w="72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Ruta de productos: listado, filtros y ficha de detalle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Riquel</w:t>
            </w:r>
          </w:p>
        </w:tc>
      </w:tr>
      <w:tr>
        <w:trPr/>
        <w:tc>
          <w:tcPr>
            <w:tcW w:w="728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Integración del frontend con la API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Senger</w:t>
            </w:r>
          </w:p>
        </w:tc>
      </w:tr>
    </w:tbl>
    <w:p>
      <w:pPr>
        <w:pStyle w:val="Heading3"/>
        <w:bidi w:val="0"/>
        <w:rPr/>
      </w:pPr>
      <w:r>
        <w:rPr/>
        <w:t>2.2 Dirección y Gestión de Proyectos Tecnológicos</w:t>
      </w:r>
    </w:p>
    <w:tbl>
      <w:tblPr>
        <w:tblW w:w="6011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380"/>
        <w:gridCol w:w="1631"/>
      </w:tblGrid>
      <w:tr>
        <w:trPr>
          <w:tblHeader w:val="true"/>
        </w:trPr>
        <w:tc>
          <w:tcPr>
            <w:tcW w:w="438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Entregable</w:t>
            </w:r>
          </w:p>
        </w:tc>
        <w:tc>
          <w:tcPr>
            <w:tcW w:w="163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Responsable</w:t>
            </w:r>
          </w:p>
        </w:tc>
      </w:tr>
      <w:tr>
        <w:trPr/>
        <w:tc>
          <w:tcPr>
            <w:tcW w:w="43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Diagrama de Gantt y control de desvíos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Senger</w:t>
            </w:r>
          </w:p>
        </w:tc>
      </w:tr>
      <w:tr>
        <w:trPr/>
        <w:tc>
          <w:tcPr>
            <w:tcW w:w="43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Matriz y Registro de Riesgos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Senger</w:t>
            </w:r>
          </w:p>
        </w:tc>
      </w:tr>
      <w:tr>
        <w:trPr/>
        <w:tc>
          <w:tcPr>
            <w:tcW w:w="438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Tablero Kanban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Equipo</w:t>
            </w:r>
          </w:p>
        </w:tc>
      </w:tr>
    </w:tbl>
    <w:p>
      <w:pPr>
        <w:pStyle w:val="Heading3"/>
        <w:bidi w:val="0"/>
        <w:rPr/>
      </w:pPr>
      <w:r>
        <w:rPr/>
        <w:t>2.3 El Emprendedor Digital y el Contexto</w:t>
      </w:r>
    </w:p>
    <w:tbl>
      <w:tblPr>
        <w:tblW w:w="7575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5944"/>
        <w:gridCol w:w="1631"/>
      </w:tblGrid>
      <w:tr>
        <w:trPr>
          <w:tblHeader w:val="true"/>
        </w:trPr>
        <w:tc>
          <w:tcPr>
            <w:tcW w:w="594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Entregable</w:t>
            </w:r>
          </w:p>
        </w:tc>
        <w:tc>
          <w:tcPr>
            <w:tcW w:w="163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Responsable</w:t>
            </w:r>
          </w:p>
        </w:tc>
      </w:tr>
      <w:tr>
        <w:trPr/>
        <w:tc>
          <w:tcPr>
            <w:tcW w:w="594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Informe Comparativo: Startup vs. Empresa Tradicional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Senger</w:t>
            </w:r>
          </w:p>
        </w:tc>
      </w:tr>
      <w:tr>
        <w:trPr/>
        <w:tc>
          <w:tcPr>
            <w:tcW w:w="594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Estrategia de Canales y Embudo de Conversión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Senger</w:t>
            </w:r>
          </w:p>
        </w:tc>
      </w:tr>
    </w:tbl>
    <w:p>
      <w:pPr>
        <w:pStyle w:val="Heading3"/>
        <w:bidi w:val="0"/>
        <w:rPr/>
      </w:pPr>
      <w:r>
        <w:rPr/>
        <w:t>2.4 Legislación Informática</w:t>
      </w:r>
    </w:p>
    <w:tbl>
      <w:tblPr>
        <w:tblW w:w="8389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5339"/>
        <w:gridCol w:w="3050"/>
      </w:tblGrid>
      <w:tr>
        <w:trPr>
          <w:tblHeader w:val="true"/>
        </w:trPr>
        <w:tc>
          <w:tcPr>
            <w:tcW w:w="533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Entregable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Responsable</w:t>
            </w:r>
          </w:p>
        </w:tc>
      </w:tr>
      <w:tr>
        <w:trPr/>
        <w:tc>
          <w:tcPr>
            <w:tcW w:w="533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Política de Privacidad y cláusula de Habeas Data</w:t>
            </w:r>
          </w:p>
        </w:tc>
        <w:tc>
          <w:tcPr>
            <w:tcW w:w="3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Senger </w:t>
            </w:r>
            <w:r>
              <w:rPr>
                <w:rStyle w:val="Emphasis"/>
              </w:rPr>
              <w:t>(Compliance Officer)</w:t>
            </w:r>
          </w:p>
        </w:tc>
      </w:tr>
      <w:tr>
        <w:trPr/>
        <w:tc>
          <w:tcPr>
            <w:tcW w:w="533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Justificación del Modelo de Licenciamiento</w:t>
            </w:r>
          </w:p>
        </w:tc>
        <w:tc>
          <w:tcPr>
            <w:tcW w:w="305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Senger </w:t>
            </w:r>
            <w:r>
              <w:rPr>
                <w:rStyle w:val="Emphasis"/>
              </w:rPr>
              <w:t>(Compliance Officer)</w:t>
            </w:r>
          </w:p>
        </w:tc>
      </w:tr>
      <w:tr>
        <w:trPr/>
        <w:tc>
          <w:tcPr>
            <w:tcW w:w="533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Declaración Ética de Uso de Inteligencia Artificial</w:t>
            </w:r>
          </w:p>
        </w:tc>
        <w:tc>
          <w:tcPr>
            <w:tcW w:w="305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Senger </w:t>
            </w:r>
            <w:r>
              <w:rPr>
                <w:rStyle w:val="Emphasis"/>
              </w:rPr>
              <w:t>(Compliance Officer)</w:t>
            </w:r>
          </w:p>
        </w:tc>
      </w:tr>
    </w:tbl>
    <w:p>
      <w:pPr>
        <w:pStyle w:val="Heading3"/>
        <w:bidi w:val="0"/>
        <w:rPr/>
      </w:pPr>
      <w:r>
        <w:rPr/>
        <w:t>2.5 Soporte transversal</w:t>
      </w:r>
    </w:p>
    <w:tbl>
      <w:tblPr>
        <w:tblW w:w="8531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6900"/>
        <w:gridCol w:w="1631"/>
      </w:tblGrid>
      <w:tr>
        <w:trPr>
          <w:tblHeader w:val="true"/>
        </w:trPr>
        <w:tc>
          <w:tcPr>
            <w:tcW w:w="690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Entregable</w:t>
            </w:r>
          </w:p>
        </w:tc>
        <w:tc>
          <w:tcPr>
            <w:tcW w:w="163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Responsable</w:t>
            </w:r>
          </w:p>
        </w:tc>
      </w:tr>
      <w:tr>
        <w:trPr/>
        <w:tc>
          <w:tcPr>
            <w:tcW w:w="69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API REST completa: modelos, controladores, servicios y seeders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Baumgatner</w:t>
            </w:r>
          </w:p>
        </w:tc>
      </w:tr>
      <w:tr>
        <w:trPr/>
        <w:tc>
          <w:tcPr>
            <w:tcW w:w="690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Disponibilidad del backend para validación del frontend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Baumgatner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3. Nota sobre la autoría registrada en el repositorio</w:t>
      </w:r>
    </w:p>
    <w:p>
      <w:pPr>
        <w:pStyle w:val="BodyText"/>
        <w:bidi w:val="0"/>
        <w:rPr/>
      </w:pPr>
      <w:r>
        <w:rPr/>
        <w:t xml:space="preserve">El historial de commits concentra la autoría en una sola cuenta de git, tanto en el repositorio del frontend como en el del backend. Esto se debe a que parte del trabajo se realizó sobre un mismo equipo y con una única configuración local de git, y </w:t>
      </w:r>
      <w:r>
        <w:rPr>
          <w:rStyle w:val="Strong"/>
        </w:rPr>
        <w:t>no refleja la distribución real de tareas</w:t>
      </w:r>
      <w:r>
        <w:rPr/>
        <w:t xml:space="preserve"> descripta en este documento.</w:t>
      </w:r>
    </w:p>
    <w:p>
      <w:pPr>
        <w:pStyle w:val="BodyText"/>
        <w:bidi w:val="0"/>
        <w:rPr/>
      </w:pPr>
      <w:r>
        <w:rPr/>
        <w:t>Se deja constancia expresa para evitar que el historial técnico se interprete como la asignación formal de responsabilidades, que es la aquí consignada.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4. Trabajo conjunto</w:t>
      </w:r>
    </w:p>
    <w:p>
      <w:pPr>
        <w:pStyle w:val="BodyText"/>
        <w:bidi w:val="0"/>
        <w:rPr/>
      </w:pPr>
      <w:r>
        <w:rPr/>
        <w:t>Las siguientes decisiones fueron tomadas por el equipo completo y no corresponden a un rol individual: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Elección del modelo de licenciamiento (GPL v3 para el código, CC BY-SA 4.0 para las producciones asociadas).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Definición del alcance funcional del Sprint y de los entregables priorizados.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/>
        <w:rPr/>
      </w:pPr>
      <w:r>
        <w:rPr/>
        <w:t>Identificación y valoración de los riesgos registrados en la matriz.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Carlito;sans-serif" w:hAnsi="Calibri;Carlito;sans-serif" w:eastAsia="Calibri;Carlito;sans-serif" w:cs="Calibri;Carlito;sans-serif"/>
      <w:color w:val="auto"/>
      <w:sz w:val="22"/>
      <w:szCs w:val="22"/>
      <w:lang w:val="es-A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5"/>
      <w:szCs w:val="25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EEEEEE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cp:revision>0</cp:revision>
  <dc:subject/>
  <dc:title>asignacion-de-roles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