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Política de Privacidad y Habeas Data</w:t>
      </w:r>
    </w:p>
    <w:p>
      <w:pPr>
        <w:pStyle w:val="BodyText"/>
        <w:bidi w:val="0"/>
        <w:rPr/>
      </w:pPr>
      <w:r>
        <w:rPr>
          <w:rStyle w:val="Strong"/>
        </w:rPr>
        <w:t>DrinkEmAll</w:t>
      </w:r>
      <w:r>
        <w:rPr/>
        <w:t xml:space="preserve"> — Proyecto Integrador Interdisciplinar 2026 Espacio curricular: Legislación Informática</w:t>
      </w:r>
    </w:p>
    <w:p>
      <w:pPr>
        <w:pStyle w:val="BodyText"/>
        <w:bidi w:val="0"/>
        <w:rPr/>
      </w:pPr>
      <w:r>
        <w:rPr>
          <w:rStyle w:val="Strong"/>
        </w:rPr>
        <w:t>Equipo:</w:t>
      </w:r>
      <w:r>
        <w:rPr/>
        <w:t xml:space="preserve"> Senger, Brian Leonel Miguel - Baumgatner, Jose Ignacio - Riquel, Gaston Azula </w:t>
      </w:r>
      <w:r>
        <w:rPr>
          <w:rStyle w:val="Strong"/>
        </w:rPr>
        <w:t>Compliance Officer:</w:t>
      </w:r>
      <w:r>
        <w:rPr/>
        <w:t xml:space="preserve"> Senger, Brian Leonel Miguel </w:t>
      </w:r>
      <w:r>
        <w:rPr>
          <w:rStyle w:val="Strong"/>
        </w:rPr>
        <w:t>Última actualización:</w:t>
      </w:r>
      <w:r>
        <w:rPr/>
        <w:t xml:space="preserve"> 1 de octubre de 2026</w:t>
      </w:r>
    </w:p>
    <w:p>
      <w:pPr>
        <w:pStyle w:val="BodyText"/>
        <w:bidi w:val="0"/>
        <w:rPr/>
      </w:pPr>
      <w:r>
        <w:rPr>
          <w:rStyle w:val="Emphasis"/>
        </w:rPr>
        <w:t xml:space="preserve">Este documento es la versión escrita del texto publicado en la plataforma, en la ruta </w:t>
      </w:r>
      <w:r>
        <w:rPr>
          <w:rStyle w:val="SourceText"/>
        </w:rPr>
        <w:t>/privacidad</w:t>
      </w:r>
      <w:r>
        <w:rPr>
          <w:rStyle w:val="Emphasis"/>
        </w:rPr>
        <w:t>, accesible desde el pie de todas las páginas.</w:t>
      </w:r>
    </w:p>
    <w:p>
      <w:pPr>
        <w:pStyle w:val="HorizontalLine"/>
        <w:bidi w:val="0"/>
        <w:rPr/>
      </w:pPr>
      <w:r>
        <w:rPr/>
      </w:r>
    </w:p>
    <w:p>
      <w:pPr>
        <w:pStyle w:val="Heading2"/>
        <w:bidi w:val="0"/>
        <w:rPr/>
      </w:pPr>
      <w:r>
        <w:rPr/>
        <w:t>Estado del proyecto</w:t>
      </w:r>
    </w:p>
    <w:p>
      <w:pPr>
        <w:pStyle w:val="BodyText"/>
        <w:bidi w:val="0"/>
        <w:rPr/>
      </w:pPr>
      <w:r>
        <w:rPr/>
        <w:t xml:space="preserve">DrinkEmAll es por ahora una plataforma en desarrollo con catálogo de demostración. El circuito de compra es una simulación: </w:t>
      </w:r>
      <w:r>
        <w:rPr>
          <w:rStyle w:val="Strong"/>
        </w:rPr>
        <w:t>los datos que se ingresan en el formulario no se envían a ningún servidor ni se almacenan</w:t>
      </w:r>
      <w:r>
        <w:rPr/>
        <w:t>. Esta política describe el tratamiento real y vigente, y será revisada cuando la plataforma comience a operar comercialmente.</w:t>
      </w:r>
    </w:p>
    <w:p>
      <w:pPr>
        <w:pStyle w:val="HorizontalLine"/>
        <w:bidi w:val="0"/>
        <w:rPr/>
      </w:pPr>
      <w:r>
        <w:rPr/>
      </w:r>
    </w:p>
    <w:p>
      <w:pPr>
        <w:pStyle w:val="Heading2"/>
        <w:bidi w:val="0"/>
        <w:rPr/>
      </w:pPr>
      <w:r>
        <w:rPr/>
        <w:t>1. Responsable del tratamiento</w:t>
      </w:r>
    </w:p>
    <w:p>
      <w:pPr>
        <w:pStyle w:val="BodyText"/>
        <w:bidi w:val="0"/>
        <w:rPr/>
      </w:pPr>
      <w:r>
        <w:rPr/>
        <w:t>DrinkEmAll, con domicilio comercial en Juan José Castelli, provincia del Chaco, República Argentina, es responsable del tratamiento de los datos personales recolectados a través del sitio.</w:t>
      </w:r>
    </w:p>
    <w:p>
      <w:pPr>
        <w:pStyle w:val="BodyText"/>
        <w:bidi w:val="0"/>
        <w:rPr/>
      </w:pPr>
      <w:r>
        <w:rPr/>
        <w:t xml:space="preserve">Consultas sobre esta política o sobre el ejercicio de derechos: </w:t>
      </w:r>
      <w:r>
        <w:rPr>
          <w:rStyle w:val="Strong"/>
        </w:rPr>
        <w:t>hola@drinkemall.com</w:t>
      </w:r>
    </w:p>
    <w:p>
      <w:pPr>
        <w:pStyle w:val="HorizontalLine"/>
        <w:bidi w:val="0"/>
        <w:rPr/>
      </w:pPr>
      <w:r>
        <w:rPr/>
      </w:r>
    </w:p>
    <w:p>
      <w:pPr>
        <w:pStyle w:val="Heading2"/>
        <w:bidi w:val="0"/>
        <w:rPr/>
      </w:pPr>
      <w:r>
        <w:rPr/>
        <w:t>2. Marco legal aplicable</w:t>
      </w:r>
    </w:p>
    <w:p>
      <w:pPr>
        <w:pStyle w:val="BodyText"/>
        <w:bidi w:val="0"/>
        <w:rPr/>
      </w:pPr>
      <w:r>
        <w:rPr/>
        <w:t xml:space="preserve">El tratamiento se rige por la </w:t>
      </w:r>
      <w:r>
        <w:rPr>
          <w:rStyle w:val="Strong"/>
        </w:rPr>
        <w:t>Ley 25.326 de Protección de los Datos Personales</w:t>
      </w:r>
      <w:r>
        <w:rPr/>
        <w:t xml:space="preserve">, su decreto reglamentario 1558/2001 y el </w:t>
      </w:r>
      <w:r>
        <w:rPr>
          <w:rStyle w:val="Strong"/>
        </w:rPr>
        <w:t>artículo 43 de la Constitución Nacional</w:t>
      </w:r>
      <w:r>
        <w:rPr/>
        <w:t xml:space="preserve">, que consagra la acción de habeas data. La autoridad de control es la </w:t>
      </w:r>
      <w:r>
        <w:rPr>
          <w:rStyle w:val="Strong"/>
        </w:rPr>
        <w:t>Agencia de Acceso a la Información Pública (AAIP)</w:t>
      </w:r>
      <w:r>
        <w:rPr/>
        <w:t>.</w:t>
      </w:r>
    </w:p>
    <w:p>
      <w:pPr>
        <w:pStyle w:val="HorizontalLine"/>
        <w:bidi w:val="0"/>
        <w:rPr/>
      </w:pPr>
      <w:r>
        <w:rPr/>
      </w:r>
    </w:p>
    <w:p>
      <w:pPr>
        <w:pStyle w:val="Heading2"/>
        <w:bidi w:val="0"/>
        <w:rPr/>
      </w:pPr>
      <w:r>
        <w:rPr/>
        <w:t>3. Datos tratados</w:t>
      </w:r>
    </w:p>
    <w:p>
      <w:pPr>
        <w:pStyle w:val="Heading3"/>
        <w:bidi w:val="0"/>
        <w:rPr/>
      </w:pPr>
      <w:r>
        <w:rPr/>
        <w:t>3.1 Datos que el sitio guarda</w:t>
      </w:r>
    </w:p>
    <w:p>
      <w:pPr>
        <w:pStyle w:val="BodyText"/>
        <w:bidi w:val="0"/>
        <w:rPr/>
      </w:pPr>
      <w:r>
        <w:rPr/>
        <w:t>Únicamente en el almacenamiento local del navegador, y nunca en servidores propios:</w:t>
      </w:r>
    </w:p>
    <w:tbl>
      <w:tblPr>
        <w:tblW w:w="10205" w:type="dxa"/>
        <w:jc w:val="left"/>
        <w:tblInd w:w="90" w:type="dxa"/>
        <w:tblLayout w:type="fixed"/>
        <w:tblCellMar>
          <w:top w:w="90" w:type="dxa"/>
          <w:left w:w="90" w:type="dxa"/>
          <w:bottom w:w="90" w:type="dxa"/>
          <w:right w:w="90" w:type="dxa"/>
        </w:tblCellMar>
      </w:tblPr>
      <w:tblGrid>
        <w:gridCol w:w="2906"/>
        <w:gridCol w:w="4421"/>
        <w:gridCol w:w="2878"/>
      </w:tblGrid>
      <w:tr>
        <w:trPr>
          <w:tblHeader w:val="true"/>
        </w:trPr>
        <w:tc>
          <w:tcPr>
            <w:tcW w:w="290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Clave</w:t>
            </w:r>
          </w:p>
        </w:tc>
        <w:tc>
          <w:tcPr>
            <w:tcW w:w="44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Contenido</w:t>
            </w:r>
          </w:p>
        </w:tc>
        <w:tc>
          <w:tcPr>
            <w:tcW w:w="28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Finalidad</w:t>
            </w:r>
          </w:p>
        </w:tc>
      </w:tr>
      <w:tr>
        <w:trPr/>
        <w:tc>
          <w:tcPr>
            <w:tcW w:w="29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ourceText"/>
              </w:rPr>
              <w:t>drinkemall.carrito</w:t>
            </w:r>
          </w:p>
        </w:tc>
        <w:tc>
          <w:tcPr>
            <w:tcW w:w="44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Productos agregados y cantidades</w:t>
            </w:r>
          </w:p>
        </w:tc>
        <w:tc>
          <w:tcPr>
            <w:tcW w:w="28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Que el carrito sobreviva a una recarga</w:t>
            </w:r>
          </w:p>
        </w:tc>
      </w:tr>
      <w:tr>
        <w:trPr/>
        <w:tc>
          <w:tcPr>
            <w:tcW w:w="290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ourceText"/>
              </w:rPr>
              <w:t>drinkemall.edad</w:t>
            </w:r>
          </w:p>
        </w:tc>
        <w:tc>
          <w:tcPr>
            <w:tcW w:w="44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Constancia de declaración de mayoría de edad, con fecha y hora</w:t>
            </w:r>
          </w:p>
        </w:tc>
        <w:tc>
          <w:tcPr>
            <w:tcW w:w="28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Acreditar el control de edad</w:t>
            </w:r>
          </w:p>
        </w:tc>
      </w:tr>
      <w:tr>
        <w:trPr/>
        <w:tc>
          <w:tcPr>
            <w:tcW w:w="290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rStyle w:val="SourceText"/>
              </w:rPr>
              <w:t>drinkemall.edad.pedidos</w:t>
            </w:r>
          </w:p>
        </w:tc>
        <w:tc>
          <w:tcPr>
            <w:tcW w:w="442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Constancia prestada al confirmar cada pedido</w:t>
            </w:r>
          </w:p>
        </w:tc>
        <w:tc>
          <w:tcPr>
            <w:tcW w:w="28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Acreditar el control por operación</w:t>
            </w:r>
          </w:p>
        </w:tc>
      </w:tr>
    </w:tbl>
    <w:p>
      <w:pPr>
        <w:pStyle w:val="BodyText"/>
        <w:bidi w:val="0"/>
        <w:rPr/>
      </w:pPr>
      <w:r>
        <w:rPr/>
        <w:t>Ninguna de estas claves contiene datos identificatorios: no hay en ellas nombre, correo, teléfono ni domicilio.</w:t>
      </w:r>
    </w:p>
    <w:p>
      <w:pPr>
        <w:pStyle w:val="Heading3"/>
        <w:bidi w:val="0"/>
        <w:rPr/>
      </w:pPr>
      <w:r>
        <w:rPr/>
        <w:t>3.2 Datos que el formulario solicita y no se guardan</w:t>
      </w:r>
    </w:p>
    <w:p>
      <w:pPr>
        <w:pStyle w:val="BodyText"/>
        <w:bidi w:val="0"/>
        <w:rPr/>
      </w:pPr>
      <w:r>
        <w:rPr/>
        <w:t xml:space="preserve">El circuito de compra pide nombre, apellido, correo electrónico, teléfono, domicilio, ciudad y código postal. En la versión actual </w:t>
      </w:r>
      <w:r>
        <w:rPr>
          <w:rStyle w:val="Strong"/>
        </w:rPr>
        <w:t>esos datos permanecen en la memoria del navegador mientras la página está abierta y se descartan al cerrarla o recargarla</w:t>
      </w:r>
      <w:r>
        <w:rPr/>
        <w:t>. No se transmiten, no se almacenan y no se comparten con terceros.</w:t>
      </w:r>
    </w:p>
    <w:p>
      <w:pPr>
        <w:pStyle w:val="Heading3"/>
        <w:bidi w:val="0"/>
        <w:rPr/>
      </w:pPr>
      <w:r>
        <w:rPr/>
        <w:t>3.3 Datos que no se recolectan</w:t>
      </w:r>
    </w:p>
    <w:p>
      <w:pPr>
        <w:pStyle w:val="BodyText"/>
        <w:numPr>
          <w:ilvl w:val="0"/>
          <w:numId w:val="1"/>
        </w:numPr>
        <w:tabs>
          <w:tab w:val="clear" w:pos="709"/>
          <w:tab w:val="left" w:pos="709" w:leader="none"/>
        </w:tabs>
        <w:bidi w:val="0"/>
        <w:spacing w:before="0" w:after="0"/>
        <w:ind w:hanging="283" w:left="709"/>
        <w:rPr/>
      </w:pPr>
      <w:r>
        <w:rPr/>
        <w:t>No se utilizan cookies de seguimiento ni analítica de terceros.</w:t>
      </w:r>
    </w:p>
    <w:p>
      <w:pPr>
        <w:pStyle w:val="BodyText"/>
        <w:numPr>
          <w:ilvl w:val="0"/>
          <w:numId w:val="1"/>
        </w:numPr>
        <w:tabs>
          <w:tab w:val="clear" w:pos="709"/>
          <w:tab w:val="left" w:pos="709" w:leader="none"/>
        </w:tabs>
        <w:bidi w:val="0"/>
        <w:spacing w:before="0" w:after="0"/>
        <w:ind w:hanging="283" w:left="709"/>
        <w:rPr/>
      </w:pPr>
      <w:r>
        <w:rPr/>
        <w:t>No se elaboran perfiles ni se toman decisiones automatizadas sobre usuarios.</w:t>
      </w:r>
    </w:p>
    <w:p>
      <w:pPr>
        <w:pStyle w:val="BodyText"/>
        <w:numPr>
          <w:ilvl w:val="0"/>
          <w:numId w:val="1"/>
        </w:numPr>
        <w:tabs>
          <w:tab w:val="clear" w:pos="709"/>
          <w:tab w:val="left" w:pos="709" w:leader="none"/>
        </w:tabs>
        <w:bidi w:val="0"/>
        <w:spacing w:before="0" w:after="0"/>
        <w:ind w:hanging="283" w:left="709"/>
        <w:rPr/>
      </w:pPr>
      <w:r>
        <w:rPr/>
        <w:t>No se solicitan datos sensibles en los términos del artículo 2 de la Ley 25.326.</w:t>
      </w:r>
    </w:p>
    <w:p>
      <w:pPr>
        <w:pStyle w:val="BodyText"/>
        <w:numPr>
          <w:ilvl w:val="0"/>
          <w:numId w:val="1"/>
        </w:numPr>
        <w:tabs>
          <w:tab w:val="clear" w:pos="709"/>
          <w:tab w:val="left" w:pos="709" w:leader="none"/>
        </w:tabs>
        <w:bidi w:val="0"/>
        <w:ind w:hanging="283" w:left="709"/>
        <w:rPr/>
      </w:pPr>
      <w:r>
        <w:rPr/>
        <w:t>No se recolectan datos de personas menores de 18 años.</w:t>
      </w:r>
    </w:p>
    <w:p>
      <w:pPr>
        <w:pStyle w:val="HorizontalLine"/>
        <w:bidi w:val="0"/>
        <w:rPr/>
      </w:pPr>
      <w:r>
        <w:rPr/>
      </w:r>
    </w:p>
    <w:p>
      <w:pPr>
        <w:pStyle w:val="Heading2"/>
        <w:bidi w:val="0"/>
        <w:rPr/>
      </w:pPr>
      <w:r>
        <w:rPr/>
        <w:t>4. Finalidad del tratamiento</w:t>
      </w:r>
    </w:p>
    <w:p>
      <w:pPr>
        <w:pStyle w:val="BodyText"/>
        <w:bidi w:val="0"/>
        <w:rPr/>
      </w:pPr>
      <w:r>
        <w:rPr/>
        <w:t>Los datos indicados en 3.1 se tratan con estas finalidades y ninguna otra:</w:t>
      </w:r>
    </w:p>
    <w:p>
      <w:pPr>
        <w:pStyle w:val="BodyText"/>
        <w:numPr>
          <w:ilvl w:val="0"/>
          <w:numId w:val="2"/>
        </w:numPr>
        <w:tabs>
          <w:tab w:val="clear" w:pos="709"/>
          <w:tab w:val="left" w:pos="709" w:leader="none"/>
        </w:tabs>
        <w:bidi w:val="0"/>
        <w:spacing w:before="0" w:after="0"/>
        <w:ind w:hanging="283" w:left="709"/>
        <w:rPr/>
      </w:pPr>
      <w:r>
        <w:rPr>
          <w:rStyle w:val="Strong"/>
        </w:rPr>
        <w:t>Sostener el carrito de compras</w:t>
      </w:r>
      <w:r>
        <w:rPr/>
        <w:t xml:space="preserve"> entre páginas y recargas.</w:t>
      </w:r>
    </w:p>
    <w:p>
      <w:pPr>
        <w:pStyle w:val="BodyText"/>
        <w:numPr>
          <w:ilvl w:val="0"/>
          <w:numId w:val="2"/>
        </w:numPr>
        <w:tabs>
          <w:tab w:val="clear" w:pos="709"/>
          <w:tab w:val="left" w:pos="709" w:leader="none"/>
        </w:tabs>
        <w:bidi w:val="0"/>
        <w:ind w:hanging="283" w:left="709"/>
        <w:rPr/>
      </w:pPr>
      <w:r>
        <w:rPr>
          <w:rStyle w:val="Strong"/>
        </w:rPr>
        <w:t>Acreditar el cumplimiento de la prohibición de venta de alcohol a menores</w:t>
      </w:r>
      <w:r>
        <w:rPr/>
        <w:t>, conservando la constancia de la declaración con su fecha y hora.</w:t>
      </w:r>
    </w:p>
    <w:p>
      <w:pPr>
        <w:pStyle w:val="BodyText"/>
        <w:bidi w:val="0"/>
        <w:rPr/>
      </w:pPr>
      <w:r>
        <w:rPr/>
        <w:t>Cuando la plataforma opere comercialmente, los datos de contacto y domicilio se tratarán con la finalidad exclusiva de gestionar, facturar y entregar el pedido.</w:t>
      </w:r>
    </w:p>
    <w:p>
      <w:pPr>
        <w:pStyle w:val="HorizontalLine"/>
        <w:bidi w:val="0"/>
        <w:rPr/>
      </w:pPr>
      <w:r>
        <w:rPr/>
      </w:r>
    </w:p>
    <w:p>
      <w:pPr>
        <w:pStyle w:val="Heading2"/>
        <w:bidi w:val="0"/>
        <w:rPr/>
      </w:pPr>
      <w:r>
        <w:rPr/>
        <w:t>5. Base legal y consentimiento</w:t>
      </w:r>
    </w:p>
    <w:p>
      <w:pPr>
        <w:pStyle w:val="BodyText"/>
        <w:bidi w:val="0"/>
        <w:rPr/>
      </w:pPr>
      <w:r>
        <w:rPr/>
        <w:t xml:space="preserve">El artículo 5 de la Ley 25.326 exige que el consentimiento sea </w:t>
      </w:r>
      <w:r>
        <w:rPr>
          <w:rStyle w:val="Strong"/>
        </w:rPr>
        <w:t>libre, expreso e informado</w:t>
      </w:r>
      <w:r>
        <w:rPr/>
        <w:t>. En esta plataforma se presta mediante dos actos afirmativos y explícitos: la declaración de mayoría de edad al ingresar y la casilla de conformidad al confirmar el pedido. Ninguna de las dos viene marcada por defecto.</w:t>
      </w:r>
    </w:p>
    <w:p>
      <w:pPr>
        <w:pStyle w:val="HorizontalLine"/>
        <w:bidi w:val="0"/>
        <w:rPr/>
      </w:pPr>
      <w:r>
        <w:rPr/>
      </w:r>
    </w:p>
    <w:p>
      <w:pPr>
        <w:pStyle w:val="Heading2"/>
        <w:bidi w:val="0"/>
        <w:rPr/>
      </w:pPr>
      <w:r>
        <w:rPr/>
        <w:t>6. Mecanismos de protección del lado del cliente</w:t>
      </w:r>
    </w:p>
    <w:p>
      <w:pPr>
        <w:pStyle w:val="BodyText"/>
        <w:bidi w:val="0"/>
        <w:rPr/>
      </w:pPr>
      <w:r>
        <w:rPr/>
        <w:t>Medidas efectivamente implementadas en la aplicación:</w:t>
      </w:r>
    </w:p>
    <w:p>
      <w:pPr>
        <w:pStyle w:val="BodyText"/>
        <w:numPr>
          <w:ilvl w:val="0"/>
          <w:numId w:val="3"/>
        </w:numPr>
        <w:tabs>
          <w:tab w:val="clear" w:pos="709"/>
          <w:tab w:val="left" w:pos="709" w:leader="none"/>
        </w:tabs>
        <w:bidi w:val="0"/>
        <w:spacing w:before="0" w:after="0"/>
        <w:ind w:hanging="283" w:left="709"/>
        <w:rPr/>
      </w:pPr>
      <w:r>
        <w:rPr>
          <w:rStyle w:val="Strong"/>
        </w:rPr>
        <w:t>Minimización.</w:t>
      </w:r>
      <w:r>
        <w:rPr/>
        <w:t xml:space="preserve"> Sólo persiste lo indispensable para que el carrito y la constancia de edad funcionen. Los datos identificatorios del formulario nunca se escriben en disco.</w:t>
      </w:r>
    </w:p>
    <w:p>
      <w:pPr>
        <w:pStyle w:val="BodyText"/>
        <w:numPr>
          <w:ilvl w:val="0"/>
          <w:numId w:val="3"/>
        </w:numPr>
        <w:tabs>
          <w:tab w:val="clear" w:pos="709"/>
          <w:tab w:val="left" w:pos="709" w:leader="none"/>
        </w:tabs>
        <w:bidi w:val="0"/>
        <w:spacing w:before="0" w:after="0"/>
        <w:ind w:hanging="283" w:left="709"/>
        <w:rPr/>
      </w:pPr>
      <w:r>
        <w:rPr>
          <w:rStyle w:val="Strong"/>
        </w:rPr>
        <w:t>Almacenamiento acotado al dispositivo.</w:t>
      </w:r>
      <w:r>
        <w:rPr/>
        <w:t xml:space="preserve"> Lo guardado vive en el navegador de la persona usuaria y es accesible únicamente desde el dominio del sitio, por la política de mismo origen.</w:t>
      </w:r>
    </w:p>
    <w:p>
      <w:pPr>
        <w:pStyle w:val="BodyText"/>
        <w:numPr>
          <w:ilvl w:val="0"/>
          <w:numId w:val="3"/>
        </w:numPr>
        <w:tabs>
          <w:tab w:val="clear" w:pos="709"/>
          <w:tab w:val="left" w:pos="709" w:leader="none"/>
        </w:tabs>
        <w:bidi w:val="0"/>
        <w:spacing w:before="0" w:after="0"/>
        <w:ind w:hanging="283" w:left="709"/>
        <w:rPr/>
      </w:pPr>
      <w:r>
        <w:rPr>
          <w:rStyle w:val="Strong"/>
        </w:rPr>
        <w:t>Supresión a cargo del usuario.</w:t>
      </w:r>
      <w:r>
        <w:rPr/>
        <w:t xml:space="preserve"> Cualquiera puede borrar la totalidad de los datos desde la configuración de su navegador, sin intervención del responsable y en cualquier momento.</w:t>
      </w:r>
    </w:p>
    <w:p>
      <w:pPr>
        <w:pStyle w:val="BodyText"/>
        <w:numPr>
          <w:ilvl w:val="0"/>
          <w:numId w:val="3"/>
        </w:numPr>
        <w:tabs>
          <w:tab w:val="clear" w:pos="709"/>
          <w:tab w:val="left" w:pos="709" w:leader="none"/>
        </w:tabs>
        <w:bidi w:val="0"/>
        <w:spacing w:before="0" w:after="0"/>
        <w:ind w:hanging="283" w:left="709"/>
        <w:rPr/>
      </w:pPr>
      <w:r>
        <w:rPr>
          <w:rStyle w:val="Strong"/>
        </w:rPr>
        <w:t>Degradación segura.</w:t>
      </w:r>
      <w:r>
        <w:rPr/>
        <w:t xml:space="preserve"> Si el navegador bloquea el almacenamiento —modo privado o configuración restrictiva— el sitio sigue funcionando sin guardar nada.</w:t>
      </w:r>
    </w:p>
    <w:p>
      <w:pPr>
        <w:pStyle w:val="BodyText"/>
        <w:numPr>
          <w:ilvl w:val="0"/>
          <w:numId w:val="3"/>
        </w:numPr>
        <w:tabs>
          <w:tab w:val="clear" w:pos="709"/>
          <w:tab w:val="left" w:pos="709" w:leader="none"/>
        </w:tabs>
        <w:bidi w:val="0"/>
        <w:ind w:hanging="283" w:left="709"/>
        <w:rPr/>
      </w:pPr>
      <w:r>
        <w:rPr>
          <w:rStyle w:val="Strong"/>
        </w:rPr>
        <w:t>Sin transmisión a terceros.</w:t>
      </w:r>
      <w:r>
        <w:rPr/>
        <w:t xml:space="preserve"> No hay píxeles, balizas ni bibliotecas externas de seguimiento.</w:t>
      </w:r>
    </w:p>
    <w:p>
      <w:pPr>
        <w:pStyle w:val="HorizontalLine"/>
        <w:bidi w:val="0"/>
        <w:rPr/>
      </w:pPr>
      <w:r>
        <w:rPr/>
      </w:r>
    </w:p>
    <w:p>
      <w:pPr>
        <w:pStyle w:val="Heading2"/>
        <w:bidi w:val="0"/>
        <w:rPr/>
      </w:pPr>
      <w:r>
        <w:rPr/>
        <w:t>7. Plazo de conservación</w:t>
      </w:r>
    </w:p>
    <w:p>
      <w:pPr>
        <w:pStyle w:val="BodyText"/>
        <w:bidi w:val="0"/>
        <w:rPr/>
      </w:pPr>
      <w:r>
        <w:rPr/>
        <w:t>Los datos del navegador se conservan hasta que la persona usuaria los elimine. La constancia de mayoría de edad asociada a un pedido se conservará, cuando exista operación comercial, por el plazo necesario para acreditar el cumplimiento de la normativa sobre venta de alcohol.</w:t>
      </w:r>
    </w:p>
    <w:p>
      <w:pPr>
        <w:pStyle w:val="HorizontalLine"/>
        <w:bidi w:val="0"/>
        <w:rPr/>
      </w:pPr>
      <w:r>
        <w:rPr/>
      </w:r>
    </w:p>
    <w:p>
      <w:pPr>
        <w:pStyle w:val="Heading2"/>
        <w:bidi w:val="0"/>
        <w:rPr/>
      </w:pPr>
      <w:r>
        <w:rPr/>
        <w:t>8. Derechos ARCO</w:t>
      </w:r>
    </w:p>
    <w:p>
      <w:pPr>
        <w:pStyle w:val="BodyText"/>
        <w:bidi w:val="0"/>
        <w:rPr/>
      </w:pPr>
      <w:r>
        <w:rPr/>
        <w:t>La Ley 25.326 reconoce a todo titular de datos los siguientes derechos, ejercitables de forma gratuita:</w:t>
      </w:r>
    </w:p>
    <w:tbl>
      <w:tblPr>
        <w:tblW w:w="10205" w:type="dxa"/>
        <w:jc w:val="left"/>
        <w:tblInd w:w="90" w:type="dxa"/>
        <w:tblLayout w:type="fixed"/>
        <w:tblCellMar>
          <w:top w:w="90" w:type="dxa"/>
          <w:left w:w="90" w:type="dxa"/>
          <w:bottom w:w="90" w:type="dxa"/>
          <w:right w:w="90" w:type="dxa"/>
        </w:tblCellMar>
      </w:tblPr>
      <w:tblGrid>
        <w:gridCol w:w="392"/>
        <w:gridCol w:w="1639"/>
        <w:gridCol w:w="8174"/>
      </w:tblGrid>
      <w:tr>
        <w:trPr>
          <w:tblHeader w:val="true"/>
        </w:trPr>
        <w:tc>
          <w:tcPr>
            <w:tcW w:w="392"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16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Derecho</w:t>
            </w:r>
          </w:p>
        </w:tc>
        <w:tc>
          <w:tcPr>
            <w:tcW w:w="81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Alcance</w:t>
            </w:r>
          </w:p>
        </w:tc>
      </w:tr>
      <w:tr>
        <w:trPr/>
        <w:tc>
          <w:tcPr>
            <w:tcW w:w="3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A</w:t>
            </w:r>
          </w:p>
        </w:tc>
        <w:tc>
          <w:tcPr>
            <w:tcW w:w="1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Acceso</w:t>
            </w:r>
          </w:p>
        </w:tc>
        <w:tc>
          <w:tcPr>
            <w:tcW w:w="81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Solicitar información sobre si se tratan datos suyos, con qué finalidad y de qué fuente provienen. La ley prevé que pueda ejercerse en intervalos no menores a seis meses, salvo interés legítimo acreditado (art. 14).</w:t>
            </w:r>
          </w:p>
        </w:tc>
      </w:tr>
      <w:tr>
        <w:trPr/>
        <w:tc>
          <w:tcPr>
            <w:tcW w:w="3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R</w:t>
            </w:r>
          </w:p>
        </w:tc>
        <w:tc>
          <w:tcPr>
            <w:tcW w:w="1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Rectificación</w:t>
            </w:r>
          </w:p>
        </w:tc>
        <w:tc>
          <w:tcPr>
            <w:tcW w:w="81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Pedir que se corrijan o actualicen datos inexactos o incompletos. La ley fija un plazo de cinco días hábiles para responder (art. 16).</w:t>
            </w:r>
          </w:p>
        </w:tc>
      </w:tr>
      <w:tr>
        <w:trPr/>
        <w:tc>
          <w:tcPr>
            <w:tcW w:w="39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C</w:t>
            </w:r>
          </w:p>
        </w:tc>
        <w:tc>
          <w:tcPr>
            <w:tcW w:w="163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Cancelación</w:t>
            </w:r>
          </w:p>
        </w:tc>
        <w:tc>
          <w:tcPr>
            <w:tcW w:w="817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Pedir la supresión de los datos cuando ya no sean necesarios para la finalidad que motivó su recolección, o cuando el tratamiento no se ajuste a la ley.</w:t>
            </w:r>
          </w:p>
        </w:tc>
      </w:tr>
      <w:tr>
        <w:trPr/>
        <w:tc>
          <w:tcPr>
            <w:tcW w:w="39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O</w:t>
            </w:r>
          </w:p>
        </w:tc>
        <w:tc>
          <w:tcPr>
            <w:tcW w:w="163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Oposición</w:t>
            </w:r>
          </w:p>
        </w:tc>
        <w:tc>
          <w:tcPr>
            <w:tcW w:w="817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Oponerse al tratamiento por motivos legítimos, en particular cuando se destine a publicidad o a la elaboración de perfiles.</w:t>
            </w:r>
          </w:p>
        </w:tc>
      </w:tr>
    </w:tbl>
    <w:p>
      <w:pPr>
        <w:pStyle w:val="BodyText"/>
        <w:bidi w:val="0"/>
        <w:rPr/>
      </w:pPr>
      <w:r>
        <w:rPr/>
        <w:t xml:space="preserve">Para ejercerlos, escribir a </w:t>
      </w:r>
      <w:r>
        <w:rPr>
          <w:rStyle w:val="Strong"/>
        </w:rPr>
        <w:t>hola@drinkemall.com</w:t>
      </w:r>
      <w:r>
        <w:rPr/>
        <w:t xml:space="preserve"> indicando cuál de los cuatro derechos se invoca y acreditando identidad. Si la solicitud no fuera atendida, puede presentarse un reclamo ante la </w:t>
      </w:r>
      <w:r>
        <w:rPr>
          <w:rStyle w:val="Strong"/>
        </w:rPr>
        <w:t>Agencia de Acceso a la Información Pública</w:t>
      </w:r>
      <w:r>
        <w:rPr/>
        <w:t>.</w:t>
      </w:r>
    </w:p>
    <w:p>
      <w:pPr>
        <w:pStyle w:val="BodyText"/>
        <w:bidi w:val="0"/>
        <w:rPr/>
      </w:pPr>
      <w:r>
        <w:rPr>
          <w:rStyle w:val="Emphasis"/>
        </w:rPr>
        <w:t>Dado que en la versión actual no se conservan datos identificatorios en servidores propios, el ejercicio práctico de estos derechos se agota, por ahora, con la eliminación del almacenamiento local desde el propio navegador.</w:t>
      </w:r>
    </w:p>
    <w:p>
      <w:pPr>
        <w:pStyle w:val="HorizontalLine"/>
        <w:bidi w:val="0"/>
        <w:rPr/>
      </w:pPr>
      <w:r>
        <w:rPr/>
      </w:r>
    </w:p>
    <w:p>
      <w:pPr>
        <w:pStyle w:val="Heading2"/>
        <w:bidi w:val="0"/>
        <w:rPr/>
      </w:pPr>
      <w:r>
        <w:rPr/>
        <w:t>9. Verificación de edad</w:t>
      </w:r>
    </w:p>
    <w:p>
      <w:pPr>
        <w:pStyle w:val="BodyText"/>
        <w:bidi w:val="0"/>
        <w:rPr/>
      </w:pPr>
      <w:r>
        <w:rPr/>
        <w:t>La venta de bebidas alcohólicas a menores de 18 años está prohibida. El sitio solicita una declaración de mayoría de edad al ingresar y una conformidad específica al confirmar cada pedido, y conserva constancia de ambas con fecha y hora.</w:t>
      </w:r>
    </w:p>
    <w:p>
      <w:pPr>
        <w:pStyle w:val="BodyText"/>
        <w:bidi w:val="0"/>
        <w:rPr/>
      </w:pPr>
      <w:r>
        <w:rPr>
          <w:rStyle w:val="Emphasis"/>
        </w:rPr>
        <w:t>Se deja constancia de que este control opera del lado del cliente y puede eludirse borrando el almacenamiento del navegador. Al habilitarse la venta efectiva, la verificación será validada también del lado del servidor.</w:t>
      </w:r>
    </w:p>
    <w:p>
      <w:pPr>
        <w:pStyle w:val="HorizontalLine"/>
        <w:bidi w:val="0"/>
        <w:rPr/>
      </w:pPr>
      <w:r>
        <w:rPr/>
      </w:r>
    </w:p>
    <w:p>
      <w:pPr>
        <w:pStyle w:val="Heading2"/>
        <w:bidi w:val="0"/>
        <w:rPr/>
      </w:pPr>
      <w:r>
        <w:rPr/>
        <w:t>10. Cambios en esta política</w:t>
      </w:r>
    </w:p>
    <w:p>
      <w:pPr>
        <w:pStyle w:val="BodyText"/>
        <w:bidi w:val="0"/>
        <w:spacing w:before="0" w:after="140"/>
        <w:rPr/>
      </w:pPr>
      <w:r>
        <w:rPr/>
        <w:t>Cualquier modificación se publicará en la misma página con su fecha de actualización. Los cambios que alteren la finalidad del tratamiento requerirán un nuevo consentimiento.</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5"/>
      <w:szCs w:val="25"/>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politica-de-privacidad</dc:title>
</cp:coreProperties>
</file>

<file path=docProps/custom.xml><?xml version="1.0" encoding="utf-8"?>
<Properties xmlns="http://schemas.openxmlformats.org/officeDocument/2006/custom-properties" xmlns:vt="http://schemas.openxmlformats.org/officeDocument/2006/docPropsVTypes"/>
</file>