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Informe Comparativo: Startup vs. Empresa Tradicional</w:t>
      </w:r>
    </w:p>
    <w:p>
      <w:pPr>
        <w:pStyle w:val="Heading3"/>
        <w:bidi w:val="0"/>
        <w:rPr/>
      </w:pPr>
      <w:r>
        <w:rPr/>
        <w:t>Declaración de triple impacto y diferenciación</w:t>
      </w:r>
    </w:p>
    <w:p>
      <w:pPr>
        <w:pStyle w:val="BodyText"/>
        <w:bidi w:val="0"/>
        <w:rPr/>
      </w:pPr>
      <w:r>
        <w:rPr>
          <w:rStyle w:val="Strong"/>
        </w:rPr>
        <w:t>DrinkEmAll</w:t>
      </w:r>
      <w:r>
        <w:rPr/>
        <w:t xml:space="preserve"> — e-commerce de bebidas Juan José Castelli, Chaco, Argentina Espacio curricular: El Emprendedor Digital y el Contexto</w:t>
      </w:r>
    </w:p>
    <w:p>
      <w:pPr>
        <w:pStyle w:val="BodyText"/>
        <w:bidi w:val="0"/>
        <w:rPr/>
      </w:pPr>
      <w:r>
        <w:rPr>
          <w:rStyle w:val="Strong"/>
        </w:rPr>
        <w:t>Equipo:</w:t>
      </w:r>
      <w:r>
        <w:rPr/>
        <w:t xml:space="preserve"> Senger, Brian Leonel Miguel - Baumgatner, Jose Ignacio - Riquel, Gaston Azula</w:t>
      </w:r>
    </w:p>
    <w:p>
      <w:pPr>
        <w:pStyle w:val="HorizontalLine"/>
        <w:bidi w:val="0"/>
        <w:rPr/>
      </w:pPr>
      <w:r>
        <w:rPr/>
      </w:r>
    </w:p>
    <w:p>
      <w:pPr>
        <w:pStyle w:val="Heading2"/>
        <w:bidi w:val="0"/>
        <w:rPr/>
      </w:pPr>
      <w:r>
        <w:rPr/>
        <w:t>1. Punto de partida</w:t>
      </w:r>
    </w:p>
    <w:p>
      <w:pPr>
        <w:pStyle w:val="BodyText"/>
        <w:bidi w:val="0"/>
        <w:rPr/>
      </w:pPr>
      <w:r>
        <w:rPr/>
        <w:t>DrinkEmAll nace de un local físico único en Juan José Castelli, una ciudad de alrededor de 30.000 habitantes en el interior del Chaco. El proyecto no es una tienda online que se suma a un negocio ya digitalizado: es la primera capa digital de un comercio que hasta ahora vendía exclusivamente en mostrador.</w:t>
      </w:r>
    </w:p>
    <w:p>
      <w:pPr>
        <w:pStyle w:val="BodyText"/>
        <w:bidi w:val="0"/>
        <w:rPr/>
      </w:pPr>
      <w:r>
        <w:rPr/>
        <w:t>Esa condición —comercio pequeño, territorio con baja densidad de oferta digital— es la que da sentido a los argumentos que siguen. Sin ella, buena parte de lo que se declara acá sería genérico y aplicable a cualquier tienda.</w:t>
      </w:r>
    </w:p>
    <w:p>
      <w:pPr>
        <w:pStyle w:val="HorizontalLine"/>
        <w:bidi w:val="0"/>
        <w:rPr/>
      </w:pPr>
      <w:r>
        <w:rPr/>
      </w:r>
    </w:p>
    <w:p>
      <w:pPr>
        <w:pStyle w:val="Heading2"/>
        <w:bidi w:val="0"/>
        <w:rPr/>
      </w:pPr>
      <w:r>
        <w:rPr/>
        <w:t>2. Diferencias operativas frente a una empresa tradicional</w:t>
      </w:r>
    </w:p>
    <w:tbl>
      <w:tblPr>
        <w:tblW w:w="10205" w:type="dxa"/>
        <w:jc w:val="left"/>
        <w:tblInd w:w="90" w:type="dxa"/>
        <w:tblLayout w:type="fixed"/>
        <w:tblCellMar>
          <w:top w:w="90" w:type="dxa"/>
          <w:left w:w="90" w:type="dxa"/>
          <w:bottom w:w="90" w:type="dxa"/>
          <w:right w:w="90" w:type="dxa"/>
        </w:tblCellMar>
      </w:tblPr>
      <w:tblGrid>
        <w:gridCol w:w="2668"/>
        <w:gridCol w:w="3508"/>
        <w:gridCol w:w="4029"/>
      </w:tblGrid>
      <w:tr>
        <w:trPr>
          <w:tblHeader w:val="true"/>
        </w:trPr>
        <w:tc>
          <w:tcPr>
            <w:tcW w:w="266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Dimensión</w:t>
            </w:r>
          </w:p>
        </w:tc>
        <w:tc>
          <w:tcPr>
            <w:tcW w:w="350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Comercio tradicional</w:t>
            </w:r>
          </w:p>
        </w:tc>
        <w:tc>
          <w:tcPr>
            <w:tcW w:w="402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DrinkEmAll</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Crecimiento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Ligado a metros cuadrados y sucursales</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Ligado a infraestructura de software</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Costo de atender un cliente más</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Creciente (espacio, personal, horario)</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Cercano a cero hasta un umbral técnico</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Alcance geográfico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Radio de traslado del cliente</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Toda la provincia con la misma estructura</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Horario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Limitado por jornada laboral</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Continuo</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Inventario</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Estimado por experiencia del dueño</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Registrado por transacción, con umbral de stock bajo</w:t>
            </w:r>
          </w:p>
        </w:tc>
      </w:tr>
      <w:tr>
        <w:trPr/>
        <w:tc>
          <w:tcPr>
            <w:tcW w:w="26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Decisiones</w:t>
            </w:r>
          </w:p>
        </w:tc>
        <w:tc>
          <w:tcPr>
            <w:tcW w:w="35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Intuición acumulada</w:t>
            </w:r>
          </w:p>
        </w:tc>
        <w:tc>
          <w:tcPr>
            <w:tcW w:w="40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Datos de navegación y venta</w:t>
            </w:r>
          </w:p>
        </w:tc>
      </w:tr>
      <w:tr>
        <w:trPr/>
        <w:tc>
          <w:tcPr>
            <w:tcW w:w="266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Corrección de errores</w:t>
            </w:r>
          </w:p>
        </w:tc>
        <w:tc>
          <w:tcPr>
            <w:tcW w:w="350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Costosa (cartelería, remodelación, reimpresión)</w:t>
            </w:r>
          </w:p>
        </w:tc>
        <w:tc>
          <w:tcPr>
            <w:tcW w:w="402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Despliegue de software, reversible</w:t>
            </w:r>
          </w:p>
        </w:tc>
      </w:tr>
    </w:tbl>
    <w:p>
      <w:pPr>
        <w:pStyle w:val="Heading3"/>
        <w:bidi w:val="0"/>
        <w:rPr/>
      </w:pPr>
      <w:r>
        <w:rPr/>
        <w:t>2.1 El crecimiento se desacopla de la estructura física</w:t>
      </w:r>
    </w:p>
    <w:p>
      <w:pPr>
        <w:pStyle w:val="BodyText"/>
        <w:bidi w:val="0"/>
        <w:rPr/>
      </w:pPr>
      <w:r>
        <w:rPr/>
        <w:t>En el modelo tradicional, vender al doble exige aproximadamente el doble de local, de personal y de horas de atención. En DrinkEmAll, pasar de 50 a 200 pedidos mensuales no modifica sustancialmente la estructura de costos: cambia el volumen de logística, pero no la plataforma que los procesa.</w:t>
      </w:r>
    </w:p>
    <w:p>
      <w:pPr>
        <w:pStyle w:val="BodyText"/>
        <w:bidi w:val="0"/>
        <w:rPr/>
      </w:pPr>
      <w:r>
        <w:rPr/>
        <w:t>Esta es la diferencia central y la que habilita a las demás. No se trata de "vender por internet", sino de que la relación entre ingresos y estructura deja de ser lineal.</w:t>
      </w:r>
    </w:p>
    <w:p>
      <w:pPr>
        <w:pStyle w:val="Heading3"/>
        <w:bidi w:val="0"/>
        <w:rPr/>
      </w:pPr>
      <w:r>
        <w:rPr/>
        <w:t>2.2 La operación produce información como subproducto</w:t>
      </w:r>
    </w:p>
    <w:p>
      <w:pPr>
        <w:pStyle w:val="BodyText"/>
        <w:bidi w:val="0"/>
        <w:rPr/>
      </w:pPr>
      <w:r>
        <w:rPr/>
        <w:t>Cada venta en mostrador se pierde como dato en el momento en que termina. Cada venta en la plataforma queda registrada con su producto, categoría, monto, medio de pago y momento. El sistema incorpora además un umbral de stock bajo configurable, que convierte el control de inventario en una alerta automática en lugar de una recorrida por las góndolas.</w:t>
      </w:r>
    </w:p>
    <w:p>
      <w:pPr>
        <w:pStyle w:val="BodyText"/>
        <w:bidi w:val="0"/>
        <w:rPr/>
      </w:pPr>
      <w:r>
        <w:rPr/>
        <w:t>Para un comercio de este tamaño, esto significa poder responder preguntas que antes eran inaccesibles: qué se vende junto con qué, qué categoría crece, en qué franja horaria conviene reforzar la logística.</w:t>
      </w:r>
    </w:p>
    <w:p>
      <w:pPr>
        <w:pStyle w:val="Heading3"/>
        <w:bidi w:val="0"/>
        <w:rPr/>
      </w:pPr>
      <w:r>
        <w:rPr/>
        <w:t>2.3 El error es barato y reversible</w:t>
      </w:r>
    </w:p>
    <w:p>
      <w:pPr>
        <w:pStyle w:val="BodyText"/>
        <w:bidi w:val="0"/>
        <w:rPr/>
      </w:pPr>
      <w:r>
        <w:rPr/>
        <w:t>Cambiar precios, reordenar el catálogo o probar una promoción implica, en el comercio tradicional, cartelería, reimpresión y tiempo de personal. En la plataforma es una modificación de datos. Esto permite un ritmo de experimentación que un local no puede sostener, y con él una mejora continua que no depende de grandes inversiones puntuales.</w:t>
      </w:r>
    </w:p>
    <w:p>
      <w:pPr>
        <w:pStyle w:val="HorizontalLine"/>
        <w:bidi w:val="0"/>
        <w:rPr/>
      </w:pPr>
      <w:r>
        <w:rPr/>
      </w:r>
    </w:p>
    <w:p>
      <w:pPr>
        <w:pStyle w:val="Heading2"/>
        <w:bidi w:val="0"/>
        <w:rPr/>
      </w:pPr>
      <w:r>
        <w:rPr/>
        <w:t>3. Triple impacto</w:t>
      </w:r>
    </w:p>
    <w:p>
      <w:pPr>
        <w:pStyle w:val="Heading3"/>
        <w:bidi w:val="0"/>
        <w:rPr/>
      </w:pPr>
      <w:r>
        <w:rPr/>
        <w:t>3.1 Impacto económico</w:t>
      </w:r>
    </w:p>
    <w:p>
      <w:pPr>
        <w:pStyle w:val="BodyText"/>
        <w:numPr>
          <w:ilvl w:val="0"/>
          <w:numId w:val="1"/>
        </w:numPr>
        <w:tabs>
          <w:tab w:val="clear" w:pos="709"/>
          <w:tab w:val="left" w:pos="709" w:leader="none"/>
        </w:tabs>
        <w:bidi w:val="0"/>
        <w:spacing w:before="0" w:after="0"/>
        <w:ind w:hanging="283" w:left="709"/>
        <w:rPr/>
      </w:pPr>
      <w:r>
        <w:rPr>
          <w:rStyle w:val="Strong"/>
        </w:rPr>
        <w:t>Ampliación del mercado accesible</w:t>
      </w:r>
      <w:r>
        <w:rPr/>
        <w:t xml:space="preserve"> sin apertura de sucursales: la misma estructura atiende a localidades vecinas que hoy no tienen oferta equivalente.</w:t>
      </w:r>
    </w:p>
    <w:p>
      <w:pPr>
        <w:pStyle w:val="BodyText"/>
        <w:numPr>
          <w:ilvl w:val="0"/>
          <w:numId w:val="1"/>
        </w:numPr>
        <w:tabs>
          <w:tab w:val="clear" w:pos="709"/>
          <w:tab w:val="left" w:pos="709" w:leader="none"/>
        </w:tabs>
        <w:bidi w:val="0"/>
        <w:spacing w:before="0" w:after="0"/>
        <w:ind w:hanging="283" w:left="709"/>
        <w:rPr/>
      </w:pPr>
      <w:r>
        <w:rPr>
          <w:rStyle w:val="Strong"/>
        </w:rPr>
        <w:t>Formalización de la operación</w:t>
      </w:r>
      <w:r>
        <w:rPr/>
        <w:t>: el registro digital de ventas, clientes y medios de pago ordena la administración de un comercio que operaba con métodos manuales.</w:t>
      </w:r>
    </w:p>
    <w:p>
      <w:pPr>
        <w:pStyle w:val="BodyText"/>
        <w:numPr>
          <w:ilvl w:val="0"/>
          <w:numId w:val="1"/>
        </w:numPr>
        <w:tabs>
          <w:tab w:val="clear" w:pos="709"/>
          <w:tab w:val="left" w:pos="709" w:leader="none"/>
        </w:tabs>
        <w:bidi w:val="0"/>
        <w:ind w:hanging="283" w:left="709"/>
        <w:rPr/>
      </w:pPr>
      <w:r>
        <w:rPr>
          <w:rStyle w:val="Strong"/>
        </w:rPr>
        <w:t>Retención del valor en el territorio</w:t>
      </w:r>
      <w:r>
        <w:rPr/>
        <w:t>: la facturación queda en un comercio local en lugar de migrar a plataformas de alcance nacional que capturan margen sin dejar empleo ni impuestos en la provincia.</w:t>
      </w:r>
    </w:p>
    <w:p>
      <w:pPr>
        <w:pStyle w:val="Heading3"/>
        <w:bidi w:val="0"/>
        <w:rPr/>
      </w:pPr>
      <w:r>
        <w:rPr/>
        <w:t>3.2 Impacto social</w:t>
      </w:r>
    </w:p>
    <w:p>
      <w:pPr>
        <w:pStyle w:val="BodyText"/>
        <w:numPr>
          <w:ilvl w:val="0"/>
          <w:numId w:val="2"/>
        </w:numPr>
        <w:tabs>
          <w:tab w:val="clear" w:pos="709"/>
          <w:tab w:val="left" w:pos="709" w:leader="none"/>
        </w:tabs>
        <w:bidi w:val="0"/>
        <w:spacing w:before="0" w:after="0"/>
        <w:ind w:hanging="283" w:left="709"/>
        <w:rPr/>
      </w:pPr>
      <w:r>
        <w:rPr>
          <w:rStyle w:val="Strong"/>
        </w:rPr>
        <w:t>Accesibilidad</w:t>
      </w:r>
      <w:r>
        <w:rPr/>
        <w:t>. La compra en mostrador excluye a quien tiene movilidad reducida, no dispone de transporte, o no puede desplazarse en el horario comercial. La tienda online elimina esa barrera sin costo adicional para el comercio.</w:t>
      </w:r>
    </w:p>
    <w:p>
      <w:pPr>
        <w:pStyle w:val="BodyText"/>
        <w:numPr>
          <w:ilvl w:val="0"/>
          <w:numId w:val="2"/>
        </w:numPr>
        <w:tabs>
          <w:tab w:val="clear" w:pos="709"/>
          <w:tab w:val="left" w:pos="709" w:leader="none"/>
        </w:tabs>
        <w:bidi w:val="0"/>
        <w:spacing w:before="0" w:after="0"/>
        <w:ind w:hanging="283" w:left="709"/>
        <w:rPr/>
      </w:pPr>
      <w:r>
        <w:rPr>
          <w:rStyle w:val="Strong"/>
        </w:rPr>
        <w:t>Venta responsable de alcohol</w:t>
      </w:r>
      <w:r>
        <w:rPr/>
        <w:t xml:space="preserve">. Este punto es específico del rubro y merece destacarse: la venta digital permite controles que el mostrador aplica de manera discrecional. La plataforma incorpora verificación de mayoría de edad en el checkout y mensajes de consumo responsable, y deja registro auditable de cada operación. Un canal digital bien diseñado puede ser </w:t>
      </w:r>
      <w:r>
        <w:rPr>
          <w:rStyle w:val="Strong"/>
        </w:rPr>
        <w:t>más</w:t>
      </w:r>
      <w:r>
        <w:rPr/>
        <w:t xml:space="preserve"> riguroso que la venta presencial, no menos.</w:t>
      </w:r>
    </w:p>
    <w:p>
      <w:pPr>
        <w:pStyle w:val="BodyText"/>
        <w:numPr>
          <w:ilvl w:val="0"/>
          <w:numId w:val="2"/>
        </w:numPr>
        <w:tabs>
          <w:tab w:val="clear" w:pos="709"/>
          <w:tab w:val="left" w:pos="709" w:leader="none"/>
        </w:tabs>
        <w:bidi w:val="0"/>
        <w:spacing w:before="0" w:after="0"/>
        <w:ind w:hanging="283" w:left="709"/>
        <w:rPr/>
      </w:pPr>
      <w:r>
        <w:rPr>
          <w:rStyle w:val="Strong"/>
        </w:rPr>
        <w:t>Canal para productores pequeños</w:t>
      </w:r>
      <w:r>
        <w:rPr/>
        <w:t>. La estructura de catálogo admite marcas regionales que no tienen acceso a las cadenas grandes, sin los costos de entrada que esas cadenas imponen.</w:t>
      </w:r>
    </w:p>
    <w:p>
      <w:pPr>
        <w:pStyle w:val="BodyText"/>
        <w:numPr>
          <w:ilvl w:val="0"/>
          <w:numId w:val="2"/>
        </w:numPr>
        <w:tabs>
          <w:tab w:val="clear" w:pos="709"/>
          <w:tab w:val="left" w:pos="709" w:leader="none"/>
        </w:tabs>
        <w:bidi w:val="0"/>
        <w:ind w:hanging="283" w:left="709"/>
        <w:rPr/>
      </w:pPr>
      <w:r>
        <w:rPr>
          <w:rStyle w:val="Strong"/>
        </w:rPr>
        <w:t>Empleo calificado en el interior</w:t>
      </w:r>
      <w:r>
        <w:rPr/>
        <w:t>. El desarrollo y mantenimiento de la plataforma genera trabajo técnico en una región donde ese tipo de empleo suele implicar migrar a un centro urbano mayor.</w:t>
      </w:r>
    </w:p>
    <w:p>
      <w:pPr>
        <w:pStyle w:val="Heading3"/>
        <w:bidi w:val="0"/>
        <w:rPr/>
      </w:pPr>
      <w:r>
        <w:rPr/>
        <w:t>3.3 Impacto ambiental</w:t>
      </w:r>
    </w:p>
    <w:p>
      <w:pPr>
        <w:pStyle w:val="BodyText"/>
        <w:numPr>
          <w:ilvl w:val="0"/>
          <w:numId w:val="3"/>
        </w:numPr>
        <w:tabs>
          <w:tab w:val="clear" w:pos="709"/>
          <w:tab w:val="left" w:pos="709" w:leader="none"/>
        </w:tabs>
        <w:bidi w:val="0"/>
        <w:spacing w:before="0" w:after="0"/>
        <w:ind w:hanging="283" w:left="709"/>
        <w:rPr/>
      </w:pPr>
      <w:r>
        <w:rPr>
          <w:rStyle w:val="Strong"/>
        </w:rPr>
        <w:t>Consolidación de traslados</w:t>
      </w:r>
      <w:r>
        <w:rPr/>
        <w:t>. El impacto ambiental más concreto y medible del modelo: un reparto que agrupa quince pedidos en un recorrido reemplaza quince traslados individuales en vehículo particular. La ganancia depende de la densidad de pedidos por recorrido, y es real solo si el reparto se planifica; una entrega por viaje sería peor que el modelo actual.</w:t>
      </w:r>
    </w:p>
    <w:p>
      <w:pPr>
        <w:pStyle w:val="BodyText"/>
        <w:numPr>
          <w:ilvl w:val="0"/>
          <w:numId w:val="3"/>
        </w:numPr>
        <w:tabs>
          <w:tab w:val="clear" w:pos="709"/>
          <w:tab w:val="left" w:pos="709" w:leader="none"/>
        </w:tabs>
        <w:bidi w:val="0"/>
        <w:spacing w:before="0" w:after="0"/>
        <w:ind w:hanging="283" w:left="709"/>
        <w:rPr/>
      </w:pPr>
      <w:r>
        <w:rPr>
          <w:rStyle w:val="Strong"/>
        </w:rPr>
        <w:t>Ausencia de material impreso</w:t>
      </w:r>
      <w:r>
        <w:rPr/>
        <w:t>. El catálogo, las promociones y los precios viven en la plataforma. No hay folletería, cartelería ni listas de precios reimpresas ante cada cambio.</w:t>
      </w:r>
    </w:p>
    <w:p>
      <w:pPr>
        <w:pStyle w:val="BodyText"/>
        <w:numPr>
          <w:ilvl w:val="0"/>
          <w:numId w:val="3"/>
        </w:numPr>
        <w:tabs>
          <w:tab w:val="clear" w:pos="709"/>
          <w:tab w:val="left" w:pos="709" w:leader="none"/>
        </w:tabs>
        <w:bidi w:val="0"/>
        <w:ind w:hanging="283" w:left="709"/>
        <w:rPr/>
      </w:pPr>
      <w:r>
        <w:rPr>
          <w:rStyle w:val="Strong"/>
        </w:rPr>
        <w:t>Reducción de merma por sobre-stock</w:t>
      </w:r>
      <w:r>
        <w:rPr/>
        <w:t>. El registro de rotación permite comprar según demanda observada en lugar de estimación. En bebidas con vencimiento, esto se traduce en producto que no se descarta.</w:t>
      </w:r>
    </w:p>
    <w:p>
      <w:pPr>
        <w:pStyle w:val="HorizontalLine"/>
        <w:bidi w:val="0"/>
        <w:rPr/>
      </w:pPr>
      <w:r>
        <w:rPr/>
      </w:r>
    </w:p>
    <w:p>
      <w:pPr>
        <w:pStyle w:val="Heading2"/>
        <w:bidi w:val="0"/>
        <w:rPr/>
      </w:pPr>
      <w:r>
        <w:rPr/>
        <w:t>4. El catálogo generado por Inteligencia Artificial</w:t>
      </w:r>
    </w:p>
    <w:p>
      <w:pPr>
        <w:pStyle w:val="BodyText"/>
        <w:bidi w:val="0"/>
        <w:rPr/>
      </w:pPr>
      <w:r>
        <w:rPr/>
        <w:t>El proyecto utiliza un catálogo de productos ficticios con imágenes generadas por IA. Conviene ser preciso sobre qué impacto genera esto y qué no, porque es el punto donde más fácil resulta caer en afirmaciones infundadas.</w:t>
      </w:r>
    </w:p>
    <w:p>
      <w:pPr>
        <w:pStyle w:val="Heading3"/>
        <w:bidi w:val="0"/>
        <w:rPr/>
      </w:pPr>
      <w:r>
        <w:rPr/>
        <w:t>4.1 Lo que sí aporta</w:t>
      </w:r>
    </w:p>
    <w:p>
      <w:pPr>
        <w:pStyle w:val="BodyText"/>
        <w:bidi w:val="0"/>
        <w:rPr/>
      </w:pPr>
      <w:r>
        <w:rPr>
          <w:rStyle w:val="Strong"/>
        </w:rPr>
        <w:t>Validación sin consumo de recursos físicos.</w:t>
      </w:r>
      <w:r>
        <w:rPr/>
        <w:t xml:space="preserve"> Probar un concepto de tienda en el modelo tradicional exige producto real en góndola, sesiones de fotografía, muestras y catálogos impresos. La totalidad de esa cadena se sustituye por generación digital. En la etapa de diseño y validación —que es donde más iteraciones se descartan— no se consume ningún recurso material.</w:t>
      </w:r>
    </w:p>
    <w:p>
      <w:pPr>
        <w:pStyle w:val="BodyText"/>
        <w:bidi w:val="0"/>
        <w:rPr/>
      </w:pPr>
      <w:r>
        <w:rPr>
          <w:rStyle w:val="Strong"/>
        </w:rPr>
        <w:t>Iteración sin desperdicio.</w:t>
      </w:r>
      <w:r>
        <w:rPr/>
        <w:t xml:space="preserve"> Rediseñar el catálogo doce veces no genera doce tiradas de material descartado. El costo de descartar una versión es computacional, no físico.</w:t>
      </w:r>
    </w:p>
    <w:p>
      <w:pPr>
        <w:pStyle w:val="BodyText"/>
        <w:bidi w:val="0"/>
        <w:rPr/>
      </w:pPr>
      <w:r>
        <w:rPr>
          <w:rStyle w:val="Strong"/>
        </w:rPr>
        <w:t>Independencia del proveedor durante el desarrollo.</w:t>
      </w:r>
      <w:r>
        <w:rPr/>
        <w:t xml:space="preserve"> El equipo puede construir y probar el sistema completo sin depender de que los proveedores entreguen fichas técnicas y fotografías, lo que acorta el tiempo entre la idea y la operación real.</w:t>
      </w:r>
    </w:p>
    <w:p>
      <w:pPr>
        <w:pStyle w:val="Heading3"/>
        <w:bidi w:val="0"/>
        <w:rPr/>
      </w:pPr>
      <w:r>
        <w:rPr/>
        <w:t>4.2 Lo que no corresponde afirmar</w:t>
      </w:r>
    </w:p>
    <w:p>
      <w:pPr>
        <w:pStyle w:val="BodyText"/>
        <w:bidi w:val="0"/>
        <w:rPr/>
      </w:pPr>
      <w:r>
        <w:rPr/>
        <w:t xml:space="preserve">Sería incorrecto sostener que el uso de IA generativa es, en sí mismo, ambientalmente positivo. El entrenamiento y la inferencia de estos modelos consumen energía y agua de refrigeración en centros de datos. La afirmación defendible es acotada: </w:t>
      </w:r>
      <w:r>
        <w:rPr>
          <w:rStyle w:val="Strong"/>
        </w:rPr>
        <w:t>en esta etapa y para este uso, la generación digital sustituye una cadena de producción física que habría tenido un consumo sensiblemente mayor</w:t>
      </w:r>
      <w:r>
        <w:rPr/>
        <w:t>. No es un beneficio absoluto, es una sustitución favorable en un contexto determinado.</w:t>
      </w:r>
    </w:p>
    <w:p>
      <w:pPr>
        <w:pStyle w:val="Heading3"/>
        <w:bidi w:val="0"/>
        <w:rPr/>
      </w:pPr>
      <w:r>
        <w:rPr/>
        <w:t>4.3 Transición a producto real</w:t>
      </w:r>
    </w:p>
    <w:p>
      <w:pPr>
        <w:pStyle w:val="BodyText"/>
        <w:bidi w:val="0"/>
        <w:rPr/>
      </w:pPr>
      <w:r>
        <w:rPr/>
        <w:t>El catálogo ficticio es un andamiaje de la etapa de desarrollo. La arquitectura está preparada para reemplazarlo por el catálogo real del comercio sin rehacer la aplicación: la capa de datos está aislada del resto del sistema justamente para que ese reemplazo sea una sustitución de origen y no una reescritura.</w:t>
      </w:r>
    </w:p>
    <w:p>
      <w:pPr>
        <w:pStyle w:val="HorizontalLine"/>
        <w:bidi w:val="0"/>
        <w:rPr/>
      </w:pPr>
      <w:r>
        <w:rPr/>
      </w:r>
    </w:p>
    <w:p>
      <w:pPr>
        <w:pStyle w:val="Heading2"/>
        <w:bidi w:val="0"/>
        <w:rPr/>
      </w:pPr>
      <w:r>
        <w:rPr/>
        <w:t>5. Tensiones que el modelo no resuelve</w:t>
      </w:r>
    </w:p>
    <w:p>
      <w:pPr>
        <w:pStyle w:val="BodyText"/>
        <w:bidi w:val="0"/>
        <w:rPr/>
      </w:pPr>
      <w:r>
        <w:rPr/>
        <w:t>Una declaración de impacto que solo enumera beneficios no es creíble. Estas son las contrapartidas reales del proyecto:</w:t>
      </w:r>
    </w:p>
    <w:p>
      <w:pPr>
        <w:pStyle w:val="BodyText"/>
        <w:numPr>
          <w:ilvl w:val="0"/>
          <w:numId w:val="4"/>
        </w:numPr>
        <w:tabs>
          <w:tab w:val="clear" w:pos="709"/>
          <w:tab w:val="left" w:pos="709" w:leader="none"/>
        </w:tabs>
        <w:bidi w:val="0"/>
        <w:spacing w:before="0" w:after="0"/>
        <w:ind w:hanging="283" w:left="709"/>
        <w:rPr/>
      </w:pPr>
      <w:r>
        <w:rPr>
          <w:rStyle w:val="Strong"/>
        </w:rPr>
        <w:t>Packaging.</w:t>
      </w:r>
      <w:r>
        <w:rPr/>
        <w:t xml:space="preserve"> La venta a distancia introduce embalaje que la venta en mostrador no requiere. Es un costo ambiental nuevo, no una mejora. Mitigarlo exige decisiones concretas sobre materiales y reutilización.</w:t>
      </w:r>
    </w:p>
    <w:p>
      <w:pPr>
        <w:pStyle w:val="BodyText"/>
        <w:numPr>
          <w:ilvl w:val="0"/>
          <w:numId w:val="4"/>
        </w:numPr>
        <w:tabs>
          <w:tab w:val="clear" w:pos="709"/>
          <w:tab w:val="left" w:pos="709" w:leader="none"/>
        </w:tabs>
        <w:bidi w:val="0"/>
        <w:spacing w:before="0" w:after="0"/>
        <w:ind w:hanging="283" w:left="709"/>
        <w:rPr/>
      </w:pPr>
      <w:r>
        <w:rPr>
          <w:rStyle w:val="Strong"/>
        </w:rPr>
        <w:t>Última milla.</w:t>
      </w:r>
      <w:r>
        <w:rPr/>
        <w:t xml:space="preserve"> Si el reparto no alcanza densidad suficiente, el modelo puede resultar ambientalmente peor que el traslado del cliente. El beneficio depende de la ejecución logística, no del modelo en sí.</w:t>
      </w:r>
    </w:p>
    <w:p>
      <w:pPr>
        <w:pStyle w:val="BodyText"/>
        <w:numPr>
          <w:ilvl w:val="0"/>
          <w:numId w:val="4"/>
        </w:numPr>
        <w:tabs>
          <w:tab w:val="clear" w:pos="709"/>
          <w:tab w:val="left" w:pos="709" w:leader="none"/>
        </w:tabs>
        <w:bidi w:val="0"/>
        <w:spacing w:before="0" w:after="0"/>
        <w:ind w:hanging="283" w:left="709"/>
        <w:rPr/>
      </w:pPr>
      <w:r>
        <w:rPr>
          <w:rStyle w:val="Strong"/>
        </w:rPr>
        <w:t>Brecha digital.</w:t>
      </w:r>
      <w:r>
        <w:rPr/>
        <w:t xml:space="preserve"> La accesibilidad que se gana con quien no puede trasladarse se pierde con quien no tiene conectividad o alfabetización digital. El canal digital </w:t>
      </w:r>
      <w:r>
        <w:rPr>
          <w:rStyle w:val="Strong"/>
        </w:rPr>
        <w:t>complementa</w:t>
      </w:r>
      <w:r>
        <w:rPr/>
        <w:t xml:space="preserve"> al mostrador; sustituirlo excluiría a una parte de la clientela actual.</w:t>
      </w:r>
    </w:p>
    <w:p>
      <w:pPr>
        <w:pStyle w:val="BodyText"/>
        <w:numPr>
          <w:ilvl w:val="0"/>
          <w:numId w:val="4"/>
        </w:numPr>
        <w:tabs>
          <w:tab w:val="clear" w:pos="709"/>
          <w:tab w:val="left" w:pos="709" w:leader="none"/>
        </w:tabs>
        <w:bidi w:val="0"/>
        <w:ind w:hanging="283" w:left="709"/>
        <w:rPr/>
      </w:pPr>
      <w:r>
        <w:rPr>
          <w:rStyle w:val="Strong"/>
        </w:rPr>
        <w:t>Huella del desarrollo.</w:t>
      </w:r>
      <w:r>
        <w:rPr/>
        <w:t xml:space="preserve"> La infraestructura de cómputo, hosting y herramientas de IA tiene un consumo que hoy no está medido.</w:t>
      </w:r>
    </w:p>
    <w:p>
      <w:pPr>
        <w:pStyle w:val="HorizontalLine"/>
        <w:bidi w:val="0"/>
        <w:rPr/>
      </w:pPr>
      <w:r>
        <w:rPr/>
      </w:r>
    </w:p>
    <w:p>
      <w:pPr>
        <w:pStyle w:val="Heading2"/>
        <w:bidi w:val="0"/>
        <w:rPr/>
      </w:pPr>
      <w:r>
        <w:rPr/>
        <w:t>6. Indicadores propuestos</w:t>
      </w:r>
    </w:p>
    <w:p>
      <w:pPr>
        <w:pStyle w:val="BodyText"/>
        <w:bidi w:val="0"/>
        <w:rPr/>
      </w:pPr>
      <w:r>
        <w:rPr/>
        <w:t>Para que esta declaración sea verificable y no meramente declarativa, se proponen las siguientes métricas de seguimiento:</w:t>
      </w:r>
    </w:p>
    <w:tbl>
      <w:tblPr>
        <w:tblW w:w="8897" w:type="dxa"/>
        <w:jc w:val="left"/>
        <w:tblInd w:w="90" w:type="dxa"/>
        <w:tblLayout w:type="fixed"/>
        <w:tblCellMar>
          <w:top w:w="90" w:type="dxa"/>
          <w:left w:w="90" w:type="dxa"/>
          <w:bottom w:w="90" w:type="dxa"/>
          <w:right w:w="90" w:type="dxa"/>
        </w:tblCellMar>
      </w:tblPr>
      <w:tblGrid>
        <w:gridCol w:w="1414"/>
        <w:gridCol w:w="4961"/>
        <w:gridCol w:w="2522"/>
      </w:tblGrid>
      <w:tr>
        <w:trPr>
          <w:tblHeader w:val="true"/>
        </w:trPr>
        <w:tc>
          <w:tcPr>
            <w:tcW w:w="141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Dimensión</w:t>
            </w:r>
          </w:p>
        </w:tc>
        <w:tc>
          <w:tcPr>
            <w:tcW w:w="49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Indicador</w:t>
            </w:r>
          </w:p>
        </w:tc>
        <w:tc>
          <w:tcPr>
            <w:tcW w:w="25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Fuente</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Económica</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Ventas online / ventas totales</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Sistema de ventas</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Económica</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Localidades distintas alcanzadas</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Domicilios de entrega</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Social</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Pedidos con verificación de edad completada</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Registro de checkout</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Social</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Marcas regionales en catálogo activo</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Catálogo</w:t>
            </w:r>
          </w:p>
        </w:tc>
      </w:tr>
      <w:tr>
        <w:trPr/>
        <w:tc>
          <w:tcPr>
            <w:tcW w:w="14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Ambiental</w:t>
            </w:r>
          </w:p>
        </w:tc>
        <w:tc>
          <w:tcPr>
            <w:tcW w:w="49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Pedidos promedio por recorrido de reparto</w:t>
            </w:r>
          </w:p>
        </w:tc>
        <w:tc>
          <w:tcPr>
            <w:tcW w:w="25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Planificación logística</w:t>
            </w:r>
          </w:p>
        </w:tc>
      </w:tr>
      <w:tr>
        <w:trPr/>
        <w:tc>
          <w:tcPr>
            <w:tcW w:w="141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Ambiental</w:t>
            </w:r>
          </w:p>
        </w:tc>
        <w:tc>
          <w:tcPr>
            <w:tcW w:w="496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Merma por vencimiento antes / después</w:t>
            </w:r>
          </w:p>
        </w:tc>
        <w:tc>
          <w:tcPr>
            <w:tcW w:w="25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Control de inventario</w:t>
            </w:r>
          </w:p>
        </w:tc>
      </w:tr>
    </w:tbl>
    <w:p>
      <w:pPr>
        <w:pStyle w:val="BodyText"/>
        <w:bidi w:val="0"/>
        <w:rPr/>
      </w:pPr>
      <w:r>
        <w:rPr/>
        <w:t>Ninguno de estos indicadores está medido todavía. Se declaran como compromiso de medición, no como resultado alcanzado.</w:t>
      </w:r>
    </w:p>
    <w:p>
      <w:pPr>
        <w:pStyle w:val="HorizontalLine"/>
        <w:bidi w:val="0"/>
        <w:rPr/>
      </w:pPr>
      <w:r>
        <w:rPr/>
      </w:r>
    </w:p>
    <w:p>
      <w:pPr>
        <w:pStyle w:val="Heading2"/>
        <w:bidi w:val="0"/>
        <w:rPr/>
      </w:pPr>
      <w:r>
        <w:rPr/>
        <w:t>7. Síntesis</w:t>
      </w:r>
    </w:p>
    <w:p>
      <w:pPr>
        <w:pStyle w:val="BodyText"/>
        <w:bidi w:val="0"/>
        <w:rPr/>
      </w:pPr>
      <w:r>
        <w:rPr/>
        <w:t>DrinkEmAll se diferencia de un comercio tradicional en que su crecimiento no depende de su estructura física, su operación produce información aprovechable y su margen de error es barato y reversible.</w:t>
      </w:r>
    </w:p>
    <w:p>
      <w:pPr>
        <w:pStyle w:val="BodyText"/>
        <w:bidi w:val="0"/>
        <w:rPr/>
      </w:pPr>
      <w:r>
        <w:rPr/>
        <w:t>Su impacto social más sólido es la accesibilidad y el rigor en la venta responsable de alcohol en una localidad del interior. Su impacto ambiental más defendible es la consolidación de traslados y la eliminación de material impreso, condicionado a la densidad logística. El catálogo generado por IA aporta validación sin consumo material durante el desarrollo, sin que eso convierta a la IA en una tecnología ambientalmente neutra.</w:t>
      </w:r>
    </w:p>
    <w:p>
      <w:pPr>
        <w:pStyle w:val="BodyText"/>
        <w:bidi w:val="0"/>
        <w:spacing w:before="0" w:after="140"/>
        <w:rPr/>
      </w:pPr>
      <w:r>
        <w:rPr/>
        <w:t>Las afirmaciones de este documento se sostienen en la medida en que los indicadores de la sección 6 se implementen y se publiquen.</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auto"/>
      <w:sz w:val="22"/>
      <w:szCs w:val="22"/>
      <w:lang w:val="es-AR"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5"/>
      <w:szCs w:val="25"/>
    </w:rPr>
  </w:style>
  <w:style w:type="character" w:styleId="SourceText">
    <w:name w:val="Source Text"/>
    <w:qFormat/>
    <w:rPr>
      <w:rFonts w:ascii="Consolas;monospace" w:hAnsi="Consolas;monospace" w:eastAsia="Consolas;monospace" w:cs="Consolas;monospace"/>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informe-comparativo-startup</dc:title>
</cp:coreProperties>
</file>

<file path=docProps/custom.xml><?xml version="1.0" encoding="utf-8"?>
<Properties xmlns="http://schemas.openxmlformats.org/officeDocument/2006/custom-properties" xmlns:vt="http://schemas.openxmlformats.org/officeDocument/2006/docPropsVTypes"/>
</file>