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F34C" w14:textId="4EFB0CE3" w:rsidR="00804478" w:rsidRDefault="00804478" w:rsidP="002A41DA">
      <w:pPr>
        <w:pStyle w:val="Heading2"/>
        <w:shd w:val="clear" w:color="auto" w:fill="FFFFFF"/>
        <w:spacing w:before="153" w:after="0"/>
        <w:rPr>
          <w:rFonts w:asciiTheme="minorHAnsi" w:hAnsiTheme="minorHAnsi" w:cstheme="minorHAnsi"/>
          <w:color w:val="000000"/>
          <w:sz w:val="22"/>
          <w:szCs w:val="22"/>
        </w:rPr>
      </w:pPr>
      <w:r w:rsidRPr="00804478">
        <w:rPr>
          <w:rFonts w:asciiTheme="minorHAnsi" w:hAnsiTheme="minorHAnsi" w:cstheme="minorHAnsi"/>
          <w:color w:val="000000"/>
          <w:sz w:val="22"/>
          <w:szCs w:val="22"/>
        </w:rPr>
        <w:t xml:space="preserve">Summarizing the </w:t>
      </w:r>
      <w:r>
        <w:rPr>
          <w:rFonts w:asciiTheme="minorHAnsi" w:hAnsiTheme="minorHAnsi" w:cstheme="minorHAnsi"/>
          <w:color w:val="000000"/>
          <w:sz w:val="22"/>
          <w:szCs w:val="22"/>
        </w:rPr>
        <w:t>A</w:t>
      </w:r>
      <w:r w:rsidRPr="00804478">
        <w:rPr>
          <w:rFonts w:asciiTheme="minorHAnsi" w:hAnsiTheme="minorHAnsi" w:cstheme="minorHAnsi"/>
          <w:color w:val="000000"/>
          <w:sz w:val="22"/>
          <w:szCs w:val="22"/>
        </w:rPr>
        <w:t>nalysis</w:t>
      </w:r>
    </w:p>
    <w:p w14:paraId="0ECE80C2" w14:textId="6980F9A3" w:rsidR="00B751FA" w:rsidRDefault="00B751FA" w:rsidP="002A41DA">
      <w:pPr>
        <w:pStyle w:val="Heading2"/>
        <w:shd w:val="clear" w:color="auto" w:fill="FFFFFF"/>
        <w:spacing w:before="153" w:after="0"/>
        <w:rPr>
          <w:rFonts w:asciiTheme="minorHAnsi" w:hAnsiTheme="minorHAnsi" w:cstheme="minorHAnsi"/>
          <w:color w:val="000000"/>
          <w:sz w:val="22"/>
          <w:szCs w:val="22"/>
        </w:rPr>
      </w:pPr>
      <w:r>
        <w:rPr>
          <w:rFonts w:asciiTheme="minorHAnsi" w:hAnsiTheme="minorHAnsi" w:cstheme="minorHAnsi"/>
          <w:color w:val="000000"/>
          <w:sz w:val="22"/>
          <w:szCs w:val="22"/>
        </w:rPr>
        <w:t>District Summary</w:t>
      </w:r>
    </w:p>
    <w:p w14:paraId="44BC1321" w14:textId="0CBD9828"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Average Math Score:</w:t>
      </w:r>
      <w:r w:rsidRPr="002A41DA">
        <w:rPr>
          <w:rFonts w:asciiTheme="minorHAnsi" w:hAnsiTheme="minorHAnsi" w:cstheme="minorHAnsi"/>
          <w:b w:val="0"/>
          <w:bCs w:val="0"/>
          <w:color w:val="000000"/>
          <w:sz w:val="22"/>
          <w:szCs w:val="22"/>
        </w:rPr>
        <w:t xml:space="preserve"> The district exhibits a reasonable average math score of 79.0, suggesting a moderate level of proficiency in mathematical subjects.</w:t>
      </w:r>
    </w:p>
    <w:p w14:paraId="11E4D2CC" w14:textId="049695B6"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Average Reading Score:</w:t>
      </w:r>
      <w:r w:rsidRPr="002A41DA">
        <w:rPr>
          <w:rFonts w:asciiTheme="minorHAnsi" w:hAnsiTheme="minorHAnsi" w:cstheme="minorHAnsi"/>
          <w:b w:val="0"/>
          <w:bCs w:val="0"/>
          <w:color w:val="000000"/>
          <w:sz w:val="22"/>
          <w:szCs w:val="22"/>
        </w:rPr>
        <w:t xml:space="preserve"> The average reading score stands at 81.9, indicating a slightly higher proficiency in reading compared to math.</w:t>
      </w:r>
    </w:p>
    <w:p w14:paraId="0FFA3D19" w14:textId="788F4B82"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Percentage Passing Math:</w:t>
      </w:r>
      <w:r w:rsidRPr="002A41DA">
        <w:rPr>
          <w:rFonts w:asciiTheme="minorHAnsi" w:hAnsiTheme="minorHAnsi" w:cstheme="minorHAnsi"/>
          <w:b w:val="0"/>
          <w:bCs w:val="0"/>
          <w:color w:val="000000"/>
          <w:sz w:val="22"/>
          <w:szCs w:val="22"/>
        </w:rPr>
        <w:t xml:space="preserve"> Approximately 75.0% of students pass the math assessments, implying that a significant portion of the student body demonstrates proficiency in this subject.</w:t>
      </w:r>
    </w:p>
    <w:p w14:paraId="23A0834E" w14:textId="272600D2" w:rsidR="00793C5D"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Percentage Passing Reading:</w:t>
      </w:r>
      <w:r w:rsidRPr="002A41DA">
        <w:rPr>
          <w:rFonts w:asciiTheme="minorHAnsi" w:hAnsiTheme="minorHAnsi" w:cstheme="minorHAnsi"/>
          <w:b w:val="0"/>
          <w:bCs w:val="0"/>
          <w:color w:val="000000"/>
          <w:sz w:val="22"/>
          <w:szCs w:val="22"/>
        </w:rPr>
        <w:t xml:space="preserve"> In terms of reading, a higher percentage, 85.8%, of students successfully pass their reading assessments.</w:t>
      </w:r>
    </w:p>
    <w:p w14:paraId="77D6395F" w14:textId="021DA615" w:rsid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Overall Passing Rate:</w:t>
      </w:r>
      <w:r w:rsidRPr="002A41DA">
        <w:rPr>
          <w:rFonts w:asciiTheme="minorHAnsi" w:hAnsiTheme="minorHAnsi" w:cstheme="minorHAnsi"/>
          <w:b w:val="0"/>
          <w:bCs w:val="0"/>
          <w:color w:val="000000"/>
          <w:sz w:val="22"/>
          <w:szCs w:val="22"/>
        </w:rPr>
        <w:t xml:space="preserve"> Combining both math and reading scores, the district maintains an overall passing rate of 65.2%, reflecting the proportion of students proficient in both subjects.</w:t>
      </w:r>
    </w:p>
    <w:p w14:paraId="6CBDD7C5" w14:textId="77777777" w:rsidR="00793C5D" w:rsidRDefault="00793C5D" w:rsidP="002A41DA">
      <w:pPr>
        <w:pStyle w:val="Heading2"/>
        <w:shd w:val="clear" w:color="auto" w:fill="FFFFFF"/>
        <w:spacing w:before="153" w:after="0"/>
        <w:rPr>
          <w:rFonts w:asciiTheme="minorHAnsi" w:hAnsiTheme="minorHAnsi" w:cstheme="minorHAnsi"/>
          <w:color w:val="000000"/>
          <w:sz w:val="22"/>
          <w:szCs w:val="22"/>
        </w:rPr>
      </w:pPr>
    </w:p>
    <w:p w14:paraId="58F6F01E" w14:textId="43674B3A" w:rsidR="00793C5D" w:rsidRPr="00793C5D" w:rsidRDefault="00793C5D" w:rsidP="002A41DA">
      <w:pPr>
        <w:pStyle w:val="Heading2"/>
        <w:shd w:val="clear" w:color="auto" w:fill="FFFFFF"/>
        <w:spacing w:before="153" w:after="0"/>
        <w:rPr>
          <w:rFonts w:asciiTheme="minorHAnsi" w:hAnsiTheme="minorHAnsi" w:cstheme="minorHAnsi"/>
          <w:color w:val="000000"/>
          <w:sz w:val="22"/>
          <w:szCs w:val="22"/>
        </w:rPr>
      </w:pPr>
      <w:r w:rsidRPr="00793C5D">
        <w:rPr>
          <w:rFonts w:asciiTheme="minorHAnsi" w:hAnsiTheme="minorHAnsi" w:cstheme="minorHAnsi"/>
          <w:color w:val="000000"/>
          <w:sz w:val="22"/>
          <w:szCs w:val="22"/>
        </w:rPr>
        <w:t>School Summar</w:t>
      </w:r>
      <w:r>
        <w:rPr>
          <w:rFonts w:asciiTheme="minorHAnsi" w:hAnsiTheme="minorHAnsi" w:cstheme="minorHAnsi"/>
          <w:color w:val="000000"/>
          <w:sz w:val="22"/>
          <w:szCs w:val="22"/>
        </w:rPr>
        <w:t>y</w:t>
      </w:r>
    </w:p>
    <w:p w14:paraId="516A8CF1" w14:textId="3F90F7F9" w:rsidR="002A41DA" w:rsidRDefault="00804478" w:rsidP="002A41DA">
      <w:pPr>
        <w:pStyle w:val="Heading2"/>
        <w:shd w:val="clear" w:color="auto" w:fill="FFFFFF"/>
        <w:spacing w:before="153" w:after="0"/>
        <w:rPr>
          <w:rFonts w:asciiTheme="minorHAnsi" w:hAnsiTheme="minorHAnsi" w:cstheme="minorHAnsi"/>
          <w:color w:val="000000"/>
          <w:sz w:val="22"/>
          <w:szCs w:val="22"/>
        </w:rPr>
      </w:pPr>
      <w:r>
        <w:rPr>
          <w:rFonts w:asciiTheme="minorHAnsi" w:hAnsiTheme="minorHAnsi" w:cstheme="minorHAnsi"/>
          <w:color w:val="000000"/>
          <w:sz w:val="22"/>
          <w:szCs w:val="22"/>
        </w:rPr>
        <w:t>B</w:t>
      </w:r>
      <w:r w:rsidR="002A41DA" w:rsidRPr="002A41DA">
        <w:rPr>
          <w:rFonts w:asciiTheme="minorHAnsi" w:hAnsiTheme="minorHAnsi" w:cstheme="minorHAnsi"/>
          <w:color w:val="000000"/>
          <w:sz w:val="22"/>
          <w:szCs w:val="22"/>
        </w:rPr>
        <w:t>udget Allocation:</w:t>
      </w:r>
    </w:p>
    <w:p w14:paraId="3D968E07" w14:textId="17CA715A" w:rsidR="00EF5AE5" w:rsidRPr="00EF5AE5" w:rsidRDefault="002A41DA" w:rsidP="00EF5AE5">
      <w:pPr>
        <w:pStyle w:val="Heading2"/>
        <w:shd w:val="clear" w:color="auto" w:fill="FFFFFF"/>
        <w:spacing w:before="153" w:after="0"/>
        <w:rPr>
          <w:rFonts w:asciiTheme="minorHAnsi" w:hAnsiTheme="minorHAnsi" w:cstheme="minorHAnsi"/>
          <w:color w:val="000000"/>
          <w:sz w:val="22"/>
          <w:szCs w:val="22"/>
        </w:rPr>
      </w:pPr>
      <w:r w:rsidRPr="002A41DA">
        <w:rPr>
          <w:rFonts w:asciiTheme="minorHAnsi" w:hAnsiTheme="minorHAnsi" w:cstheme="minorHAnsi"/>
          <w:b w:val="0"/>
          <w:bCs w:val="0"/>
          <w:color w:val="000000"/>
          <w:sz w:val="22"/>
          <w:szCs w:val="22"/>
        </w:rPr>
        <w:t>The total budget of $24,649,428.00 is a critical factor influencing the overall educational experience within the district. It is imperative to assess how this budget is distributed across the schools to ensure that each institution receives adequate resources for optimal student development.</w:t>
      </w:r>
    </w:p>
    <w:p w14:paraId="749C5EA8" w14:textId="7E7EC638" w:rsidR="00EF5AE5" w:rsidRPr="00EF5AE5" w:rsidRDefault="00EF5AE5" w:rsidP="00EF5AE5">
      <w:pPr>
        <w:rPr>
          <w:rFonts w:cstheme="minorHAnsi"/>
        </w:rPr>
      </w:pPr>
      <w:r w:rsidRPr="00EF5AE5">
        <w:rPr>
          <w:rFonts w:eastAsia="Times New Roman" w:cstheme="minorHAnsi"/>
          <w:b/>
          <w:bCs/>
          <w:color w:val="000000"/>
          <w:lang w:eastAsia="en-GB"/>
        </w:rPr>
        <w:t>Average Math and Reading Scores:</w:t>
      </w:r>
      <w:r w:rsidRPr="00EF5AE5">
        <w:rPr>
          <w:rFonts w:cstheme="minorHAnsi"/>
        </w:rPr>
        <w:t xml:space="preserve"> Cabrera High School leads in both average math (83.06) and reading (83.98) scores, showcasing strong academic performance. On the other hand, Bailey High School has lower average scores in both subjects.</w:t>
      </w:r>
    </w:p>
    <w:p w14:paraId="05CA6FF2" w14:textId="7B85CE7B" w:rsidR="00EF5AE5" w:rsidRPr="00EF5AE5" w:rsidRDefault="00EF5AE5" w:rsidP="00EF5AE5">
      <w:pPr>
        <w:rPr>
          <w:rFonts w:cstheme="minorHAnsi"/>
        </w:rPr>
      </w:pPr>
      <w:r w:rsidRPr="00EF5AE5">
        <w:rPr>
          <w:rFonts w:eastAsia="Times New Roman" w:cstheme="minorHAnsi"/>
          <w:b/>
          <w:bCs/>
          <w:color w:val="000000"/>
          <w:lang w:eastAsia="en-GB"/>
        </w:rPr>
        <w:t>Passing Rates:</w:t>
      </w:r>
      <w:r w:rsidRPr="00EF5AE5">
        <w:rPr>
          <w:rFonts w:cstheme="minorHAnsi"/>
        </w:rPr>
        <w:t xml:space="preserve"> Charter schools, particularly Cabrera and Griffin, demonstrate significantly higher percentages of students passing math, reading, and overall. Notably, Cabrera High School has impressively high passing rates, indicating a strong academic environment.</w:t>
      </w:r>
    </w:p>
    <w:p w14:paraId="0FD8ADFE" w14:textId="7B4C7940" w:rsidR="00EF5AE5" w:rsidRPr="00EF5AE5" w:rsidRDefault="00EF5AE5" w:rsidP="00EF5AE5">
      <w:pPr>
        <w:rPr>
          <w:rFonts w:cstheme="minorHAnsi"/>
        </w:rPr>
      </w:pPr>
      <w:r w:rsidRPr="00EF5AE5">
        <w:rPr>
          <w:rFonts w:eastAsia="Times New Roman" w:cstheme="minorHAnsi"/>
          <w:b/>
          <w:bCs/>
          <w:color w:val="000000"/>
          <w:lang w:eastAsia="en-GB"/>
        </w:rPr>
        <w:t>Bailey High School:</w:t>
      </w:r>
      <w:r w:rsidRPr="00EF5AE5">
        <w:rPr>
          <w:rFonts w:cstheme="minorHAnsi"/>
        </w:rPr>
        <w:t xml:space="preserve"> Bailey High School, a district school, has lower passing rates and average scores. This suggests potential areas for improvement in teaching strategies, curriculum, or additional support programs.</w:t>
      </w:r>
    </w:p>
    <w:p w14:paraId="5AFC4188" w14:textId="0697B135" w:rsidR="00CD4E34" w:rsidRDefault="00EF5AE5" w:rsidP="00EF5AE5">
      <w:pPr>
        <w:rPr>
          <w:rFonts w:cstheme="minorHAnsi"/>
        </w:rPr>
      </w:pPr>
      <w:r w:rsidRPr="00EF5AE5">
        <w:rPr>
          <w:rFonts w:eastAsia="Times New Roman" w:cstheme="minorHAnsi"/>
          <w:b/>
          <w:bCs/>
          <w:color w:val="000000"/>
          <w:lang w:eastAsia="en-GB"/>
        </w:rPr>
        <w:t>Equity in Per-Student Budget:</w:t>
      </w:r>
      <w:r w:rsidRPr="00EF5AE5">
        <w:rPr>
          <w:rFonts w:cstheme="minorHAnsi"/>
        </w:rPr>
        <w:t xml:space="preserve"> While Cabrera High School has a higher per-student budget, ensuring equitable resource distribution across all schools is crucial to providing a quality education.</w:t>
      </w:r>
    </w:p>
    <w:p w14:paraId="0918A3D1" w14:textId="77777777" w:rsidR="00D305A4" w:rsidRDefault="00D305A4" w:rsidP="00EF5AE5">
      <w:pPr>
        <w:rPr>
          <w:rFonts w:cstheme="minorHAnsi"/>
        </w:rPr>
      </w:pPr>
    </w:p>
    <w:p w14:paraId="764778E9" w14:textId="77777777" w:rsidR="00D305A4" w:rsidRDefault="00D305A4" w:rsidP="00EF5AE5">
      <w:pPr>
        <w:rPr>
          <w:rFonts w:cstheme="minorHAnsi"/>
        </w:rPr>
      </w:pPr>
    </w:p>
    <w:p w14:paraId="4359C152" w14:textId="77777777" w:rsidR="00D305A4" w:rsidRDefault="00D305A4" w:rsidP="00EF5AE5">
      <w:pPr>
        <w:rPr>
          <w:rFonts w:cstheme="minorHAnsi"/>
        </w:rPr>
      </w:pPr>
    </w:p>
    <w:p w14:paraId="4F85B3A8" w14:textId="77777777" w:rsidR="00D305A4" w:rsidRDefault="00D305A4" w:rsidP="00EF5AE5">
      <w:pPr>
        <w:rPr>
          <w:rFonts w:cstheme="minorHAnsi"/>
        </w:rPr>
      </w:pPr>
    </w:p>
    <w:p w14:paraId="4DEC223A" w14:textId="77777777" w:rsidR="00D305A4" w:rsidRDefault="00D305A4" w:rsidP="00EF5AE5">
      <w:pPr>
        <w:rPr>
          <w:rFonts w:cstheme="minorHAnsi"/>
        </w:rPr>
      </w:pPr>
    </w:p>
    <w:p w14:paraId="50F2C297" w14:textId="77777777" w:rsidR="004B6DE6" w:rsidRDefault="00266E45" w:rsidP="004B6DE6">
      <w:pPr>
        <w:pStyle w:val="Heading2"/>
        <w:rPr>
          <w:rFonts w:asciiTheme="minorHAnsi" w:hAnsiTheme="minorHAnsi" w:cstheme="minorHAnsi"/>
          <w:sz w:val="24"/>
          <w:szCs w:val="24"/>
        </w:rPr>
      </w:pPr>
      <w:r w:rsidRPr="00266E45">
        <w:rPr>
          <w:rFonts w:asciiTheme="minorHAnsi" w:hAnsiTheme="minorHAnsi" w:cstheme="minorHAnsi"/>
          <w:sz w:val="24"/>
          <w:szCs w:val="24"/>
        </w:rPr>
        <w:lastRenderedPageBreak/>
        <w:t>Conclusions Or Comparisons</w:t>
      </w:r>
    </w:p>
    <w:p w14:paraId="5E646FE6" w14:textId="4FE0B588" w:rsidR="004B6DE6" w:rsidRPr="004B6DE6" w:rsidRDefault="00A936D7" w:rsidP="004B6DE6">
      <w:pPr>
        <w:pStyle w:val="Heading2"/>
        <w:rPr>
          <w:rFonts w:asciiTheme="minorHAnsi" w:hAnsiTheme="minorHAnsi" w:cstheme="minorHAnsi"/>
          <w:sz w:val="24"/>
          <w:szCs w:val="24"/>
        </w:rPr>
      </w:pPr>
      <w:r>
        <w:rPr>
          <w:rFonts w:asciiTheme="minorHAnsi" w:hAnsiTheme="minorHAnsi" w:cstheme="minorHAnsi"/>
          <w:b w:val="0"/>
          <w:bCs w:val="0"/>
          <w:color w:val="000000"/>
          <w:sz w:val="22"/>
          <w:szCs w:val="22"/>
        </w:rPr>
        <w:t>-</w:t>
      </w:r>
      <w:r w:rsidR="004B6DE6" w:rsidRPr="004B6DE6">
        <w:rPr>
          <w:rFonts w:asciiTheme="minorHAnsi" w:hAnsiTheme="minorHAnsi" w:cstheme="minorHAnsi"/>
          <w:b w:val="0"/>
          <w:bCs w:val="0"/>
          <w:color w:val="000000"/>
          <w:sz w:val="22"/>
          <w:szCs w:val="22"/>
        </w:rPr>
        <w:t>Charter schools, exemplified by Cabrera and Griffin High School, consistently demonstrate higher average scores and passing rates in both math and reading compared to district schools like Bailey, Figueroa, and Ford High School.</w:t>
      </w:r>
    </w:p>
    <w:p w14:paraId="4E25AD89" w14:textId="77777777" w:rsidR="004B6DE6" w:rsidRPr="004B6DE6" w:rsidRDefault="004B6DE6" w:rsidP="004B6DE6">
      <w:pPr>
        <w:pStyle w:val="Heading2"/>
        <w:shd w:val="clear" w:color="auto" w:fill="FFFFFF"/>
        <w:spacing w:before="153" w:after="0"/>
        <w:rPr>
          <w:rFonts w:asciiTheme="minorHAnsi" w:hAnsiTheme="minorHAnsi" w:cstheme="minorHAnsi"/>
          <w:b w:val="0"/>
          <w:bCs w:val="0"/>
          <w:color w:val="000000"/>
          <w:sz w:val="22"/>
          <w:szCs w:val="22"/>
        </w:rPr>
      </w:pPr>
      <w:r w:rsidRPr="004B6DE6">
        <w:rPr>
          <w:rFonts w:asciiTheme="minorHAnsi" w:hAnsiTheme="minorHAnsi" w:cstheme="minorHAnsi"/>
          <w:b w:val="0"/>
          <w:bCs w:val="0"/>
          <w:color w:val="000000"/>
          <w:sz w:val="22"/>
          <w:szCs w:val="22"/>
        </w:rPr>
        <w:t>This indicates that the charter school model may contribute to a more effective educational environment, potentially due to smaller class sizes, focused curricula, or other factors inherent to the charter school structure.</w:t>
      </w:r>
    </w:p>
    <w:p w14:paraId="12F59250" w14:textId="210B76FE" w:rsidR="004B6DE6" w:rsidRPr="004B6DE6" w:rsidRDefault="00A936D7" w:rsidP="004B6DE6">
      <w:pPr>
        <w:pStyle w:val="Heading2"/>
        <w:shd w:val="clear" w:color="auto" w:fill="FFFFFF"/>
        <w:spacing w:before="153" w:after="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w:t>
      </w:r>
      <w:r w:rsidR="004B6DE6" w:rsidRPr="004B6DE6">
        <w:rPr>
          <w:rFonts w:asciiTheme="minorHAnsi" w:hAnsiTheme="minorHAnsi" w:cstheme="minorHAnsi"/>
          <w:b w:val="0"/>
          <w:bCs w:val="0"/>
          <w:color w:val="000000"/>
          <w:sz w:val="22"/>
          <w:szCs w:val="22"/>
        </w:rPr>
        <w:t>While Bailey High School has the highest total school budget, its per-student budget is higher in comparison to Cabrera High School. Despite the higher budget, Bailey High School shows lower average scores and passing rates, suggesting that the sheer amount of funding does not guarantee better academic outcomes.</w:t>
      </w:r>
    </w:p>
    <w:p w14:paraId="71FACB2B" w14:textId="77777777" w:rsidR="004B6DE6" w:rsidRPr="004B6DE6" w:rsidRDefault="004B6DE6" w:rsidP="004B6DE6">
      <w:pPr>
        <w:pStyle w:val="Heading2"/>
        <w:shd w:val="clear" w:color="auto" w:fill="FFFFFF"/>
        <w:spacing w:before="153" w:after="0"/>
        <w:rPr>
          <w:rFonts w:asciiTheme="minorHAnsi" w:hAnsiTheme="minorHAnsi" w:cstheme="minorHAnsi"/>
          <w:b w:val="0"/>
          <w:bCs w:val="0"/>
          <w:color w:val="000000"/>
          <w:sz w:val="22"/>
          <w:szCs w:val="22"/>
        </w:rPr>
      </w:pPr>
      <w:r w:rsidRPr="004B6DE6">
        <w:rPr>
          <w:rFonts w:asciiTheme="minorHAnsi" w:hAnsiTheme="minorHAnsi" w:cstheme="minorHAnsi"/>
          <w:b w:val="0"/>
          <w:bCs w:val="0"/>
          <w:color w:val="000000"/>
          <w:sz w:val="22"/>
          <w:szCs w:val="22"/>
        </w:rPr>
        <w:t>This implies that how the budget is allocated and utilized within a school, rather than the total budget alone, plays a crucial role in determining the overall academic success of the institution. It highlights the importance of efficient resource management and targeted investments in education.</w:t>
      </w:r>
    </w:p>
    <w:p w14:paraId="468CA675" w14:textId="0B811B27" w:rsidR="00266E45" w:rsidRPr="004B6DE6" w:rsidRDefault="00266E45" w:rsidP="004B6DE6">
      <w:pPr>
        <w:pStyle w:val="Heading2"/>
        <w:shd w:val="clear" w:color="auto" w:fill="FFFFFF"/>
        <w:spacing w:before="153" w:after="0"/>
        <w:rPr>
          <w:rFonts w:asciiTheme="minorHAnsi" w:hAnsiTheme="minorHAnsi" w:cstheme="minorHAnsi"/>
          <w:b w:val="0"/>
          <w:bCs w:val="0"/>
          <w:color w:val="000000"/>
          <w:sz w:val="22"/>
          <w:szCs w:val="22"/>
        </w:rPr>
      </w:pPr>
    </w:p>
    <w:sectPr w:rsidR="00266E45" w:rsidRPr="004B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4C"/>
    <w:rsid w:val="001A0B9A"/>
    <w:rsid w:val="00266E45"/>
    <w:rsid w:val="002A41DA"/>
    <w:rsid w:val="004B6DE6"/>
    <w:rsid w:val="006A114C"/>
    <w:rsid w:val="00793C5D"/>
    <w:rsid w:val="00804478"/>
    <w:rsid w:val="009F37A7"/>
    <w:rsid w:val="00A936D7"/>
    <w:rsid w:val="00B751FA"/>
    <w:rsid w:val="00CD4E34"/>
    <w:rsid w:val="00D305A4"/>
    <w:rsid w:val="00EF5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500B"/>
  <w15:chartTrackingRefBased/>
  <w15:docId w15:val="{9217632C-3041-493C-BC8B-9E209FA6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B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B9A"/>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592">
      <w:bodyDiv w:val="1"/>
      <w:marLeft w:val="0"/>
      <w:marRight w:val="0"/>
      <w:marTop w:val="0"/>
      <w:marBottom w:val="0"/>
      <w:divBdr>
        <w:top w:val="none" w:sz="0" w:space="0" w:color="auto"/>
        <w:left w:val="none" w:sz="0" w:space="0" w:color="auto"/>
        <w:bottom w:val="none" w:sz="0" w:space="0" w:color="auto"/>
        <w:right w:val="none" w:sz="0" w:space="0" w:color="auto"/>
      </w:divBdr>
    </w:div>
    <w:div w:id="665983886">
      <w:bodyDiv w:val="1"/>
      <w:marLeft w:val="0"/>
      <w:marRight w:val="0"/>
      <w:marTop w:val="0"/>
      <w:marBottom w:val="0"/>
      <w:divBdr>
        <w:top w:val="none" w:sz="0" w:space="0" w:color="auto"/>
        <w:left w:val="none" w:sz="0" w:space="0" w:color="auto"/>
        <w:bottom w:val="none" w:sz="0" w:space="0" w:color="auto"/>
        <w:right w:val="none" w:sz="0" w:space="0" w:color="auto"/>
      </w:divBdr>
    </w:div>
    <w:div w:id="18637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elçin .</dc:creator>
  <cp:keywords/>
  <dc:description/>
  <cp:lastModifiedBy>elçin .</cp:lastModifiedBy>
  <cp:revision>12</cp:revision>
  <dcterms:created xsi:type="dcterms:W3CDTF">2023-11-13T16:28:00Z</dcterms:created>
  <dcterms:modified xsi:type="dcterms:W3CDTF">2023-11-13T16:38:00Z</dcterms:modified>
</cp:coreProperties>
</file>