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C05" w:rsidRPr="00670F01" w:rsidRDefault="00D65630" w:rsidP="00D65630">
      <w:pPr>
        <w:jc w:val="center"/>
        <w:rPr>
          <w:rFonts w:ascii="Times New Roman" w:hAnsi="Times New Roman" w:cs="Times New Roman"/>
          <w:b/>
          <w:bCs/>
          <w:sz w:val="24"/>
          <w:szCs w:val="24"/>
        </w:rPr>
      </w:pPr>
      <w:r>
        <w:rPr>
          <w:rFonts w:ascii="Times New Roman" w:hAnsi="Times New Roman" w:cs="Times New Roman"/>
          <w:noProof/>
          <w:sz w:val="24"/>
          <w:szCs w:val="24"/>
        </w:rPr>
        <w:drawing>
          <wp:anchor distT="0" distB="0" distL="0" distR="0" simplePos="0" relativeHeight="251659264" behindDoc="0" locked="0" layoutInCell="1" allowOverlap="1">
            <wp:simplePos x="0" y="0"/>
            <wp:positionH relativeFrom="column">
              <wp:posOffset>-228600</wp:posOffset>
            </wp:positionH>
            <wp:positionV relativeFrom="paragraph">
              <wp:posOffset>38100</wp:posOffset>
            </wp:positionV>
            <wp:extent cx="1181100" cy="1209675"/>
            <wp:effectExtent l="19050" t="0" r="0" b="0"/>
            <wp:wrapNone/>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1181100" cy="1209675"/>
                    </a:xfrm>
                    <a:prstGeom prst="rect">
                      <a:avLst/>
                    </a:prstGeom>
                  </pic:spPr>
                </pic:pic>
              </a:graphicData>
            </a:graphic>
          </wp:anchor>
        </w:drawing>
      </w:r>
      <w:r w:rsidR="00445C05" w:rsidRPr="00670F01">
        <w:rPr>
          <w:rFonts w:ascii="Times New Roman" w:hAnsi="Times New Roman" w:cs="Times New Roman"/>
          <w:noProof/>
          <w:sz w:val="24"/>
          <w:szCs w:val="24"/>
        </w:rPr>
        <w:drawing>
          <wp:anchor distT="0" distB="0" distL="0" distR="0" simplePos="0" relativeHeight="251660288" behindDoc="0" locked="0" layoutInCell="1" allowOverlap="1">
            <wp:simplePos x="0" y="0"/>
            <wp:positionH relativeFrom="column">
              <wp:posOffset>4987925</wp:posOffset>
            </wp:positionH>
            <wp:positionV relativeFrom="paragraph">
              <wp:posOffset>-64135</wp:posOffset>
            </wp:positionV>
            <wp:extent cx="1196340" cy="1318260"/>
            <wp:effectExtent l="19050" t="0" r="3810" b="0"/>
            <wp:wrapNone/>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1196340" cy="1318260"/>
                    </a:xfrm>
                    <a:prstGeom prst="rect">
                      <a:avLst/>
                    </a:prstGeom>
                  </pic:spPr>
                </pic:pic>
              </a:graphicData>
            </a:graphic>
          </wp:anchor>
        </w:drawing>
      </w:r>
      <w:r w:rsidR="00445C05" w:rsidRPr="00670F01">
        <w:rPr>
          <w:rFonts w:ascii="Times New Roman" w:hAnsi="Times New Roman" w:cs="Times New Roman"/>
          <w:sz w:val="24"/>
          <w:szCs w:val="24"/>
        </w:rPr>
        <w:t>.</w:t>
      </w:r>
      <w:r w:rsidR="00445C05" w:rsidRPr="00670F01">
        <w:rPr>
          <w:rFonts w:ascii="Times New Roman" w:hAnsi="Times New Roman" w:cs="Times New Roman"/>
          <w:noProof/>
          <w:sz w:val="24"/>
          <w:szCs w:val="24"/>
        </w:rPr>
        <w:t xml:space="preserve"> </w:t>
      </w:r>
      <w:r w:rsidR="00445C05" w:rsidRPr="00670F01">
        <w:rPr>
          <w:rFonts w:ascii="Times New Roman" w:hAnsi="Times New Roman" w:cs="Times New Roman"/>
          <w:b/>
          <w:noProof/>
          <w:sz w:val="24"/>
          <w:szCs w:val="24"/>
        </w:rPr>
        <w:t xml:space="preserve"> </w:t>
      </w:r>
      <w:r w:rsidR="00445C05" w:rsidRPr="00670F01">
        <w:rPr>
          <w:rFonts w:ascii="Times New Roman" w:hAnsi="Times New Roman" w:cs="Times New Roman"/>
          <w:b/>
          <w:bCs/>
          <w:sz w:val="24"/>
          <w:szCs w:val="24"/>
        </w:rPr>
        <w:t xml:space="preserve"> THE UNITED REPUBLIC OF TANZANIA</w:t>
      </w:r>
    </w:p>
    <w:p w:rsidR="00445C05" w:rsidRPr="00670F01" w:rsidRDefault="00445C05" w:rsidP="00D65630">
      <w:pPr>
        <w:jc w:val="center"/>
        <w:rPr>
          <w:rFonts w:ascii="Times New Roman" w:hAnsi="Times New Roman" w:cs="Times New Roman"/>
          <w:b/>
          <w:bCs/>
          <w:sz w:val="24"/>
          <w:szCs w:val="24"/>
        </w:rPr>
      </w:pPr>
      <w:r w:rsidRPr="00670F01">
        <w:rPr>
          <w:rFonts w:ascii="Times New Roman" w:hAnsi="Times New Roman" w:cs="Times New Roman"/>
          <w:b/>
          <w:sz w:val="24"/>
          <w:szCs w:val="24"/>
        </w:rPr>
        <w:t>PRESIDENT’S</w:t>
      </w:r>
      <w:r w:rsidRPr="00670F01">
        <w:rPr>
          <w:rFonts w:ascii="Times New Roman" w:hAnsi="Times New Roman" w:cs="Times New Roman"/>
          <w:b/>
          <w:bCs/>
          <w:sz w:val="24"/>
          <w:szCs w:val="24"/>
        </w:rPr>
        <w:t xml:space="preserve"> OFFICE</w:t>
      </w:r>
    </w:p>
    <w:p w:rsidR="00445C05" w:rsidRPr="00670F01" w:rsidRDefault="00445C05" w:rsidP="00D65630">
      <w:pPr>
        <w:jc w:val="center"/>
        <w:rPr>
          <w:rFonts w:ascii="Times New Roman" w:hAnsi="Times New Roman" w:cs="Times New Roman"/>
          <w:b/>
          <w:bCs/>
          <w:sz w:val="24"/>
          <w:szCs w:val="24"/>
        </w:rPr>
      </w:pPr>
      <w:r w:rsidRPr="00670F01">
        <w:rPr>
          <w:rFonts w:ascii="Times New Roman" w:hAnsi="Times New Roman" w:cs="Times New Roman"/>
          <w:b/>
          <w:bCs/>
          <w:sz w:val="24"/>
          <w:szCs w:val="24"/>
        </w:rPr>
        <w:t>PUBLIC SERVICE MANAGEMENT</w:t>
      </w:r>
    </w:p>
    <w:p w:rsidR="00445C05" w:rsidRPr="00670F01" w:rsidRDefault="00445C05" w:rsidP="00D65630">
      <w:pPr>
        <w:spacing w:line="360" w:lineRule="auto"/>
        <w:jc w:val="center"/>
        <w:rPr>
          <w:rFonts w:ascii="Times New Roman" w:hAnsi="Times New Roman" w:cs="Times New Roman"/>
          <w:b/>
          <w:bCs/>
          <w:sz w:val="24"/>
          <w:szCs w:val="24"/>
        </w:rPr>
      </w:pPr>
      <w:r w:rsidRPr="00670F01">
        <w:rPr>
          <w:rFonts w:ascii="Times New Roman" w:hAnsi="Times New Roman" w:cs="Times New Roman"/>
          <w:b/>
          <w:bCs/>
          <w:sz w:val="24"/>
          <w:szCs w:val="24"/>
        </w:rPr>
        <w:t>TANZANIA PUBLIC SERVICE COLLEGE</w:t>
      </w:r>
    </w:p>
    <w:p w:rsidR="00445C05" w:rsidRPr="00670F01" w:rsidRDefault="00445C05" w:rsidP="00D65630">
      <w:pPr>
        <w:spacing w:line="360" w:lineRule="auto"/>
        <w:jc w:val="center"/>
        <w:rPr>
          <w:rFonts w:ascii="Times New Roman" w:hAnsi="Times New Roman" w:cs="Times New Roman"/>
          <w:b/>
          <w:bCs/>
          <w:sz w:val="24"/>
          <w:szCs w:val="24"/>
        </w:rPr>
      </w:pPr>
      <w:r w:rsidRPr="00670F01">
        <w:rPr>
          <w:rFonts w:ascii="Times New Roman" w:hAnsi="Times New Roman" w:cs="Times New Roman"/>
          <w:b/>
          <w:bCs/>
          <w:sz w:val="24"/>
          <w:szCs w:val="24"/>
        </w:rPr>
        <w:t>TABORA-CAMPUS</w:t>
      </w:r>
    </w:p>
    <w:p w:rsidR="00445C05" w:rsidRPr="00670F01" w:rsidRDefault="00445C05" w:rsidP="00933CD7">
      <w:pPr>
        <w:jc w:val="both"/>
        <w:rPr>
          <w:rFonts w:ascii="Times New Roman" w:hAnsi="Times New Roman" w:cs="Times New Roman"/>
          <w:sz w:val="24"/>
          <w:szCs w:val="24"/>
        </w:rPr>
      </w:pPr>
    </w:p>
    <w:p w:rsidR="00445C05" w:rsidRPr="00670F01" w:rsidRDefault="00380C84" w:rsidP="00933CD7">
      <w:pPr>
        <w:jc w:val="both"/>
        <w:rPr>
          <w:rFonts w:ascii="Times New Roman" w:hAnsi="Times New Roman" w:cs="Times New Roman"/>
          <w:sz w:val="24"/>
          <w:szCs w:val="24"/>
        </w:rPr>
      </w:pPr>
      <w:r w:rsidRPr="00380C84">
        <w:rPr>
          <w:rFonts w:ascii="Times New Roman" w:hAnsi="Times New Roman" w:cs="Times New Roman"/>
          <w:b/>
          <w:sz w:val="24"/>
          <w:szCs w:val="24"/>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63pt;height:41.25pt" fillcolor="#369" strokecolor="black [3213]">
            <v:shadow on="t" color="#b2b2b2" opacity="52429f" offset="3pt"/>
            <v:textpath style="font-family:&quot;Times New Roman&quot;;v-text-kern:t" trim="t" fitpath="t" string="GROUP ASSIGNMENT"/>
          </v:shape>
        </w:pict>
      </w:r>
    </w:p>
    <w:p w:rsidR="00445C05" w:rsidRPr="00670F01" w:rsidRDefault="00445C05" w:rsidP="00933CD7">
      <w:pPr>
        <w:jc w:val="both"/>
        <w:rPr>
          <w:rFonts w:ascii="Times New Roman" w:hAnsi="Times New Roman" w:cs="Times New Roman"/>
          <w:sz w:val="24"/>
          <w:szCs w:val="24"/>
        </w:rPr>
      </w:pPr>
    </w:p>
    <w:p w:rsidR="00445C05" w:rsidRPr="00670F01" w:rsidRDefault="00445C05" w:rsidP="00933CD7">
      <w:pPr>
        <w:jc w:val="both"/>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445C05" w:rsidRPr="00670F01" w:rsidTr="008B09EE">
        <w:tc>
          <w:tcPr>
            <w:tcW w:w="4788" w:type="dxa"/>
          </w:tcPr>
          <w:p w:rsidR="00445C05" w:rsidRPr="00670F01" w:rsidRDefault="00445C05" w:rsidP="00933CD7">
            <w:pPr>
              <w:jc w:val="both"/>
              <w:rPr>
                <w:rFonts w:ascii="Times New Roman" w:hAnsi="Times New Roman" w:cs="Times New Roman"/>
                <w:b/>
                <w:sz w:val="24"/>
                <w:szCs w:val="24"/>
              </w:rPr>
            </w:pPr>
            <w:r w:rsidRPr="00670F01">
              <w:rPr>
                <w:rFonts w:ascii="Times New Roman" w:hAnsi="Times New Roman" w:cs="Times New Roman"/>
                <w:b/>
                <w:sz w:val="24"/>
                <w:szCs w:val="24"/>
              </w:rPr>
              <w:t>NAME</w:t>
            </w:r>
          </w:p>
        </w:tc>
        <w:tc>
          <w:tcPr>
            <w:tcW w:w="4788" w:type="dxa"/>
          </w:tcPr>
          <w:p w:rsidR="00445C05" w:rsidRPr="00670F01" w:rsidRDefault="00445C05" w:rsidP="00933CD7">
            <w:pPr>
              <w:jc w:val="both"/>
              <w:rPr>
                <w:rFonts w:ascii="Times New Roman" w:hAnsi="Times New Roman" w:cs="Times New Roman"/>
                <w:b/>
                <w:sz w:val="24"/>
                <w:szCs w:val="24"/>
              </w:rPr>
            </w:pPr>
            <w:r w:rsidRPr="00670F01">
              <w:rPr>
                <w:rFonts w:ascii="Times New Roman" w:hAnsi="Times New Roman" w:cs="Times New Roman"/>
                <w:b/>
                <w:sz w:val="24"/>
                <w:szCs w:val="24"/>
              </w:rPr>
              <w:t>REGISTRATION NUMBER</w:t>
            </w:r>
          </w:p>
        </w:tc>
      </w:tr>
      <w:tr w:rsidR="00445C05" w:rsidRPr="00670F01" w:rsidTr="008B09EE">
        <w:tc>
          <w:tcPr>
            <w:tcW w:w="4788" w:type="dxa"/>
          </w:tcPr>
          <w:p w:rsidR="00445C05" w:rsidRPr="00670F01" w:rsidRDefault="00445C05" w:rsidP="00933CD7">
            <w:pPr>
              <w:jc w:val="both"/>
              <w:rPr>
                <w:rFonts w:ascii="Times New Roman" w:hAnsi="Times New Roman" w:cs="Times New Roman"/>
                <w:sz w:val="24"/>
                <w:szCs w:val="24"/>
              </w:rPr>
            </w:pPr>
            <w:r w:rsidRPr="00670F01">
              <w:rPr>
                <w:rFonts w:ascii="Times New Roman" w:hAnsi="Times New Roman" w:cs="Times New Roman"/>
                <w:sz w:val="24"/>
                <w:szCs w:val="24"/>
              </w:rPr>
              <w:t>ELENEUS.K.SWITBERT</w:t>
            </w:r>
          </w:p>
        </w:tc>
        <w:tc>
          <w:tcPr>
            <w:tcW w:w="4788" w:type="dxa"/>
          </w:tcPr>
          <w:p w:rsidR="00445C05" w:rsidRPr="00670F01" w:rsidRDefault="00445C05" w:rsidP="00933CD7">
            <w:pPr>
              <w:jc w:val="both"/>
              <w:rPr>
                <w:rFonts w:ascii="Times New Roman" w:hAnsi="Times New Roman" w:cs="Times New Roman"/>
                <w:sz w:val="24"/>
                <w:szCs w:val="24"/>
              </w:rPr>
            </w:pPr>
            <w:r w:rsidRPr="00670F01">
              <w:rPr>
                <w:rFonts w:ascii="Times New Roman" w:hAnsi="Times New Roman" w:cs="Times New Roman"/>
                <w:sz w:val="24"/>
                <w:szCs w:val="24"/>
              </w:rPr>
              <w:t>DIT.01/18/T.03</w:t>
            </w:r>
          </w:p>
        </w:tc>
      </w:tr>
      <w:tr w:rsidR="00445C05" w:rsidRPr="00670F01" w:rsidTr="008B09EE">
        <w:tc>
          <w:tcPr>
            <w:tcW w:w="4788" w:type="dxa"/>
          </w:tcPr>
          <w:p w:rsidR="00445C05" w:rsidRPr="00670F01" w:rsidRDefault="00445C05" w:rsidP="00933CD7">
            <w:pPr>
              <w:jc w:val="both"/>
              <w:rPr>
                <w:rFonts w:ascii="Times New Roman" w:hAnsi="Times New Roman" w:cs="Times New Roman"/>
                <w:sz w:val="24"/>
                <w:szCs w:val="24"/>
              </w:rPr>
            </w:pPr>
            <w:r w:rsidRPr="00670F01">
              <w:rPr>
                <w:rFonts w:ascii="Times New Roman" w:hAnsi="Times New Roman" w:cs="Times New Roman"/>
                <w:sz w:val="24"/>
                <w:szCs w:val="24"/>
              </w:rPr>
              <w:t>JAMES RAMADHAN</w:t>
            </w:r>
          </w:p>
        </w:tc>
        <w:tc>
          <w:tcPr>
            <w:tcW w:w="4788" w:type="dxa"/>
          </w:tcPr>
          <w:p w:rsidR="00445C05" w:rsidRPr="00670F01" w:rsidRDefault="00445C05" w:rsidP="00933CD7">
            <w:pPr>
              <w:jc w:val="both"/>
              <w:rPr>
                <w:rFonts w:ascii="Times New Roman" w:hAnsi="Times New Roman" w:cs="Times New Roman"/>
                <w:sz w:val="24"/>
                <w:szCs w:val="24"/>
              </w:rPr>
            </w:pPr>
            <w:r w:rsidRPr="00670F01">
              <w:rPr>
                <w:rFonts w:ascii="Times New Roman" w:hAnsi="Times New Roman" w:cs="Times New Roman"/>
                <w:sz w:val="24"/>
                <w:szCs w:val="24"/>
              </w:rPr>
              <w:t>DIT.01/18/T.01</w:t>
            </w:r>
          </w:p>
        </w:tc>
      </w:tr>
      <w:tr w:rsidR="00445C05" w:rsidRPr="00670F01" w:rsidTr="008B09EE">
        <w:tc>
          <w:tcPr>
            <w:tcW w:w="4788" w:type="dxa"/>
          </w:tcPr>
          <w:p w:rsidR="00445C05" w:rsidRPr="00670F01" w:rsidRDefault="00445C05" w:rsidP="00933CD7">
            <w:pPr>
              <w:jc w:val="both"/>
              <w:rPr>
                <w:rFonts w:ascii="Times New Roman" w:hAnsi="Times New Roman" w:cs="Times New Roman"/>
                <w:sz w:val="24"/>
                <w:szCs w:val="24"/>
              </w:rPr>
            </w:pPr>
            <w:r w:rsidRPr="00670F01">
              <w:rPr>
                <w:rFonts w:ascii="Times New Roman" w:hAnsi="Times New Roman" w:cs="Times New Roman"/>
                <w:sz w:val="24"/>
                <w:szCs w:val="24"/>
              </w:rPr>
              <w:t>PIUS DE</w:t>
            </w:r>
            <w:r w:rsidR="00517B03">
              <w:rPr>
                <w:rFonts w:ascii="Times New Roman" w:hAnsi="Times New Roman" w:cs="Times New Roman"/>
                <w:sz w:val="24"/>
                <w:szCs w:val="24"/>
              </w:rPr>
              <w:t>ZIDERY</w:t>
            </w:r>
          </w:p>
        </w:tc>
        <w:tc>
          <w:tcPr>
            <w:tcW w:w="4788" w:type="dxa"/>
          </w:tcPr>
          <w:p w:rsidR="00445C05" w:rsidRPr="00670F01" w:rsidRDefault="00445C05" w:rsidP="00933CD7">
            <w:pPr>
              <w:jc w:val="both"/>
              <w:rPr>
                <w:rFonts w:ascii="Times New Roman" w:hAnsi="Times New Roman" w:cs="Times New Roman"/>
                <w:sz w:val="24"/>
                <w:szCs w:val="24"/>
              </w:rPr>
            </w:pPr>
            <w:r w:rsidRPr="00670F01">
              <w:rPr>
                <w:rFonts w:ascii="Times New Roman" w:hAnsi="Times New Roman" w:cs="Times New Roman"/>
                <w:sz w:val="24"/>
                <w:szCs w:val="24"/>
              </w:rPr>
              <w:t>DIT.01/18/T.11</w:t>
            </w:r>
          </w:p>
        </w:tc>
      </w:tr>
    </w:tbl>
    <w:p w:rsidR="00445C05" w:rsidRPr="00670F01" w:rsidRDefault="00445C05" w:rsidP="00933CD7">
      <w:pPr>
        <w:jc w:val="both"/>
        <w:rPr>
          <w:rFonts w:ascii="Times New Roman" w:hAnsi="Times New Roman" w:cs="Times New Roman"/>
          <w:sz w:val="24"/>
          <w:szCs w:val="24"/>
        </w:rPr>
      </w:pPr>
    </w:p>
    <w:p w:rsidR="00445C05" w:rsidRPr="00670F01" w:rsidRDefault="00445C05" w:rsidP="00933CD7">
      <w:pPr>
        <w:jc w:val="both"/>
        <w:rPr>
          <w:rFonts w:ascii="Times New Roman" w:hAnsi="Times New Roman" w:cs="Times New Roman"/>
          <w:sz w:val="24"/>
          <w:szCs w:val="24"/>
        </w:rPr>
      </w:pPr>
    </w:p>
    <w:p w:rsidR="00445C05" w:rsidRPr="00670F01" w:rsidRDefault="00445C05" w:rsidP="00933CD7">
      <w:pPr>
        <w:jc w:val="both"/>
        <w:rPr>
          <w:rFonts w:ascii="Times New Roman" w:hAnsi="Times New Roman" w:cs="Times New Roman"/>
          <w:sz w:val="24"/>
          <w:szCs w:val="24"/>
        </w:rPr>
      </w:pPr>
    </w:p>
    <w:p w:rsidR="00445C05" w:rsidRPr="00670F01" w:rsidRDefault="00445C05" w:rsidP="00933CD7">
      <w:pPr>
        <w:jc w:val="both"/>
        <w:rPr>
          <w:rFonts w:ascii="Times New Roman" w:hAnsi="Times New Roman" w:cs="Times New Roman"/>
          <w:sz w:val="24"/>
          <w:szCs w:val="24"/>
        </w:rPr>
      </w:pPr>
      <w:r w:rsidRPr="00670F01">
        <w:rPr>
          <w:rFonts w:ascii="Times New Roman" w:hAnsi="Times New Roman" w:cs="Times New Roman"/>
          <w:b/>
          <w:sz w:val="24"/>
          <w:szCs w:val="24"/>
        </w:rPr>
        <w:t>MODULE:</w:t>
      </w:r>
      <w:r w:rsidRPr="00670F01">
        <w:rPr>
          <w:rFonts w:ascii="Times New Roman" w:hAnsi="Times New Roman" w:cs="Times New Roman"/>
          <w:sz w:val="24"/>
          <w:szCs w:val="24"/>
        </w:rPr>
        <w:t xml:space="preserve">             ICT FOR DEVELOPMENT</w:t>
      </w:r>
    </w:p>
    <w:p w:rsidR="00445C05" w:rsidRPr="00670F01" w:rsidRDefault="00445C05" w:rsidP="00933CD7">
      <w:pPr>
        <w:spacing w:after="0" w:line="240" w:lineRule="auto"/>
        <w:jc w:val="both"/>
        <w:rPr>
          <w:rFonts w:ascii="Times New Roman" w:hAnsi="Times New Roman" w:cs="Times New Roman"/>
          <w:sz w:val="24"/>
          <w:szCs w:val="24"/>
        </w:rPr>
      </w:pPr>
      <w:r w:rsidRPr="00670F01">
        <w:rPr>
          <w:rFonts w:ascii="Times New Roman" w:hAnsi="Times New Roman" w:cs="Times New Roman"/>
          <w:b/>
          <w:sz w:val="24"/>
          <w:szCs w:val="24"/>
        </w:rPr>
        <w:t>CODE:</w:t>
      </w:r>
      <w:r w:rsidRPr="00670F01">
        <w:rPr>
          <w:rFonts w:ascii="Times New Roman" w:hAnsi="Times New Roman" w:cs="Times New Roman"/>
          <w:sz w:val="24"/>
          <w:szCs w:val="24"/>
        </w:rPr>
        <w:t xml:space="preserve">                   ITT 06203</w:t>
      </w:r>
    </w:p>
    <w:p w:rsidR="00445C05" w:rsidRPr="00670F01" w:rsidRDefault="00445C05" w:rsidP="00933CD7">
      <w:pPr>
        <w:spacing w:after="0" w:line="240" w:lineRule="auto"/>
        <w:jc w:val="both"/>
        <w:rPr>
          <w:rFonts w:ascii="Times New Roman" w:hAnsi="Times New Roman" w:cs="Times New Roman"/>
          <w:sz w:val="24"/>
          <w:szCs w:val="24"/>
        </w:rPr>
      </w:pPr>
    </w:p>
    <w:p w:rsidR="00445C05" w:rsidRPr="00670F01" w:rsidRDefault="00445C05" w:rsidP="00933CD7">
      <w:pPr>
        <w:spacing w:after="0" w:line="240" w:lineRule="auto"/>
        <w:jc w:val="both"/>
        <w:rPr>
          <w:rFonts w:ascii="Times New Roman" w:hAnsi="Times New Roman" w:cs="Times New Roman"/>
          <w:sz w:val="24"/>
          <w:szCs w:val="24"/>
        </w:rPr>
      </w:pPr>
      <w:r w:rsidRPr="00670F01">
        <w:rPr>
          <w:rFonts w:ascii="Times New Roman" w:hAnsi="Times New Roman" w:cs="Times New Roman"/>
          <w:b/>
          <w:sz w:val="24"/>
          <w:szCs w:val="24"/>
        </w:rPr>
        <w:t>LECTURE:</w:t>
      </w:r>
      <w:r w:rsidRPr="00670F01">
        <w:rPr>
          <w:rFonts w:ascii="Times New Roman" w:hAnsi="Times New Roman" w:cs="Times New Roman"/>
          <w:sz w:val="24"/>
          <w:szCs w:val="24"/>
        </w:rPr>
        <w:t xml:space="preserve">           HAMIS MASHAKA</w:t>
      </w:r>
    </w:p>
    <w:p w:rsidR="000F236F" w:rsidRPr="00670F01" w:rsidRDefault="000F236F" w:rsidP="00933CD7">
      <w:pPr>
        <w:spacing w:after="0" w:line="240" w:lineRule="auto"/>
        <w:jc w:val="both"/>
        <w:rPr>
          <w:rFonts w:ascii="Times New Roman" w:hAnsi="Times New Roman" w:cs="Times New Roman"/>
          <w:sz w:val="24"/>
          <w:szCs w:val="24"/>
        </w:rPr>
      </w:pPr>
    </w:p>
    <w:p w:rsidR="00445C05" w:rsidRPr="00670F01" w:rsidRDefault="00445C05" w:rsidP="00933CD7">
      <w:pPr>
        <w:jc w:val="both"/>
        <w:rPr>
          <w:sz w:val="24"/>
          <w:szCs w:val="24"/>
        </w:rPr>
      </w:pPr>
    </w:p>
    <w:p w:rsidR="00445C05" w:rsidRPr="00670F01" w:rsidRDefault="000F236F" w:rsidP="00933CD7">
      <w:pPr>
        <w:jc w:val="both"/>
        <w:rPr>
          <w:rFonts w:ascii="Times New Roman" w:hAnsi="Times New Roman" w:cs="Times New Roman"/>
          <w:b/>
          <w:sz w:val="24"/>
          <w:szCs w:val="24"/>
        </w:rPr>
      </w:pPr>
      <w:r w:rsidRPr="00670F01">
        <w:rPr>
          <w:rFonts w:ascii="Times New Roman" w:hAnsi="Times New Roman" w:cs="Times New Roman"/>
          <w:b/>
          <w:sz w:val="24"/>
          <w:szCs w:val="24"/>
        </w:rPr>
        <w:t>QUESTION NO 4</w:t>
      </w:r>
    </w:p>
    <w:p w:rsidR="000F236F" w:rsidRPr="00670F01" w:rsidRDefault="00753892" w:rsidP="00933CD7">
      <w:pPr>
        <w:spacing w:after="240"/>
        <w:jc w:val="both"/>
        <w:rPr>
          <w:rFonts w:ascii="Times New Roman" w:hAnsi="Times New Roman" w:cs="Times New Roman"/>
          <w:sz w:val="24"/>
          <w:szCs w:val="24"/>
        </w:rPr>
      </w:pPr>
      <w:r w:rsidRPr="00670F01">
        <w:rPr>
          <w:rFonts w:ascii="Times New Roman" w:hAnsi="Times New Roman" w:cs="Times New Roman"/>
          <w:sz w:val="24"/>
          <w:szCs w:val="24"/>
        </w:rPr>
        <w:t>To discuss how ICT can contribute in the eradication of corruption</w:t>
      </w:r>
    </w:p>
    <w:p w:rsidR="000F236F" w:rsidRPr="00670F01" w:rsidRDefault="00C13199" w:rsidP="00933CD7">
      <w:pPr>
        <w:jc w:val="both"/>
        <w:rPr>
          <w:rFonts w:ascii="Times New Roman" w:hAnsi="Times New Roman" w:cs="Times New Roman"/>
          <w:b/>
          <w:sz w:val="24"/>
          <w:szCs w:val="24"/>
        </w:rPr>
      </w:pPr>
      <w:r w:rsidRPr="00670F01">
        <w:rPr>
          <w:rFonts w:ascii="Times New Roman" w:hAnsi="Times New Roman" w:cs="Times New Roman"/>
          <w:b/>
          <w:sz w:val="24"/>
          <w:szCs w:val="24"/>
        </w:rPr>
        <w:t>QUESTION NO 6</w:t>
      </w:r>
    </w:p>
    <w:p w:rsidR="00445C05" w:rsidRDefault="000F236F" w:rsidP="00933CD7">
      <w:pPr>
        <w:jc w:val="both"/>
        <w:rPr>
          <w:rFonts w:ascii="Times New Roman" w:hAnsi="Times New Roman" w:cs="Times New Roman"/>
          <w:bCs/>
          <w:color w:val="000000" w:themeColor="text1"/>
          <w:sz w:val="24"/>
          <w:szCs w:val="24"/>
        </w:rPr>
      </w:pPr>
      <w:r w:rsidRPr="00670F01">
        <w:rPr>
          <w:rFonts w:ascii="Times New Roman" w:hAnsi="Times New Roman" w:cs="Times New Roman"/>
          <w:bCs/>
          <w:color w:val="000000" w:themeColor="text1"/>
          <w:sz w:val="24"/>
          <w:szCs w:val="24"/>
        </w:rPr>
        <w:t>How ict can contribute in accomplishing the development vision 2025</w:t>
      </w:r>
    </w:p>
    <w:p w:rsidR="00670F01" w:rsidRDefault="00670F01" w:rsidP="00933CD7">
      <w:pPr>
        <w:jc w:val="both"/>
        <w:rPr>
          <w:rFonts w:ascii="Times New Roman" w:hAnsi="Times New Roman" w:cs="Times New Roman"/>
          <w:bCs/>
          <w:color w:val="000000" w:themeColor="text1"/>
          <w:sz w:val="24"/>
          <w:szCs w:val="24"/>
        </w:rPr>
      </w:pPr>
    </w:p>
    <w:p w:rsidR="00670F01" w:rsidRPr="00670F01" w:rsidRDefault="00670F01" w:rsidP="00933CD7">
      <w:pPr>
        <w:jc w:val="both"/>
        <w:rPr>
          <w:rFonts w:ascii="Times New Roman" w:hAnsi="Times New Roman" w:cs="Times New Roman"/>
          <w:bCs/>
          <w:color w:val="000000" w:themeColor="text1"/>
          <w:sz w:val="24"/>
          <w:szCs w:val="24"/>
        </w:rPr>
      </w:pPr>
    </w:p>
    <w:p w:rsidR="00894B7F" w:rsidRPr="00670F01" w:rsidRDefault="005272CB" w:rsidP="00933CD7">
      <w:pPr>
        <w:jc w:val="both"/>
        <w:rPr>
          <w:rFonts w:ascii="Times New Roman" w:hAnsi="Times New Roman" w:cs="Times New Roman"/>
          <w:sz w:val="24"/>
          <w:szCs w:val="24"/>
        </w:rPr>
      </w:pPr>
      <w:r w:rsidRPr="00670F01">
        <w:rPr>
          <w:rFonts w:ascii="Times New Roman" w:hAnsi="Times New Roman" w:cs="Times New Roman"/>
          <w:sz w:val="24"/>
          <w:szCs w:val="24"/>
        </w:rPr>
        <w:lastRenderedPageBreak/>
        <w:t>ANSWER TO QUESTION NO 5</w:t>
      </w:r>
    </w:p>
    <w:p w:rsidR="005272CB" w:rsidRPr="00670F01" w:rsidRDefault="00187183" w:rsidP="00933CD7">
      <w:pPr>
        <w:jc w:val="both"/>
        <w:rPr>
          <w:rFonts w:ascii="Times New Roman" w:hAnsi="Times New Roman" w:cs="Times New Roman"/>
          <w:sz w:val="24"/>
          <w:szCs w:val="24"/>
        </w:rPr>
      </w:pPr>
      <w:r w:rsidRPr="00670F01">
        <w:rPr>
          <w:rFonts w:ascii="Times New Roman" w:hAnsi="Times New Roman" w:cs="Times New Roman"/>
          <w:sz w:val="24"/>
          <w:szCs w:val="24"/>
        </w:rPr>
        <w:t>Corruption</w:t>
      </w:r>
      <w:r w:rsidRPr="00670F01">
        <w:rPr>
          <w:rFonts w:ascii="Times New Roman" w:hAnsi="Times New Roman" w:cs="Times New Roman"/>
          <w:sz w:val="24"/>
          <w:szCs w:val="24"/>
          <w:shd w:val="clear" w:color="auto" w:fill="FFFFFF"/>
        </w:rPr>
        <w:t xml:space="preserve"> is the misuse of </w:t>
      </w:r>
      <w:r w:rsidRPr="00670F01">
        <w:rPr>
          <w:rStyle w:val="Emphasis"/>
          <w:rFonts w:ascii="Times New Roman" w:hAnsi="Times New Roman" w:cs="Times New Roman"/>
          <w:sz w:val="24"/>
          <w:szCs w:val="24"/>
          <w:shd w:val="clear" w:color="auto" w:fill="FFFFFF"/>
        </w:rPr>
        <w:t>public</w:t>
      </w:r>
      <w:r w:rsidRPr="00670F01">
        <w:rPr>
          <w:rFonts w:ascii="Times New Roman" w:hAnsi="Times New Roman" w:cs="Times New Roman"/>
          <w:sz w:val="24"/>
          <w:szCs w:val="24"/>
          <w:shd w:val="clear" w:color="auto" w:fill="FFFFFF"/>
        </w:rPr>
        <w:t> power (by elected politician or appointed civil servant) for private gain.</w:t>
      </w:r>
    </w:p>
    <w:p w:rsidR="005272CB" w:rsidRPr="00670F01" w:rsidRDefault="005272CB" w:rsidP="00933CD7">
      <w:pPr>
        <w:pStyle w:val="ListParagraph"/>
        <w:numPr>
          <w:ilvl w:val="0"/>
          <w:numId w:val="18"/>
        </w:numPr>
        <w:spacing w:before="100" w:beforeAutospacing="1" w:after="100" w:afterAutospacing="1" w:line="240" w:lineRule="auto"/>
        <w:jc w:val="both"/>
        <w:rPr>
          <w:rFonts w:ascii="Times New Roman" w:eastAsia="Times New Roman" w:hAnsi="Times New Roman" w:cs="Times New Roman"/>
          <w:color w:val="141414"/>
          <w:sz w:val="24"/>
          <w:szCs w:val="24"/>
        </w:rPr>
      </w:pPr>
      <w:r w:rsidRPr="00670F01">
        <w:rPr>
          <w:rFonts w:ascii="Times New Roman" w:eastAsia="Times New Roman" w:hAnsi="Times New Roman" w:cs="Times New Roman"/>
          <w:b/>
          <w:bCs/>
          <w:color w:val="141414"/>
          <w:sz w:val="24"/>
          <w:szCs w:val="24"/>
        </w:rPr>
        <w:t>Mobile Applications</w:t>
      </w:r>
    </w:p>
    <w:p w:rsidR="005272CB" w:rsidRDefault="005272CB" w:rsidP="00933CD7">
      <w:pPr>
        <w:pStyle w:val="ListParagraph"/>
        <w:spacing w:before="100" w:beforeAutospacing="1" w:after="100" w:afterAutospacing="1" w:line="240" w:lineRule="auto"/>
        <w:jc w:val="both"/>
        <w:rPr>
          <w:rFonts w:ascii="Times New Roman" w:eastAsia="Times New Roman" w:hAnsi="Times New Roman" w:cs="Times New Roman"/>
          <w:color w:val="141414"/>
          <w:sz w:val="24"/>
          <w:szCs w:val="24"/>
        </w:rPr>
      </w:pPr>
      <w:r w:rsidRPr="00670F01">
        <w:rPr>
          <w:rFonts w:ascii="Times New Roman" w:eastAsia="Times New Roman" w:hAnsi="Times New Roman" w:cs="Times New Roman"/>
          <w:color w:val="141414"/>
          <w:sz w:val="24"/>
          <w:szCs w:val="24"/>
        </w:rPr>
        <w:t>Mobile technology and applications are being utilized to harness data and gain faster insights. In developing countries this technology is being used to empower citizens in remote areas, making information more accessible and there is no reason why the success of this technology could not be used in the fight against corruption.</w:t>
      </w:r>
    </w:p>
    <w:p w:rsidR="00514D7A" w:rsidRPr="00670F01" w:rsidRDefault="00514D7A" w:rsidP="00933CD7">
      <w:pPr>
        <w:pStyle w:val="ListParagraph"/>
        <w:spacing w:before="100" w:beforeAutospacing="1" w:after="100" w:afterAutospacing="1" w:line="240" w:lineRule="auto"/>
        <w:jc w:val="both"/>
        <w:rPr>
          <w:rFonts w:ascii="Times New Roman" w:eastAsia="Times New Roman" w:hAnsi="Times New Roman" w:cs="Times New Roman"/>
          <w:color w:val="141414"/>
          <w:sz w:val="24"/>
          <w:szCs w:val="24"/>
        </w:rPr>
      </w:pPr>
    </w:p>
    <w:p w:rsidR="000402FA" w:rsidRPr="00670F01" w:rsidRDefault="000402FA" w:rsidP="00933CD7">
      <w:pPr>
        <w:pStyle w:val="ListParagraph"/>
        <w:numPr>
          <w:ilvl w:val="0"/>
          <w:numId w:val="18"/>
        </w:numPr>
        <w:spacing w:before="100" w:beforeAutospacing="1" w:after="100" w:afterAutospacing="1" w:line="240" w:lineRule="auto"/>
        <w:jc w:val="both"/>
        <w:rPr>
          <w:rFonts w:ascii="Times New Roman" w:eastAsia="Times New Roman" w:hAnsi="Times New Roman" w:cs="Times New Roman"/>
          <w:b/>
          <w:bCs/>
          <w:color w:val="141414"/>
          <w:sz w:val="24"/>
          <w:szCs w:val="24"/>
        </w:rPr>
      </w:pPr>
      <w:r w:rsidRPr="00670F01">
        <w:rPr>
          <w:rFonts w:ascii="Times New Roman" w:eastAsia="Times New Roman" w:hAnsi="Times New Roman" w:cs="Times New Roman"/>
          <w:b/>
          <w:bCs/>
          <w:color w:val="141414"/>
          <w:sz w:val="24"/>
          <w:szCs w:val="24"/>
        </w:rPr>
        <w:t>Automate tax collection</w:t>
      </w:r>
    </w:p>
    <w:p w:rsidR="000402FA" w:rsidRDefault="000402FA" w:rsidP="00933CD7">
      <w:pPr>
        <w:pStyle w:val="ListParagraph"/>
        <w:spacing w:before="100" w:beforeAutospacing="1" w:after="100" w:afterAutospacing="1" w:line="240" w:lineRule="auto"/>
        <w:jc w:val="both"/>
        <w:rPr>
          <w:rFonts w:ascii="Times New Roman" w:eastAsia="Times New Roman" w:hAnsi="Times New Roman" w:cs="Times New Roman"/>
          <w:color w:val="141414"/>
          <w:sz w:val="24"/>
          <w:szCs w:val="24"/>
        </w:rPr>
      </w:pPr>
      <w:r w:rsidRPr="00670F01">
        <w:rPr>
          <w:rFonts w:ascii="Times New Roman" w:eastAsia="Times New Roman" w:hAnsi="Times New Roman" w:cs="Times New Roman"/>
          <w:color w:val="141414"/>
          <w:sz w:val="24"/>
          <w:szCs w:val="24"/>
        </w:rPr>
        <w:t>Automation is playing an important contribution to reducing discretionary practices in tax collection. Taxpayers hoping to pay less and tax administrators hoping to earn more can easily lead to bribery and corruption in the tax office. Example in Afghanistan, they implemented an automated tax administration system that moved taxpayer information from being hidden in a desk drawer to being recorded electronically and only accessed by the people who need it</w:t>
      </w:r>
      <w:r w:rsidRPr="00670F01">
        <w:rPr>
          <w:rFonts w:ascii="Georgia" w:eastAsia="Times New Roman" w:hAnsi="Georgia" w:cs="Times New Roman"/>
          <w:color w:val="121212"/>
          <w:sz w:val="24"/>
          <w:szCs w:val="24"/>
        </w:rPr>
        <w:t>.</w:t>
      </w:r>
      <w:r w:rsidR="00CF2418" w:rsidRPr="00670F01">
        <w:rPr>
          <w:rFonts w:ascii="Georgia" w:eastAsia="Times New Roman" w:hAnsi="Georgia" w:cs="Times New Roman"/>
          <w:color w:val="121212"/>
          <w:sz w:val="24"/>
          <w:szCs w:val="24"/>
        </w:rPr>
        <w:t xml:space="preserve"> </w:t>
      </w:r>
      <w:r w:rsidR="00CF2418" w:rsidRPr="00670F01">
        <w:rPr>
          <w:rFonts w:ascii="Times New Roman" w:eastAsia="Times New Roman" w:hAnsi="Times New Roman" w:cs="Times New Roman"/>
          <w:color w:val="141414"/>
          <w:sz w:val="24"/>
          <w:szCs w:val="24"/>
        </w:rPr>
        <w:t xml:space="preserve">This helped reduce opportunities for corruption. </w:t>
      </w:r>
    </w:p>
    <w:p w:rsidR="00514D7A" w:rsidRPr="00670F01" w:rsidRDefault="00514D7A" w:rsidP="00933CD7">
      <w:pPr>
        <w:pStyle w:val="ListParagraph"/>
        <w:spacing w:before="100" w:beforeAutospacing="1" w:after="100" w:afterAutospacing="1" w:line="240" w:lineRule="auto"/>
        <w:jc w:val="both"/>
        <w:rPr>
          <w:rFonts w:ascii="Times New Roman" w:eastAsia="Times New Roman" w:hAnsi="Times New Roman" w:cs="Times New Roman"/>
          <w:b/>
          <w:bCs/>
          <w:color w:val="141414"/>
          <w:sz w:val="24"/>
          <w:szCs w:val="24"/>
        </w:rPr>
      </w:pPr>
    </w:p>
    <w:p w:rsidR="00514D7A" w:rsidRPr="00514D7A" w:rsidRDefault="00FD26EA" w:rsidP="00933CD7">
      <w:pPr>
        <w:pStyle w:val="ListParagraph"/>
        <w:numPr>
          <w:ilvl w:val="0"/>
          <w:numId w:val="18"/>
        </w:numPr>
        <w:jc w:val="both"/>
        <w:rPr>
          <w:rFonts w:ascii="Times New Roman" w:hAnsi="Times New Roman" w:cs="Times New Roman"/>
          <w:sz w:val="24"/>
          <w:szCs w:val="24"/>
        </w:rPr>
      </w:pPr>
      <w:r w:rsidRPr="00670F01">
        <w:rPr>
          <w:rFonts w:ascii="Times New Roman" w:eastAsia="Times New Roman" w:hAnsi="Times New Roman" w:cs="Times New Roman"/>
          <w:b/>
          <w:color w:val="141414"/>
          <w:sz w:val="24"/>
          <w:szCs w:val="24"/>
        </w:rPr>
        <w:t xml:space="preserve">Awareness raising </w:t>
      </w:r>
      <w:r w:rsidR="00455B68" w:rsidRPr="00670F01">
        <w:rPr>
          <w:rFonts w:ascii="Times New Roman" w:eastAsia="Times New Roman" w:hAnsi="Times New Roman" w:cs="Times New Roman"/>
          <w:b/>
          <w:color w:val="141414"/>
          <w:sz w:val="24"/>
          <w:szCs w:val="24"/>
        </w:rPr>
        <w:t>function</w:t>
      </w:r>
      <w:r w:rsidR="00455B68" w:rsidRPr="00670F01">
        <w:rPr>
          <w:rFonts w:ascii="Times New Roman" w:eastAsia="Times New Roman" w:hAnsi="Times New Roman" w:cs="Times New Roman"/>
          <w:color w:val="141414"/>
          <w:sz w:val="24"/>
          <w:szCs w:val="24"/>
        </w:rPr>
        <w:t xml:space="preserve">, </w:t>
      </w:r>
    </w:p>
    <w:p w:rsidR="00FD26EA" w:rsidRDefault="00455B68" w:rsidP="00514D7A">
      <w:pPr>
        <w:pStyle w:val="ListParagraph"/>
        <w:jc w:val="both"/>
        <w:rPr>
          <w:rFonts w:ascii="Times New Roman" w:eastAsia="Times New Roman" w:hAnsi="Times New Roman" w:cs="Times New Roman"/>
          <w:color w:val="141414"/>
          <w:sz w:val="24"/>
          <w:szCs w:val="24"/>
        </w:rPr>
      </w:pPr>
      <w:r w:rsidRPr="00670F01">
        <w:rPr>
          <w:rFonts w:ascii="Times New Roman" w:eastAsia="Times New Roman" w:hAnsi="Times New Roman" w:cs="Times New Roman"/>
          <w:color w:val="141414"/>
          <w:sz w:val="24"/>
          <w:szCs w:val="24"/>
        </w:rPr>
        <w:t>First</w:t>
      </w:r>
      <w:r w:rsidR="00FD26EA" w:rsidRPr="00670F01">
        <w:rPr>
          <w:rFonts w:ascii="Times New Roman" w:eastAsia="Times New Roman" w:hAnsi="Times New Roman" w:cs="Times New Roman"/>
          <w:color w:val="141414"/>
          <w:sz w:val="24"/>
          <w:szCs w:val="24"/>
        </w:rPr>
        <w:t>, icts have a remarkable value-diffusion capacity and are therefore key to raising awareness about specific governance problems, such as corruption in all its forms. “Web- based technologies and services which include blogs, wikis, social bookmarking, media-sharing services, collaborative editing tools, and social networking services” (Bertot et al. 2010), have been widely used to promote openness in cases in which the  government is resistant to transparency or in which the levels of probity of office holders have deteriorated.</w:t>
      </w:r>
    </w:p>
    <w:p w:rsidR="00514D7A" w:rsidRPr="00670F01" w:rsidRDefault="00514D7A" w:rsidP="00514D7A">
      <w:pPr>
        <w:pStyle w:val="ListParagraph"/>
        <w:jc w:val="both"/>
        <w:rPr>
          <w:rFonts w:ascii="Times New Roman" w:hAnsi="Times New Roman" w:cs="Times New Roman"/>
          <w:sz w:val="24"/>
          <w:szCs w:val="24"/>
        </w:rPr>
      </w:pPr>
    </w:p>
    <w:p w:rsidR="00514D7A" w:rsidRPr="00514D7A" w:rsidRDefault="00B97711" w:rsidP="00933CD7">
      <w:pPr>
        <w:pStyle w:val="ListParagraph"/>
        <w:numPr>
          <w:ilvl w:val="0"/>
          <w:numId w:val="18"/>
        </w:numPr>
        <w:jc w:val="both"/>
        <w:rPr>
          <w:rFonts w:ascii="Times New Roman" w:eastAsia="Times New Roman" w:hAnsi="Times New Roman" w:cs="Times New Roman"/>
          <w:color w:val="141414"/>
          <w:sz w:val="24"/>
          <w:szCs w:val="24"/>
        </w:rPr>
      </w:pPr>
      <w:r w:rsidRPr="00670F01">
        <w:rPr>
          <w:rFonts w:ascii="Times New Roman" w:eastAsia="Times New Roman" w:hAnsi="Times New Roman" w:cs="Times New Roman"/>
          <w:b/>
          <w:color w:val="141414"/>
          <w:sz w:val="24"/>
          <w:szCs w:val="24"/>
        </w:rPr>
        <w:t>Compliance function</w:t>
      </w:r>
      <w:r w:rsidR="00C967A4" w:rsidRPr="00670F01">
        <w:rPr>
          <w:rFonts w:ascii="Times New Roman" w:eastAsia="Times New Roman" w:hAnsi="Times New Roman" w:cs="Times New Roman"/>
          <w:b/>
          <w:color w:val="141414"/>
          <w:sz w:val="24"/>
          <w:szCs w:val="24"/>
        </w:rPr>
        <w:t>,</w:t>
      </w:r>
    </w:p>
    <w:p w:rsidR="00B97711" w:rsidRDefault="00C967A4" w:rsidP="00514D7A">
      <w:pPr>
        <w:pStyle w:val="ListParagraph"/>
        <w:jc w:val="both"/>
        <w:rPr>
          <w:rFonts w:ascii="Times New Roman" w:eastAsia="Times New Roman" w:hAnsi="Times New Roman" w:cs="Times New Roman"/>
          <w:color w:val="141414"/>
          <w:sz w:val="24"/>
          <w:szCs w:val="24"/>
        </w:rPr>
      </w:pPr>
      <w:r w:rsidRPr="00670F01">
        <w:rPr>
          <w:rFonts w:ascii="Times New Roman" w:eastAsia="Times New Roman" w:hAnsi="Times New Roman" w:cs="Times New Roman"/>
          <w:color w:val="141414"/>
          <w:sz w:val="24"/>
          <w:szCs w:val="24"/>
        </w:rPr>
        <w:t xml:space="preserve"> ict</w:t>
      </w:r>
      <w:r w:rsidR="00B97711" w:rsidRPr="00670F01">
        <w:rPr>
          <w:rFonts w:ascii="Times New Roman" w:eastAsia="Times New Roman" w:hAnsi="Times New Roman" w:cs="Times New Roman"/>
          <w:color w:val="141414"/>
          <w:sz w:val="24"/>
          <w:szCs w:val="24"/>
        </w:rPr>
        <w:t xml:space="preserve"> platforms can also be used to enforce ethical standards within an organization. These tools have been primarily developed in the private sector as a means for businesses to monitor, signal, and manage conduct or practices by employees and senior managers that could hinder the organization from reliably achieving its objectives and harm its reputation. </w:t>
      </w:r>
      <w:r w:rsidRPr="00670F01">
        <w:rPr>
          <w:rFonts w:ascii="Times New Roman" w:eastAsia="Times New Roman" w:hAnsi="Times New Roman" w:cs="Times New Roman"/>
          <w:color w:val="141414"/>
          <w:sz w:val="24"/>
          <w:szCs w:val="24"/>
        </w:rPr>
        <w:t>Reliability</w:t>
      </w:r>
      <w:r w:rsidR="00B97711" w:rsidRPr="00670F01">
        <w:rPr>
          <w:rFonts w:ascii="Times New Roman" w:eastAsia="Times New Roman" w:hAnsi="Times New Roman" w:cs="Times New Roman"/>
          <w:color w:val="141414"/>
          <w:sz w:val="24"/>
          <w:szCs w:val="24"/>
        </w:rPr>
        <w:t xml:space="preserve"> and broadening the deployment of cutting- edge technologies that can identify and prevent the fraudulent use of public funds.</w:t>
      </w:r>
    </w:p>
    <w:p w:rsidR="00514D7A" w:rsidRPr="00670F01" w:rsidRDefault="00514D7A" w:rsidP="00514D7A">
      <w:pPr>
        <w:pStyle w:val="ListParagraph"/>
        <w:jc w:val="both"/>
        <w:rPr>
          <w:rFonts w:ascii="Times New Roman" w:eastAsia="Times New Roman" w:hAnsi="Times New Roman" w:cs="Times New Roman"/>
          <w:color w:val="141414"/>
          <w:sz w:val="24"/>
          <w:szCs w:val="24"/>
        </w:rPr>
      </w:pPr>
    </w:p>
    <w:p w:rsidR="00514D7A" w:rsidRPr="00514D7A" w:rsidRDefault="00CB2B0E" w:rsidP="00933CD7">
      <w:pPr>
        <w:pStyle w:val="ListParagraph"/>
        <w:numPr>
          <w:ilvl w:val="0"/>
          <w:numId w:val="18"/>
        </w:numPr>
        <w:jc w:val="both"/>
        <w:rPr>
          <w:rFonts w:ascii="Times New Roman" w:eastAsia="Times New Roman" w:hAnsi="Times New Roman" w:cs="Times New Roman"/>
          <w:color w:val="141414"/>
          <w:sz w:val="24"/>
          <w:szCs w:val="24"/>
        </w:rPr>
      </w:pPr>
      <w:r w:rsidRPr="00670F01">
        <w:rPr>
          <w:rFonts w:ascii="Times New Roman" w:eastAsia="Times New Roman" w:hAnsi="Times New Roman" w:cs="Times New Roman"/>
          <w:b/>
          <w:color w:val="141414"/>
          <w:sz w:val="24"/>
          <w:szCs w:val="24"/>
        </w:rPr>
        <w:t>Risk-management function</w:t>
      </w:r>
    </w:p>
    <w:p w:rsidR="00CB2B0E" w:rsidRDefault="00CB2B0E" w:rsidP="00514D7A">
      <w:pPr>
        <w:pStyle w:val="ListParagraph"/>
        <w:jc w:val="both"/>
        <w:rPr>
          <w:rFonts w:ascii="Times New Roman" w:eastAsia="Times New Roman" w:hAnsi="Times New Roman" w:cs="Times New Roman"/>
          <w:color w:val="141414"/>
          <w:sz w:val="24"/>
          <w:szCs w:val="24"/>
        </w:rPr>
      </w:pPr>
      <w:r w:rsidRPr="00670F01">
        <w:rPr>
          <w:rFonts w:ascii="Times New Roman" w:eastAsia="Times New Roman" w:hAnsi="Times New Roman" w:cs="Times New Roman"/>
          <w:color w:val="141414"/>
          <w:sz w:val="24"/>
          <w:szCs w:val="24"/>
        </w:rPr>
        <w:t xml:space="preserve">,ict can markedly reduce corruption risks by providing low-cost online platforms to monitor and promote more inclusive, transparent, and accountable  decision-making, thus reducing the cost of collecting, distributing, and accessing government information </w:t>
      </w:r>
      <w:r w:rsidR="00514D7A">
        <w:rPr>
          <w:rFonts w:ascii="Times New Roman" w:eastAsia="Times New Roman" w:hAnsi="Times New Roman" w:cs="Times New Roman"/>
          <w:color w:val="141414"/>
          <w:sz w:val="24"/>
          <w:szCs w:val="24"/>
        </w:rPr>
        <w:t>,</w:t>
      </w:r>
      <w:r w:rsidRPr="00670F01">
        <w:rPr>
          <w:rFonts w:ascii="Times New Roman" w:eastAsia="Times New Roman" w:hAnsi="Times New Roman" w:cs="Times New Roman"/>
          <w:color w:val="141414"/>
          <w:sz w:val="24"/>
          <w:szCs w:val="24"/>
        </w:rPr>
        <w:t>In other words, by reducing the human-factor in the principal-agent-client equation and the direct contact and familiarity between agents and clients, these technological solutions can help to mitigate rent-seeking behavior</w:t>
      </w:r>
    </w:p>
    <w:p w:rsidR="00514D7A" w:rsidRDefault="00514D7A" w:rsidP="00514D7A">
      <w:pPr>
        <w:pStyle w:val="ListParagraph"/>
        <w:jc w:val="both"/>
        <w:rPr>
          <w:rFonts w:ascii="Times New Roman" w:eastAsia="Times New Roman" w:hAnsi="Times New Roman" w:cs="Times New Roman"/>
          <w:color w:val="141414"/>
          <w:sz w:val="24"/>
          <w:szCs w:val="24"/>
        </w:rPr>
      </w:pPr>
    </w:p>
    <w:p w:rsidR="00514D7A" w:rsidRPr="00670F01" w:rsidRDefault="00514D7A" w:rsidP="00514D7A">
      <w:pPr>
        <w:pStyle w:val="ListParagraph"/>
        <w:jc w:val="both"/>
        <w:rPr>
          <w:rFonts w:ascii="Times New Roman" w:eastAsia="Times New Roman" w:hAnsi="Times New Roman" w:cs="Times New Roman"/>
          <w:color w:val="141414"/>
          <w:sz w:val="24"/>
          <w:szCs w:val="24"/>
        </w:rPr>
      </w:pPr>
    </w:p>
    <w:p w:rsidR="00514D7A" w:rsidRPr="00514D7A" w:rsidRDefault="00CB2B0E" w:rsidP="00514D7A">
      <w:pPr>
        <w:pStyle w:val="ListParagraph"/>
        <w:numPr>
          <w:ilvl w:val="0"/>
          <w:numId w:val="18"/>
        </w:numPr>
        <w:spacing w:before="100" w:beforeAutospacing="1" w:after="100" w:afterAutospacing="1" w:line="240" w:lineRule="auto"/>
        <w:jc w:val="both"/>
        <w:rPr>
          <w:rFonts w:ascii="Times New Roman" w:eastAsia="Times New Roman" w:hAnsi="Times New Roman" w:cs="Times New Roman"/>
          <w:color w:val="141414"/>
          <w:sz w:val="24"/>
          <w:szCs w:val="24"/>
        </w:rPr>
      </w:pPr>
      <w:r w:rsidRPr="00514D7A">
        <w:rPr>
          <w:rFonts w:ascii="Times New Roman" w:eastAsia="Times New Roman" w:hAnsi="Times New Roman" w:cs="Times New Roman"/>
          <w:b/>
          <w:color w:val="141414"/>
          <w:sz w:val="24"/>
          <w:szCs w:val="24"/>
        </w:rPr>
        <w:lastRenderedPageBreak/>
        <w:t>Data mining</w:t>
      </w:r>
    </w:p>
    <w:p w:rsidR="00CB2B0E" w:rsidRPr="00514D7A" w:rsidRDefault="00CB2B0E" w:rsidP="00514D7A">
      <w:pPr>
        <w:pStyle w:val="ListParagraph"/>
        <w:spacing w:before="100" w:beforeAutospacing="1" w:after="100" w:afterAutospacing="1" w:line="240" w:lineRule="auto"/>
        <w:jc w:val="both"/>
        <w:rPr>
          <w:rFonts w:ascii="Times New Roman" w:eastAsia="Times New Roman" w:hAnsi="Times New Roman" w:cs="Times New Roman"/>
          <w:color w:val="141414"/>
          <w:sz w:val="24"/>
          <w:szCs w:val="24"/>
        </w:rPr>
      </w:pPr>
      <w:r w:rsidRPr="00514D7A">
        <w:rPr>
          <w:rFonts w:ascii="Times New Roman" w:eastAsia="Times New Roman" w:hAnsi="Times New Roman" w:cs="Times New Roman"/>
          <w:color w:val="141414"/>
          <w:sz w:val="24"/>
          <w:szCs w:val="24"/>
        </w:rPr>
        <w:t>Multilateral development banks (MDBs) are following suit with a range of innovative tools to monitor and oversee processes. In public procurement, data mining is being used for auditing in order to monitor when governments are issuing bids and to identify red flags, patterns of collusion and false information. It is also being used to identify ‘corrupt intent’ </w:t>
      </w:r>
      <w:hyperlink r:id="rId9" w:tgtFrame="_blank" w:history="1">
        <w:r w:rsidRPr="00514D7A">
          <w:rPr>
            <w:rFonts w:ascii="Times New Roman" w:eastAsia="Times New Roman" w:hAnsi="Times New Roman" w:cs="Times New Roman"/>
            <w:color w:val="141414"/>
            <w:sz w:val="24"/>
            <w:szCs w:val="24"/>
          </w:rPr>
          <w:t>in payments or transactions through data visualization</w:t>
        </w:r>
      </w:hyperlink>
      <w:r w:rsidRPr="00514D7A">
        <w:rPr>
          <w:rFonts w:ascii="Times New Roman" w:eastAsia="Times New Roman" w:hAnsi="Times New Roman" w:cs="Times New Roman"/>
          <w:color w:val="141414"/>
          <w:sz w:val="24"/>
          <w:szCs w:val="24"/>
        </w:rPr>
        <w:t>. Researchers at the </w:t>
      </w:r>
      <w:hyperlink r:id="rId10" w:tgtFrame="_blank" w:history="1">
        <w:r w:rsidRPr="00514D7A">
          <w:rPr>
            <w:rFonts w:ascii="Times New Roman" w:eastAsia="Times New Roman" w:hAnsi="Times New Roman" w:cs="Times New Roman"/>
            <w:color w:val="141414"/>
            <w:sz w:val="24"/>
            <w:szCs w:val="24"/>
          </w:rPr>
          <w:t>Corruption Research Center Budapest</w:t>
        </w:r>
      </w:hyperlink>
      <w:r w:rsidRPr="00514D7A">
        <w:rPr>
          <w:rFonts w:ascii="Times New Roman" w:eastAsia="Times New Roman" w:hAnsi="Times New Roman" w:cs="Times New Roman"/>
          <w:color w:val="141414"/>
          <w:sz w:val="24"/>
          <w:szCs w:val="24"/>
        </w:rPr>
        <w:t> have examined huge volumes of data sets of public procurement procedures from EU countries by searching for abnormal patterns such as exceptionally short bidding periods or unusual outcomes (e.g. no competition for the winning bid, or bids repeatedly won by the same company).</w:t>
      </w:r>
    </w:p>
    <w:p w:rsidR="00CB2B0E" w:rsidRPr="00670F01" w:rsidRDefault="00C13199" w:rsidP="00933CD7">
      <w:pPr>
        <w:jc w:val="both"/>
        <w:rPr>
          <w:rFonts w:ascii="Times New Roman" w:eastAsia="Times New Roman" w:hAnsi="Times New Roman" w:cs="Times New Roman"/>
          <w:b/>
          <w:color w:val="141414"/>
          <w:sz w:val="24"/>
          <w:szCs w:val="24"/>
        </w:rPr>
      </w:pPr>
      <w:r w:rsidRPr="00670F01">
        <w:rPr>
          <w:rFonts w:ascii="Times New Roman" w:eastAsia="Times New Roman" w:hAnsi="Times New Roman" w:cs="Times New Roman"/>
          <w:b/>
          <w:color w:val="141414"/>
          <w:sz w:val="24"/>
          <w:szCs w:val="24"/>
        </w:rPr>
        <w:t>ANSWER TO QUESTION NO.6</w:t>
      </w:r>
    </w:p>
    <w:p w:rsidR="00670F01" w:rsidRPr="00670F01" w:rsidRDefault="00670F01" w:rsidP="00933CD7">
      <w:pPr>
        <w:jc w:val="both"/>
        <w:rPr>
          <w:rFonts w:ascii="Times New Roman" w:eastAsia="Times New Roman" w:hAnsi="Times New Roman" w:cs="Times New Roman"/>
          <w:b/>
          <w:sz w:val="24"/>
          <w:szCs w:val="24"/>
        </w:rPr>
      </w:pPr>
      <w:r w:rsidRPr="00670F01">
        <w:rPr>
          <w:rFonts w:ascii="Times New Roman" w:hAnsi="Times New Roman" w:cs="Times New Roman"/>
          <w:sz w:val="24"/>
          <w:szCs w:val="24"/>
          <w:shd w:val="clear" w:color="auto" w:fill="FFFFFF"/>
        </w:rPr>
        <w:t>ICT, or information and communications technology (or technologies), is the </w:t>
      </w:r>
      <w:hyperlink r:id="rId11" w:history="1">
        <w:r w:rsidRPr="00670F01">
          <w:rPr>
            <w:rStyle w:val="Hyperlink"/>
            <w:rFonts w:ascii="Times New Roman" w:hAnsi="Times New Roman" w:cs="Times New Roman"/>
            <w:color w:val="auto"/>
            <w:sz w:val="24"/>
            <w:szCs w:val="24"/>
            <w:u w:val="none"/>
            <w:shd w:val="clear" w:color="auto" w:fill="FFFFFF"/>
          </w:rPr>
          <w:t>infrastructure</w:t>
        </w:r>
      </w:hyperlink>
      <w:r w:rsidRPr="00670F01">
        <w:rPr>
          <w:rFonts w:ascii="Times New Roman" w:hAnsi="Times New Roman" w:cs="Times New Roman"/>
          <w:sz w:val="24"/>
          <w:szCs w:val="24"/>
          <w:shd w:val="clear" w:color="auto" w:fill="FFFFFF"/>
        </w:rPr>
        <w:t> and components that enable modern computing</w:t>
      </w:r>
      <w:r w:rsidRPr="00670F01">
        <w:rPr>
          <w:rFonts w:ascii="Arial" w:hAnsi="Arial" w:cs="Arial"/>
          <w:sz w:val="24"/>
          <w:szCs w:val="24"/>
          <w:shd w:val="clear" w:color="auto" w:fill="FFFFFF"/>
        </w:rPr>
        <w:t>.</w:t>
      </w:r>
    </w:p>
    <w:p w:rsidR="00C13199" w:rsidRPr="00670F01" w:rsidRDefault="00C13199" w:rsidP="00933CD7">
      <w:pPr>
        <w:jc w:val="both"/>
        <w:rPr>
          <w:rFonts w:ascii="Times New Roman" w:hAnsi="Times New Roman" w:cs="Times New Roman"/>
          <w:bCs/>
          <w:color w:val="000000" w:themeColor="text1"/>
          <w:sz w:val="24"/>
          <w:szCs w:val="24"/>
        </w:rPr>
      </w:pPr>
      <w:r w:rsidRPr="00670F01">
        <w:rPr>
          <w:rFonts w:ascii="Times New Roman" w:hAnsi="Times New Roman" w:cs="Times New Roman"/>
          <w:bCs/>
          <w:color w:val="000000" w:themeColor="text1"/>
          <w:sz w:val="24"/>
          <w:szCs w:val="24"/>
        </w:rPr>
        <w:t xml:space="preserve">ICT, can contribute in accomplishing the development vision 2025 by </w:t>
      </w:r>
      <w:r w:rsidR="00933CD7" w:rsidRPr="00670F01">
        <w:rPr>
          <w:rFonts w:ascii="Times New Roman" w:hAnsi="Times New Roman" w:cs="Times New Roman"/>
          <w:bCs/>
          <w:color w:val="000000" w:themeColor="text1"/>
          <w:sz w:val="24"/>
          <w:szCs w:val="24"/>
        </w:rPr>
        <w:t>doing</w:t>
      </w:r>
      <w:r w:rsidRPr="00670F01">
        <w:rPr>
          <w:rFonts w:ascii="Times New Roman" w:hAnsi="Times New Roman" w:cs="Times New Roman"/>
          <w:bCs/>
          <w:color w:val="000000" w:themeColor="text1"/>
          <w:sz w:val="24"/>
          <w:szCs w:val="24"/>
        </w:rPr>
        <w:t xml:space="preserve"> the following</w:t>
      </w:r>
      <w:r w:rsidR="00933CD7" w:rsidRPr="00670F01">
        <w:rPr>
          <w:rFonts w:ascii="Times New Roman" w:hAnsi="Times New Roman" w:cs="Times New Roman"/>
          <w:bCs/>
          <w:color w:val="000000" w:themeColor="text1"/>
          <w:sz w:val="24"/>
          <w:szCs w:val="24"/>
        </w:rPr>
        <w:t>,</w:t>
      </w:r>
    </w:p>
    <w:p w:rsidR="00C13199" w:rsidRPr="00670F01" w:rsidRDefault="00C13199" w:rsidP="00933CD7">
      <w:pPr>
        <w:jc w:val="both"/>
        <w:rPr>
          <w:rFonts w:ascii="Times New Roman" w:hAnsi="Times New Roman" w:cs="Times New Roman"/>
          <w:sz w:val="24"/>
          <w:szCs w:val="24"/>
        </w:rPr>
      </w:pPr>
      <w:r w:rsidRPr="00670F01">
        <w:rPr>
          <w:rFonts w:ascii="Times New Roman" w:hAnsi="Times New Roman" w:cs="Times New Roman"/>
          <w:sz w:val="24"/>
          <w:szCs w:val="24"/>
        </w:rPr>
        <w:t xml:space="preserve">1. To connect villages with ICTs and community access points; </w:t>
      </w:r>
    </w:p>
    <w:p w:rsidR="00C13199" w:rsidRPr="00670F01" w:rsidRDefault="00C13199" w:rsidP="00933CD7">
      <w:pPr>
        <w:jc w:val="both"/>
        <w:rPr>
          <w:rFonts w:ascii="Times New Roman" w:hAnsi="Times New Roman" w:cs="Times New Roman"/>
          <w:sz w:val="24"/>
          <w:szCs w:val="24"/>
        </w:rPr>
      </w:pPr>
      <w:r w:rsidRPr="00670F01">
        <w:rPr>
          <w:rFonts w:ascii="Times New Roman" w:hAnsi="Times New Roman" w:cs="Times New Roman"/>
          <w:sz w:val="24"/>
          <w:szCs w:val="24"/>
        </w:rPr>
        <w:t>2. To connect universities, colleges, secondary schools and primary schools with ICTs;</w:t>
      </w:r>
    </w:p>
    <w:p w:rsidR="00C13199" w:rsidRPr="00670F01" w:rsidRDefault="00C13199" w:rsidP="00933CD7">
      <w:pPr>
        <w:jc w:val="both"/>
        <w:rPr>
          <w:rFonts w:ascii="Times New Roman" w:hAnsi="Times New Roman" w:cs="Times New Roman"/>
          <w:sz w:val="24"/>
          <w:szCs w:val="24"/>
        </w:rPr>
      </w:pPr>
      <w:r w:rsidRPr="00670F01">
        <w:rPr>
          <w:rFonts w:ascii="Times New Roman" w:hAnsi="Times New Roman" w:cs="Times New Roman"/>
          <w:sz w:val="24"/>
          <w:szCs w:val="24"/>
        </w:rPr>
        <w:t xml:space="preserve">3. To connect scientific and research </w:t>
      </w:r>
      <w:r w:rsidR="00933CD7" w:rsidRPr="00670F01">
        <w:rPr>
          <w:rFonts w:ascii="Times New Roman" w:hAnsi="Times New Roman" w:cs="Times New Roman"/>
          <w:sz w:val="24"/>
          <w:szCs w:val="24"/>
        </w:rPr>
        <w:t>centers</w:t>
      </w:r>
      <w:r w:rsidRPr="00670F01">
        <w:rPr>
          <w:rFonts w:ascii="Times New Roman" w:hAnsi="Times New Roman" w:cs="Times New Roman"/>
          <w:sz w:val="24"/>
          <w:szCs w:val="24"/>
        </w:rPr>
        <w:t xml:space="preserve"> with ICTs; </w:t>
      </w:r>
    </w:p>
    <w:p w:rsidR="00C13199" w:rsidRPr="00670F01" w:rsidRDefault="00C13199" w:rsidP="00933CD7">
      <w:pPr>
        <w:jc w:val="both"/>
        <w:rPr>
          <w:rFonts w:ascii="Times New Roman" w:hAnsi="Times New Roman" w:cs="Times New Roman"/>
          <w:sz w:val="24"/>
          <w:szCs w:val="24"/>
        </w:rPr>
      </w:pPr>
      <w:r w:rsidRPr="00670F01">
        <w:rPr>
          <w:rFonts w:ascii="Times New Roman" w:hAnsi="Times New Roman" w:cs="Times New Roman"/>
          <w:sz w:val="24"/>
          <w:szCs w:val="24"/>
        </w:rPr>
        <w:t xml:space="preserve">4. To connect public libraries, cultural </w:t>
      </w:r>
      <w:r w:rsidR="00933CD7" w:rsidRPr="00670F01">
        <w:rPr>
          <w:rFonts w:ascii="Times New Roman" w:hAnsi="Times New Roman" w:cs="Times New Roman"/>
          <w:sz w:val="24"/>
          <w:szCs w:val="24"/>
        </w:rPr>
        <w:t>centers</w:t>
      </w:r>
      <w:r w:rsidRPr="00670F01">
        <w:rPr>
          <w:rFonts w:ascii="Times New Roman" w:hAnsi="Times New Roman" w:cs="Times New Roman"/>
          <w:sz w:val="24"/>
          <w:szCs w:val="24"/>
        </w:rPr>
        <w:t xml:space="preserve">, museums, post offices and archives with ICTs; </w:t>
      </w:r>
    </w:p>
    <w:p w:rsidR="00C13199" w:rsidRPr="00670F01" w:rsidRDefault="00C13199" w:rsidP="00933CD7">
      <w:pPr>
        <w:jc w:val="both"/>
        <w:rPr>
          <w:rFonts w:ascii="Times New Roman" w:hAnsi="Times New Roman" w:cs="Times New Roman"/>
          <w:sz w:val="24"/>
          <w:szCs w:val="24"/>
        </w:rPr>
      </w:pPr>
      <w:r w:rsidRPr="00670F01">
        <w:rPr>
          <w:rFonts w:ascii="Times New Roman" w:hAnsi="Times New Roman" w:cs="Times New Roman"/>
          <w:sz w:val="24"/>
          <w:szCs w:val="24"/>
        </w:rPr>
        <w:t xml:space="preserve">5. To connect health </w:t>
      </w:r>
      <w:r w:rsidR="00933CD7" w:rsidRPr="00670F01">
        <w:rPr>
          <w:rFonts w:ascii="Times New Roman" w:hAnsi="Times New Roman" w:cs="Times New Roman"/>
          <w:sz w:val="24"/>
          <w:szCs w:val="24"/>
        </w:rPr>
        <w:t>centers</w:t>
      </w:r>
      <w:r w:rsidRPr="00670F01">
        <w:rPr>
          <w:rFonts w:ascii="Times New Roman" w:hAnsi="Times New Roman" w:cs="Times New Roman"/>
          <w:sz w:val="24"/>
          <w:szCs w:val="24"/>
        </w:rPr>
        <w:t xml:space="preserve"> and hospitals with ICTs; </w:t>
      </w:r>
    </w:p>
    <w:p w:rsidR="00933CD7" w:rsidRPr="00670F01" w:rsidRDefault="00C13199" w:rsidP="00933CD7">
      <w:pPr>
        <w:jc w:val="both"/>
        <w:rPr>
          <w:rFonts w:ascii="Times New Roman" w:hAnsi="Times New Roman" w:cs="Times New Roman"/>
          <w:sz w:val="24"/>
          <w:szCs w:val="24"/>
        </w:rPr>
      </w:pPr>
      <w:r w:rsidRPr="00670F01">
        <w:rPr>
          <w:rFonts w:ascii="Times New Roman" w:hAnsi="Times New Roman" w:cs="Times New Roman"/>
          <w:sz w:val="24"/>
          <w:szCs w:val="24"/>
        </w:rPr>
        <w:t xml:space="preserve">6. To connect all local and central government departments and establish websites and e-mail </w:t>
      </w:r>
      <w:r w:rsidR="00FC389C">
        <w:rPr>
          <w:rFonts w:ascii="Times New Roman" w:hAnsi="Times New Roman" w:cs="Times New Roman"/>
          <w:sz w:val="24"/>
          <w:szCs w:val="24"/>
        </w:rPr>
        <w:t xml:space="preserve">             </w:t>
      </w:r>
      <w:r w:rsidR="00C775D9">
        <w:rPr>
          <w:rFonts w:ascii="Times New Roman" w:hAnsi="Times New Roman" w:cs="Times New Roman"/>
          <w:sz w:val="24"/>
          <w:szCs w:val="24"/>
        </w:rPr>
        <w:t xml:space="preserve">   </w:t>
      </w:r>
      <w:r w:rsidRPr="00670F01">
        <w:rPr>
          <w:rFonts w:ascii="Times New Roman" w:hAnsi="Times New Roman" w:cs="Times New Roman"/>
          <w:sz w:val="24"/>
          <w:szCs w:val="24"/>
        </w:rPr>
        <w:t xml:space="preserve">addresses;  </w:t>
      </w:r>
    </w:p>
    <w:p w:rsidR="00C13199" w:rsidRPr="00670F01" w:rsidRDefault="00C13199" w:rsidP="00933CD7">
      <w:pPr>
        <w:jc w:val="both"/>
        <w:rPr>
          <w:rFonts w:ascii="Times New Roman" w:hAnsi="Times New Roman" w:cs="Times New Roman"/>
          <w:sz w:val="24"/>
          <w:szCs w:val="24"/>
        </w:rPr>
      </w:pPr>
      <w:r w:rsidRPr="00670F01">
        <w:rPr>
          <w:rFonts w:ascii="Times New Roman" w:hAnsi="Times New Roman" w:cs="Times New Roman"/>
          <w:sz w:val="24"/>
          <w:szCs w:val="24"/>
        </w:rPr>
        <w:t xml:space="preserve">7. To adapt all primary and secondary school curricula to meet the challenges of the Information Society, taking into account national circumstances; </w:t>
      </w:r>
    </w:p>
    <w:p w:rsidR="00C13199" w:rsidRPr="00670F01" w:rsidRDefault="00C13199" w:rsidP="00933CD7">
      <w:pPr>
        <w:jc w:val="both"/>
        <w:rPr>
          <w:rFonts w:ascii="Times New Roman" w:hAnsi="Times New Roman" w:cs="Times New Roman"/>
          <w:sz w:val="24"/>
          <w:szCs w:val="24"/>
        </w:rPr>
      </w:pPr>
      <w:r w:rsidRPr="00670F01">
        <w:rPr>
          <w:rFonts w:ascii="Times New Roman" w:hAnsi="Times New Roman" w:cs="Times New Roman"/>
          <w:sz w:val="24"/>
          <w:szCs w:val="24"/>
        </w:rPr>
        <w:t xml:space="preserve">8. To ensure that all of the world’s populations have access to television and radio services;  </w:t>
      </w:r>
    </w:p>
    <w:p w:rsidR="00C13199" w:rsidRPr="00670F01" w:rsidRDefault="00263A6C" w:rsidP="00933CD7">
      <w:pPr>
        <w:jc w:val="both"/>
        <w:rPr>
          <w:rFonts w:ascii="Times New Roman" w:hAnsi="Times New Roman" w:cs="Times New Roman"/>
          <w:sz w:val="24"/>
          <w:szCs w:val="24"/>
        </w:rPr>
      </w:pPr>
      <w:r>
        <w:rPr>
          <w:rFonts w:ascii="Times New Roman" w:hAnsi="Times New Roman" w:cs="Times New Roman"/>
          <w:sz w:val="24"/>
          <w:szCs w:val="24"/>
        </w:rPr>
        <w:t>9.</w:t>
      </w:r>
      <w:r w:rsidRPr="00670F01">
        <w:rPr>
          <w:rFonts w:ascii="Times New Roman" w:hAnsi="Times New Roman" w:cs="Times New Roman"/>
          <w:sz w:val="24"/>
          <w:szCs w:val="24"/>
        </w:rPr>
        <w:t xml:space="preserve"> To</w:t>
      </w:r>
      <w:r w:rsidR="00C13199" w:rsidRPr="00670F01">
        <w:rPr>
          <w:rFonts w:ascii="Times New Roman" w:hAnsi="Times New Roman" w:cs="Times New Roman"/>
          <w:sz w:val="24"/>
          <w:szCs w:val="24"/>
        </w:rPr>
        <w:t xml:space="preserve"> ensure that more than half the world’s inhabitants have access </w:t>
      </w:r>
      <w:r w:rsidR="00C775D9">
        <w:rPr>
          <w:rFonts w:ascii="Times New Roman" w:hAnsi="Times New Roman" w:cs="Times New Roman"/>
          <w:sz w:val="24"/>
          <w:szCs w:val="24"/>
        </w:rPr>
        <w:t>to ICTs within their reach,</w:t>
      </w:r>
    </w:p>
    <w:p w:rsidR="005272CB" w:rsidRPr="00670F01" w:rsidRDefault="00C13199" w:rsidP="00933CD7">
      <w:pPr>
        <w:jc w:val="both"/>
        <w:rPr>
          <w:rFonts w:ascii="Times New Roman" w:hAnsi="Times New Roman" w:cs="Times New Roman"/>
          <w:sz w:val="24"/>
          <w:szCs w:val="24"/>
        </w:rPr>
      </w:pPr>
      <w:r w:rsidRPr="00670F01">
        <w:rPr>
          <w:rFonts w:ascii="Times New Roman" w:hAnsi="Times New Roman" w:cs="Times New Roman"/>
          <w:sz w:val="24"/>
          <w:szCs w:val="24"/>
        </w:rPr>
        <w:t>10. To encourage the development of content and to put in place t</w:t>
      </w:r>
      <w:r w:rsidR="00263A6C">
        <w:rPr>
          <w:rFonts w:ascii="Times New Roman" w:hAnsi="Times New Roman" w:cs="Times New Roman"/>
          <w:sz w:val="24"/>
          <w:szCs w:val="24"/>
        </w:rPr>
        <w:t xml:space="preserve">echnical conditions in order to </w:t>
      </w:r>
      <w:r w:rsidRPr="00670F01">
        <w:rPr>
          <w:rFonts w:ascii="Times New Roman" w:hAnsi="Times New Roman" w:cs="Times New Roman"/>
          <w:sz w:val="24"/>
          <w:szCs w:val="24"/>
        </w:rPr>
        <w:t>facilitate the presence and use of all world languages on the Internet.</w:t>
      </w:r>
    </w:p>
    <w:p w:rsidR="00933CD7" w:rsidRPr="00670F01" w:rsidRDefault="00933CD7" w:rsidP="00933CD7">
      <w:pPr>
        <w:jc w:val="both"/>
        <w:rPr>
          <w:rFonts w:ascii="Times New Roman" w:hAnsi="Times New Roman" w:cs="Times New Roman"/>
          <w:sz w:val="24"/>
          <w:szCs w:val="24"/>
        </w:rPr>
      </w:pPr>
    </w:p>
    <w:p w:rsidR="00933CD7" w:rsidRPr="00670F01" w:rsidRDefault="00933CD7" w:rsidP="00933CD7">
      <w:pPr>
        <w:jc w:val="both"/>
        <w:rPr>
          <w:rFonts w:ascii="Times New Roman" w:hAnsi="Times New Roman" w:cs="Times New Roman"/>
          <w:sz w:val="24"/>
          <w:szCs w:val="24"/>
        </w:rPr>
      </w:pPr>
    </w:p>
    <w:p w:rsidR="00933CD7" w:rsidRPr="00670F01" w:rsidRDefault="00933CD7" w:rsidP="00933CD7">
      <w:pPr>
        <w:jc w:val="both"/>
        <w:rPr>
          <w:rFonts w:ascii="Times New Roman" w:hAnsi="Times New Roman" w:cs="Times New Roman"/>
          <w:sz w:val="24"/>
          <w:szCs w:val="24"/>
        </w:rPr>
      </w:pPr>
    </w:p>
    <w:p w:rsidR="00933CD7" w:rsidRPr="00670F01" w:rsidRDefault="00933CD7" w:rsidP="00933CD7">
      <w:pPr>
        <w:jc w:val="both"/>
        <w:rPr>
          <w:rFonts w:ascii="Times New Roman" w:hAnsi="Times New Roman" w:cs="Times New Roman"/>
          <w:sz w:val="24"/>
          <w:szCs w:val="24"/>
        </w:rPr>
      </w:pPr>
    </w:p>
    <w:p w:rsidR="00933CD7" w:rsidRPr="00670F01" w:rsidRDefault="00933CD7" w:rsidP="00933CD7">
      <w:pPr>
        <w:jc w:val="both"/>
        <w:rPr>
          <w:rFonts w:ascii="Times New Roman" w:hAnsi="Times New Roman" w:cs="Times New Roman"/>
          <w:sz w:val="24"/>
          <w:szCs w:val="24"/>
        </w:rPr>
      </w:pPr>
    </w:p>
    <w:p w:rsidR="00933CD7" w:rsidRPr="00670F01" w:rsidRDefault="00933CD7" w:rsidP="00933CD7">
      <w:pPr>
        <w:jc w:val="both"/>
        <w:rPr>
          <w:rFonts w:ascii="Times New Roman" w:hAnsi="Times New Roman" w:cs="Times New Roman"/>
          <w:sz w:val="24"/>
          <w:szCs w:val="24"/>
        </w:rPr>
      </w:pPr>
    </w:p>
    <w:p w:rsidR="00933CD7" w:rsidRPr="00670F01" w:rsidRDefault="00933CD7" w:rsidP="00933CD7">
      <w:pPr>
        <w:jc w:val="both"/>
        <w:rPr>
          <w:rFonts w:ascii="Times New Roman" w:hAnsi="Times New Roman" w:cs="Times New Roman"/>
          <w:sz w:val="24"/>
          <w:szCs w:val="24"/>
        </w:rPr>
      </w:pPr>
    </w:p>
    <w:p w:rsidR="00933CD7" w:rsidRPr="00670F01" w:rsidRDefault="00933CD7" w:rsidP="00933CD7">
      <w:pPr>
        <w:jc w:val="both"/>
        <w:rPr>
          <w:rFonts w:ascii="Times New Roman" w:hAnsi="Times New Roman" w:cs="Times New Roman"/>
          <w:sz w:val="24"/>
          <w:szCs w:val="24"/>
        </w:rPr>
      </w:pPr>
    </w:p>
    <w:p w:rsidR="00933CD7" w:rsidRPr="00670F01" w:rsidRDefault="00933CD7" w:rsidP="00933CD7">
      <w:pPr>
        <w:jc w:val="both"/>
        <w:rPr>
          <w:rFonts w:ascii="Times New Roman" w:hAnsi="Times New Roman" w:cs="Times New Roman"/>
          <w:sz w:val="24"/>
          <w:szCs w:val="24"/>
        </w:rPr>
      </w:pPr>
    </w:p>
    <w:p w:rsidR="00933CD7" w:rsidRPr="00670F01" w:rsidRDefault="00933CD7" w:rsidP="00933CD7">
      <w:pPr>
        <w:jc w:val="both"/>
        <w:rPr>
          <w:rFonts w:ascii="Times New Roman" w:hAnsi="Times New Roman" w:cs="Times New Roman"/>
          <w:sz w:val="24"/>
          <w:szCs w:val="24"/>
        </w:rPr>
      </w:pPr>
    </w:p>
    <w:p w:rsidR="00933CD7" w:rsidRPr="00670F01" w:rsidRDefault="00933CD7" w:rsidP="00933CD7">
      <w:pPr>
        <w:jc w:val="both"/>
        <w:rPr>
          <w:rFonts w:ascii="Times New Roman" w:hAnsi="Times New Roman" w:cs="Times New Roman"/>
          <w:sz w:val="24"/>
          <w:szCs w:val="24"/>
        </w:rPr>
      </w:pPr>
    </w:p>
    <w:p w:rsidR="00933CD7" w:rsidRPr="00670F01" w:rsidRDefault="00933CD7" w:rsidP="00933CD7">
      <w:pPr>
        <w:pStyle w:val="NormalWeb"/>
        <w:shd w:val="clear" w:color="auto" w:fill="FFFFFF"/>
        <w:spacing w:line="216" w:lineRule="atLeast"/>
        <w:rPr>
          <w:color w:val="000000"/>
        </w:rPr>
      </w:pPr>
      <w:r w:rsidRPr="00670F01">
        <w:rPr>
          <w:color w:val="000000"/>
        </w:rPr>
        <w:t>Reference</w:t>
      </w:r>
    </w:p>
    <w:p w:rsidR="00933CD7" w:rsidRPr="00670F01" w:rsidRDefault="00933CD7" w:rsidP="00933CD7">
      <w:pPr>
        <w:pStyle w:val="NormalWeb"/>
        <w:numPr>
          <w:ilvl w:val="0"/>
          <w:numId w:val="19"/>
        </w:numPr>
        <w:shd w:val="clear" w:color="auto" w:fill="FFFFFF"/>
        <w:spacing w:line="216" w:lineRule="atLeast"/>
        <w:rPr>
          <w:rFonts w:ascii="Arial" w:hAnsi="Arial" w:cs="Arial"/>
          <w:color w:val="000000"/>
        </w:rPr>
      </w:pPr>
      <w:r w:rsidRPr="00670F01">
        <w:rPr>
          <w:rFonts w:ascii="Arial" w:hAnsi="Arial" w:cs="Arial"/>
          <w:color w:val="000000"/>
        </w:rPr>
        <w:t>Bergman, S. (1994) ‘Communication Technology in the Household: The Gendering of Artefacts and Practices’, in Frissen, V. (Ed.) G</w:t>
      </w:r>
      <w:r w:rsidRPr="00670F01">
        <w:rPr>
          <w:rStyle w:val="Emphasis"/>
          <w:rFonts w:ascii="Arial" w:hAnsi="Arial" w:cs="Arial"/>
          <w:color w:val="000000"/>
        </w:rPr>
        <w:t>ender, ITCs and Everyday Life: Mutual Shaping Processes</w:t>
      </w:r>
      <w:r w:rsidRPr="00670F01">
        <w:rPr>
          <w:rFonts w:ascii="Arial" w:hAnsi="Arial" w:cs="Arial"/>
          <w:color w:val="000000"/>
        </w:rPr>
        <w:t>, COSTA4, Brussels, pp.135-153</w:t>
      </w:r>
    </w:p>
    <w:p w:rsidR="00933CD7" w:rsidRPr="00670F01" w:rsidRDefault="00933CD7" w:rsidP="00933CD7">
      <w:pPr>
        <w:pStyle w:val="NormalWeb"/>
        <w:numPr>
          <w:ilvl w:val="0"/>
          <w:numId w:val="19"/>
        </w:numPr>
        <w:shd w:val="clear" w:color="auto" w:fill="FFFFFF"/>
        <w:spacing w:line="216" w:lineRule="atLeast"/>
        <w:rPr>
          <w:rFonts w:ascii="Arial" w:hAnsi="Arial" w:cs="Arial"/>
          <w:color w:val="000000"/>
        </w:rPr>
      </w:pPr>
      <w:r w:rsidRPr="00670F01">
        <w:rPr>
          <w:rFonts w:ascii="Arial" w:hAnsi="Arial" w:cs="Arial"/>
          <w:color w:val="000000"/>
        </w:rPr>
        <w:t>Berker, T., Hartmann, M., Punie, Y. and Ward, K. (eds) (2006) </w:t>
      </w:r>
      <w:r w:rsidRPr="00670F01">
        <w:rPr>
          <w:rStyle w:val="Emphasis"/>
          <w:rFonts w:ascii="Arial" w:hAnsi="Arial" w:cs="Arial"/>
          <w:color w:val="000000"/>
        </w:rPr>
        <w:t>Domestication of Media and Technologies,</w:t>
      </w:r>
      <w:r w:rsidRPr="00670F01">
        <w:rPr>
          <w:rFonts w:ascii="Arial" w:hAnsi="Arial" w:cs="Arial"/>
          <w:color w:val="000000"/>
        </w:rPr>
        <w:t> Open University Press, Maidenhead.</w:t>
      </w:r>
    </w:p>
    <w:p w:rsidR="00933CD7" w:rsidRPr="00670F01" w:rsidRDefault="00933CD7" w:rsidP="00933CD7">
      <w:pPr>
        <w:pStyle w:val="NormalWeb"/>
        <w:numPr>
          <w:ilvl w:val="0"/>
          <w:numId w:val="19"/>
        </w:numPr>
        <w:shd w:val="clear" w:color="auto" w:fill="FFFFFF"/>
        <w:spacing w:line="216" w:lineRule="atLeast"/>
        <w:rPr>
          <w:rFonts w:ascii="Arial" w:hAnsi="Arial" w:cs="Arial"/>
          <w:color w:val="000000"/>
        </w:rPr>
      </w:pPr>
      <w:r w:rsidRPr="00670F01">
        <w:rPr>
          <w:rFonts w:ascii="Arial" w:hAnsi="Arial" w:cs="Arial"/>
          <w:color w:val="000000"/>
        </w:rPr>
        <w:t>Bittman, M., et al. (2011). "Digital Natives? New and Old Media and Children's Outcomes." </w:t>
      </w:r>
      <w:r w:rsidRPr="00670F01">
        <w:rPr>
          <w:rStyle w:val="Emphasis"/>
          <w:rFonts w:ascii="Arial" w:hAnsi="Arial" w:cs="Arial"/>
          <w:color w:val="000000"/>
        </w:rPr>
        <w:t>Australian Journal of Education</w:t>
      </w:r>
      <w:r w:rsidRPr="00670F01">
        <w:rPr>
          <w:rFonts w:ascii="Arial" w:hAnsi="Arial" w:cs="Arial"/>
          <w:color w:val="000000"/>
        </w:rPr>
        <w:t> 55(2): 161-175</w:t>
      </w:r>
    </w:p>
    <w:p w:rsidR="00933CD7" w:rsidRPr="00670F01" w:rsidRDefault="00933CD7" w:rsidP="00933CD7">
      <w:pPr>
        <w:pStyle w:val="NormalWeb"/>
        <w:numPr>
          <w:ilvl w:val="0"/>
          <w:numId w:val="19"/>
        </w:numPr>
        <w:shd w:val="clear" w:color="auto" w:fill="FFFFFF"/>
        <w:spacing w:line="216" w:lineRule="atLeast"/>
        <w:rPr>
          <w:rFonts w:ascii="Arial" w:hAnsi="Arial" w:cs="Arial"/>
          <w:color w:val="000000"/>
        </w:rPr>
      </w:pPr>
      <w:r w:rsidRPr="00670F01">
        <w:rPr>
          <w:rFonts w:ascii="Arial" w:hAnsi="Arial" w:cs="Arial"/>
          <w:color w:val="000000"/>
        </w:rPr>
        <w:t>Bonfadelli, H., Bucher, P. and Piga, A. (2007) Use of old and new media by ethnic minority youth in Europe with a special emphasis on Switzerland. </w:t>
      </w:r>
      <w:r w:rsidRPr="00670F01">
        <w:rPr>
          <w:rStyle w:val="Emphasis"/>
          <w:rFonts w:ascii="Arial" w:hAnsi="Arial" w:cs="Arial"/>
          <w:color w:val="000000"/>
        </w:rPr>
        <w:t>Communication</w:t>
      </w:r>
      <w:r w:rsidRPr="00670F01">
        <w:rPr>
          <w:rFonts w:ascii="Arial" w:hAnsi="Arial" w:cs="Arial"/>
          <w:color w:val="000000"/>
        </w:rPr>
        <w:t>s 32(2): 141–170.</w:t>
      </w:r>
    </w:p>
    <w:p w:rsidR="00933CD7" w:rsidRPr="00670F01" w:rsidRDefault="00933CD7" w:rsidP="00933CD7">
      <w:pPr>
        <w:pStyle w:val="NormalWeb"/>
        <w:numPr>
          <w:ilvl w:val="0"/>
          <w:numId w:val="19"/>
        </w:numPr>
        <w:shd w:val="clear" w:color="auto" w:fill="FFFFFF"/>
        <w:spacing w:line="216" w:lineRule="atLeast"/>
        <w:rPr>
          <w:rFonts w:ascii="Arial" w:hAnsi="Arial" w:cs="Arial"/>
          <w:color w:val="000000"/>
        </w:rPr>
      </w:pPr>
      <w:r w:rsidRPr="00670F01">
        <w:rPr>
          <w:rFonts w:ascii="Arial" w:hAnsi="Arial" w:cs="Arial"/>
          <w:color w:val="000000"/>
        </w:rPr>
        <w:t>Bovill, M. and Livingstone, S. (2001) ‘Bedroom Culture and the Privatization of Media Use’, in Livingstone, S. and Bovill, M. (eds) </w:t>
      </w:r>
      <w:r w:rsidRPr="00670F01">
        <w:rPr>
          <w:rStyle w:val="Emphasis"/>
          <w:rFonts w:ascii="Arial" w:hAnsi="Arial" w:cs="Arial"/>
          <w:color w:val="000000"/>
        </w:rPr>
        <w:t>Children and their Changing Media Environment. A European Comparative Study</w:t>
      </w:r>
      <w:r w:rsidRPr="00670F01">
        <w:rPr>
          <w:rFonts w:ascii="Arial" w:hAnsi="Arial" w:cs="Arial"/>
          <w:color w:val="000000"/>
        </w:rPr>
        <w:t>, Mahwah, New Jersey: Lawrence Erlbaum Associates, 179-200.</w:t>
      </w:r>
    </w:p>
    <w:p w:rsidR="00933CD7" w:rsidRPr="00670F01" w:rsidRDefault="00933CD7" w:rsidP="00933CD7">
      <w:pPr>
        <w:pStyle w:val="NormalWeb"/>
        <w:numPr>
          <w:ilvl w:val="0"/>
          <w:numId w:val="19"/>
        </w:numPr>
        <w:shd w:val="clear" w:color="auto" w:fill="FFFFFF"/>
        <w:spacing w:line="216" w:lineRule="atLeast"/>
        <w:rPr>
          <w:rFonts w:ascii="Arial" w:hAnsi="Arial" w:cs="Arial"/>
          <w:color w:val="000000"/>
        </w:rPr>
      </w:pPr>
      <w:r w:rsidRPr="00670F01">
        <w:rPr>
          <w:rFonts w:ascii="Arial" w:hAnsi="Arial" w:cs="Arial"/>
          <w:color w:val="000000"/>
        </w:rPr>
        <w:t>Buckingham, D. (2000) A</w:t>
      </w:r>
      <w:r w:rsidRPr="00670F01">
        <w:rPr>
          <w:rStyle w:val="Emphasis"/>
          <w:rFonts w:ascii="Arial" w:hAnsi="Arial" w:cs="Arial"/>
          <w:color w:val="000000"/>
        </w:rPr>
        <w:t>fter the Death of Childhood. Growing up in the Age if Electronic Media</w:t>
      </w:r>
      <w:r w:rsidRPr="00670F01">
        <w:rPr>
          <w:rFonts w:ascii="Arial" w:hAnsi="Arial" w:cs="Arial"/>
          <w:color w:val="000000"/>
        </w:rPr>
        <w:t>, Polity Press, Cambridge.</w:t>
      </w:r>
    </w:p>
    <w:p w:rsidR="00933CD7" w:rsidRPr="00670F01" w:rsidRDefault="00933CD7" w:rsidP="00933CD7">
      <w:pPr>
        <w:pStyle w:val="NormalWeb"/>
        <w:numPr>
          <w:ilvl w:val="0"/>
          <w:numId w:val="19"/>
        </w:numPr>
        <w:shd w:val="clear" w:color="auto" w:fill="FFFFFF"/>
        <w:spacing w:line="216" w:lineRule="atLeast"/>
        <w:rPr>
          <w:rFonts w:ascii="Arial" w:hAnsi="Arial" w:cs="Arial"/>
          <w:color w:val="000000"/>
        </w:rPr>
      </w:pPr>
      <w:r w:rsidRPr="00670F01">
        <w:rPr>
          <w:rFonts w:ascii="Arial" w:hAnsi="Arial" w:cs="Arial"/>
          <w:color w:val="000000"/>
        </w:rPr>
        <w:t>Buckingham, D. (2008) </w:t>
      </w:r>
      <w:r w:rsidRPr="00670F01">
        <w:rPr>
          <w:rStyle w:val="Emphasis"/>
          <w:rFonts w:ascii="Arial" w:hAnsi="Arial" w:cs="Arial"/>
          <w:color w:val="000000"/>
        </w:rPr>
        <w:t>Youth, Identity, and Digital Media. The John D. and Catherine T. MacArthur Foundation Series on Digital Media and Learning.</w:t>
      </w:r>
      <w:r w:rsidRPr="00670F01">
        <w:rPr>
          <w:rFonts w:ascii="Arial" w:hAnsi="Arial" w:cs="Arial"/>
          <w:color w:val="000000"/>
        </w:rPr>
        <w:t> Cambridge, MA: The MIT Press.</w:t>
      </w:r>
    </w:p>
    <w:p w:rsidR="00933CD7" w:rsidRPr="00670F01" w:rsidRDefault="00933CD7" w:rsidP="00933CD7">
      <w:pPr>
        <w:pStyle w:val="NormalWeb"/>
        <w:numPr>
          <w:ilvl w:val="0"/>
          <w:numId w:val="19"/>
        </w:numPr>
        <w:shd w:val="clear" w:color="auto" w:fill="FFFFFF"/>
        <w:spacing w:line="216" w:lineRule="atLeast"/>
        <w:rPr>
          <w:rFonts w:ascii="Arial" w:hAnsi="Arial" w:cs="Arial"/>
          <w:color w:val="000000"/>
        </w:rPr>
      </w:pPr>
      <w:r w:rsidRPr="00670F01">
        <w:rPr>
          <w:rFonts w:ascii="Arial" w:hAnsi="Arial" w:cs="Arial"/>
          <w:color w:val="000000"/>
        </w:rPr>
        <w:t>Buckingham, D. and Willet, R. (eds) (2006) </w:t>
      </w:r>
      <w:r w:rsidRPr="00670F01">
        <w:rPr>
          <w:rStyle w:val="Emphasis"/>
          <w:rFonts w:ascii="Arial" w:hAnsi="Arial" w:cs="Arial"/>
          <w:color w:val="000000"/>
        </w:rPr>
        <w:t>Digital Generations: Children, Young People, and the New Media.</w:t>
      </w:r>
      <w:r w:rsidRPr="00670F01">
        <w:rPr>
          <w:rFonts w:ascii="Arial" w:hAnsi="Arial" w:cs="Arial"/>
          <w:color w:val="000000"/>
        </w:rPr>
        <w:t> New York: Routledge</w:t>
      </w:r>
    </w:p>
    <w:p w:rsidR="00933CD7" w:rsidRPr="00670F01" w:rsidRDefault="00933CD7" w:rsidP="00933CD7">
      <w:pPr>
        <w:jc w:val="both"/>
        <w:rPr>
          <w:rFonts w:ascii="Times New Roman" w:hAnsi="Times New Roman" w:cs="Times New Roman"/>
          <w:sz w:val="24"/>
          <w:szCs w:val="24"/>
        </w:rPr>
      </w:pPr>
    </w:p>
    <w:sectPr w:rsidR="00933CD7" w:rsidRPr="00670F01" w:rsidSect="009E2609">
      <w:headerReference w:type="default" r:id="rId12"/>
      <w:pgSz w:w="12240" w:h="15840"/>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2477" w:rsidRDefault="00352477" w:rsidP="005272CB">
      <w:pPr>
        <w:spacing w:after="0" w:line="240" w:lineRule="auto"/>
      </w:pPr>
      <w:r>
        <w:separator/>
      </w:r>
    </w:p>
  </w:endnote>
  <w:endnote w:type="continuationSeparator" w:id="1">
    <w:p w:rsidR="00352477" w:rsidRDefault="00352477" w:rsidP="005272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2477" w:rsidRDefault="00352477" w:rsidP="005272CB">
      <w:pPr>
        <w:spacing w:after="0" w:line="240" w:lineRule="auto"/>
      </w:pPr>
      <w:r>
        <w:separator/>
      </w:r>
    </w:p>
  </w:footnote>
  <w:footnote w:type="continuationSeparator" w:id="1">
    <w:p w:rsidR="00352477" w:rsidRDefault="00352477" w:rsidP="005272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FD6" w:rsidRPr="00647F43" w:rsidRDefault="00352477" w:rsidP="009E2609">
    <w:pPr>
      <w:rPr>
        <w:b/>
      </w:rPr>
    </w:pPr>
  </w:p>
  <w:p w:rsidR="00AB3FD6" w:rsidRDefault="003524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F7094"/>
    <w:multiLevelType w:val="hybridMultilevel"/>
    <w:tmpl w:val="14A8F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875FEE"/>
    <w:multiLevelType w:val="hybridMultilevel"/>
    <w:tmpl w:val="D68A15CC"/>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13850D57"/>
    <w:multiLevelType w:val="hybridMultilevel"/>
    <w:tmpl w:val="2C5C35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260524"/>
    <w:multiLevelType w:val="hybridMultilevel"/>
    <w:tmpl w:val="A85C463C"/>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nsid w:val="1E3B68A4"/>
    <w:multiLevelType w:val="hybridMultilevel"/>
    <w:tmpl w:val="2C6A55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8C0ED8"/>
    <w:multiLevelType w:val="hybridMultilevel"/>
    <w:tmpl w:val="500438F6"/>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nsid w:val="36175FD7"/>
    <w:multiLevelType w:val="hybridMultilevel"/>
    <w:tmpl w:val="DC041C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F5241D"/>
    <w:multiLevelType w:val="hybridMultilevel"/>
    <w:tmpl w:val="5B9E3BDE"/>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8">
    <w:nsid w:val="40A411AF"/>
    <w:multiLevelType w:val="hybridMultilevel"/>
    <w:tmpl w:val="9D0EA312"/>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4B9C7299"/>
    <w:multiLevelType w:val="hybridMultilevel"/>
    <w:tmpl w:val="4BB81E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096304"/>
    <w:multiLevelType w:val="hybridMultilevel"/>
    <w:tmpl w:val="303245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40167E"/>
    <w:multiLevelType w:val="hybridMultilevel"/>
    <w:tmpl w:val="FCDC1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8237AB"/>
    <w:multiLevelType w:val="hybridMultilevel"/>
    <w:tmpl w:val="C4220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6F7FEF"/>
    <w:multiLevelType w:val="hybridMultilevel"/>
    <w:tmpl w:val="9C002EE0"/>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4">
    <w:nsid w:val="666C1725"/>
    <w:multiLevelType w:val="hybridMultilevel"/>
    <w:tmpl w:val="487A0316"/>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5">
    <w:nsid w:val="7253296B"/>
    <w:multiLevelType w:val="hybridMultilevel"/>
    <w:tmpl w:val="2FEE0B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BD0C03"/>
    <w:multiLevelType w:val="hybridMultilevel"/>
    <w:tmpl w:val="A1C477D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73ED224A"/>
    <w:multiLevelType w:val="hybridMultilevel"/>
    <w:tmpl w:val="690EDCBC"/>
    <w:lvl w:ilvl="0" w:tplc="0409000B">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8">
    <w:nsid w:val="74D145DB"/>
    <w:multiLevelType w:val="hybridMultilevel"/>
    <w:tmpl w:val="65E8DC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0"/>
  </w:num>
  <w:num w:numId="4">
    <w:abstractNumId w:val="5"/>
  </w:num>
  <w:num w:numId="5">
    <w:abstractNumId w:val="1"/>
  </w:num>
  <w:num w:numId="6">
    <w:abstractNumId w:val="16"/>
  </w:num>
  <w:num w:numId="7">
    <w:abstractNumId w:val="8"/>
  </w:num>
  <w:num w:numId="8">
    <w:abstractNumId w:val="6"/>
  </w:num>
  <w:num w:numId="9">
    <w:abstractNumId w:val="13"/>
  </w:num>
  <w:num w:numId="10">
    <w:abstractNumId w:val="7"/>
  </w:num>
  <w:num w:numId="11">
    <w:abstractNumId w:val="3"/>
  </w:num>
  <w:num w:numId="12">
    <w:abstractNumId w:val="15"/>
  </w:num>
  <w:num w:numId="13">
    <w:abstractNumId w:val="4"/>
  </w:num>
  <w:num w:numId="14">
    <w:abstractNumId w:val="9"/>
  </w:num>
  <w:num w:numId="15">
    <w:abstractNumId w:val="14"/>
  </w:num>
  <w:num w:numId="16">
    <w:abstractNumId w:val="17"/>
  </w:num>
  <w:num w:numId="17">
    <w:abstractNumId w:val="18"/>
  </w:num>
  <w:num w:numId="18">
    <w:abstractNumId w:val="10"/>
  </w:num>
  <w:num w:numId="1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601F6"/>
    <w:rsid w:val="000402FA"/>
    <w:rsid w:val="000F236F"/>
    <w:rsid w:val="00187183"/>
    <w:rsid w:val="00263A6C"/>
    <w:rsid w:val="003445F0"/>
    <w:rsid w:val="00352477"/>
    <w:rsid w:val="00380C84"/>
    <w:rsid w:val="00445C05"/>
    <w:rsid w:val="00455B68"/>
    <w:rsid w:val="004C36B6"/>
    <w:rsid w:val="00514D7A"/>
    <w:rsid w:val="00517B03"/>
    <w:rsid w:val="005272CB"/>
    <w:rsid w:val="00670F01"/>
    <w:rsid w:val="00753892"/>
    <w:rsid w:val="00933CD7"/>
    <w:rsid w:val="00B601F6"/>
    <w:rsid w:val="00B97711"/>
    <w:rsid w:val="00C13199"/>
    <w:rsid w:val="00C775D9"/>
    <w:rsid w:val="00C967A4"/>
    <w:rsid w:val="00CB2B0E"/>
    <w:rsid w:val="00CF2418"/>
    <w:rsid w:val="00D65630"/>
    <w:rsid w:val="00DF2591"/>
    <w:rsid w:val="00EC45A9"/>
    <w:rsid w:val="00F17F40"/>
    <w:rsid w:val="00FB71F8"/>
    <w:rsid w:val="00FC389C"/>
    <w:rsid w:val="00FD26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C0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C05"/>
    <w:pPr>
      <w:ind w:left="720"/>
      <w:contextualSpacing/>
    </w:pPr>
  </w:style>
  <w:style w:type="paragraph" w:styleId="Header">
    <w:name w:val="header"/>
    <w:basedOn w:val="Normal"/>
    <w:link w:val="HeaderChar"/>
    <w:uiPriority w:val="99"/>
    <w:semiHidden/>
    <w:unhideWhenUsed/>
    <w:rsid w:val="00445C0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5C05"/>
  </w:style>
  <w:style w:type="paragraph" w:styleId="Footer">
    <w:name w:val="footer"/>
    <w:basedOn w:val="Normal"/>
    <w:link w:val="FooterChar"/>
    <w:uiPriority w:val="99"/>
    <w:semiHidden/>
    <w:unhideWhenUsed/>
    <w:rsid w:val="005272C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272CB"/>
  </w:style>
  <w:style w:type="character" w:styleId="Emphasis">
    <w:name w:val="Emphasis"/>
    <w:basedOn w:val="DefaultParagraphFont"/>
    <w:uiPriority w:val="20"/>
    <w:qFormat/>
    <w:rsid w:val="00187183"/>
    <w:rPr>
      <w:i/>
      <w:iCs/>
    </w:rPr>
  </w:style>
  <w:style w:type="paragraph" w:styleId="NormalWeb">
    <w:name w:val="Normal (Web)"/>
    <w:basedOn w:val="Normal"/>
    <w:uiPriority w:val="99"/>
    <w:semiHidden/>
    <w:unhideWhenUsed/>
    <w:rsid w:val="00933C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0F01"/>
    <w:rPr>
      <w:color w:val="0000FF"/>
      <w:u w:val="single"/>
    </w:rPr>
  </w:style>
</w:styles>
</file>

<file path=word/webSettings.xml><?xml version="1.0" encoding="utf-8"?>
<w:webSettings xmlns:r="http://schemas.openxmlformats.org/officeDocument/2006/relationships" xmlns:w="http://schemas.openxmlformats.org/wordprocessingml/2006/main">
  <w:divs>
    <w:div w:id="37724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datacenter.techtarget.com/definition/infrastructure" TargetMode="External"/><Relationship Id="rId5" Type="http://schemas.openxmlformats.org/officeDocument/2006/relationships/footnotes" Target="footnotes.xml"/><Relationship Id="rId10" Type="http://schemas.openxmlformats.org/officeDocument/2006/relationships/hyperlink" Target="http://www.crcb.eu/" TargetMode="External"/><Relationship Id="rId4" Type="http://schemas.openxmlformats.org/officeDocument/2006/relationships/webSettings" Target="webSettings.xml"/><Relationship Id="rId9" Type="http://schemas.openxmlformats.org/officeDocument/2006/relationships/hyperlink" Target="http://www.theguardian.com/technology/2014/jun/13/big-data-how-predictive-analytics-is-taking-over-the-public-sect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4</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PIUS DESDERY</dc:creator>
  <cp:lastModifiedBy>PIUS DESDERY</cp:lastModifiedBy>
  <cp:revision>25</cp:revision>
  <dcterms:created xsi:type="dcterms:W3CDTF">2019-12-19T04:29:00Z</dcterms:created>
  <dcterms:modified xsi:type="dcterms:W3CDTF">2019-12-20T04:32:00Z</dcterms:modified>
</cp:coreProperties>
</file>