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rFonts w:ascii="Calibri" w:hAnsi="Calibri"/>
          <w:b/>
          <w:i w:val="0"/>
          <w:color w:val="0F2D52"/>
          <w:sz w:val="48"/>
        </w:rPr>
        <w:t>SPÉCIFICATIONS FONCTIONNELLES</w:t>
      </w:r>
    </w:p>
    <w:p>
      <w:pPr>
        <w:spacing w:before="0" w:after="40"/>
        <w:jc w:val="center"/>
      </w:pPr>
      <w:r>
        <w:rPr>
          <w:rFonts w:ascii="Calibri" w:hAnsi="Calibri"/>
          <w:b w:val="0"/>
          <w:i/>
          <w:color w:val="1A73E8"/>
          <w:sz w:val="28"/>
        </w:rPr>
        <w:t>Application de gestion des finances personnelles</w:t>
      </w:r>
    </w:p>
    <w:p>
      <w:pPr>
        <w:spacing w:before="0" w:after="800"/>
        <w:jc w:val="center"/>
      </w:pPr>
      <w:r>
        <w:rPr>
          <w:rFonts w:ascii="Calibri" w:hAnsi="Calibri"/>
          <w:b w:val="0"/>
          <w:i w:val="0"/>
          <w:color w:val="757575"/>
          <w:sz w:val="18"/>
        </w:rPr>
        <w:t>Version 2.0  ·  23 April 2026  ·  Phase de cadrage fonctionnel</w:t>
      </w:r>
    </w:p>
    <w:tbl>
      <w:tblPr>
        <w:tblStyle w:val="TableGrid"/>
        <w:tblW w:type="auto" w:w="0"/>
        <w:tblLook w:firstColumn="1" w:firstRow="1" w:lastColumn="0" w:lastRow="0" w:noHBand="0" w:noVBand="1" w:val="04A0"/>
      </w:tblPr>
      <w:tblGrid>
        <w:gridCol w:w="4703"/>
        <w:gridCol w:w="4703"/>
      </w:tblGrid>
      <w:tr>
        <w:tc>
          <w:tcPr>
            <w:tcW w:type="dxa" w:w="2551"/>
            <w:shd w:val="clear" w:color="auto" w:fill="EBF2FB"/>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i w:val="0"/>
                <w:color w:val="0F2D52"/>
                <w:sz w:val="18"/>
              </w:rPr>
              <w:t>Commanditaire</w:t>
            </w:r>
          </w:p>
        </w:tc>
        <w:tc>
          <w:tcPr>
            <w:tcW w:type="dxa" w:w="6520"/>
            <w:shd w:val="clear" w:color="auto" w:fill="FFFFFF"/>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val="0"/>
                <w:i w:val="0"/>
                <w:color w:val="3C3C3C"/>
                <w:sz w:val="18"/>
              </w:rPr>
              <w:t>Client — à préciser</w:t>
            </w:r>
          </w:p>
        </w:tc>
      </w:tr>
      <w:tr>
        <w:tc>
          <w:tcPr>
            <w:tcW w:type="dxa" w:w="2551"/>
            <w:shd w:val="clear" w:color="auto" w:fill="EBF2FB"/>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i w:val="0"/>
                <w:color w:val="0F2D52"/>
                <w:sz w:val="18"/>
              </w:rPr>
              <w:t>Rédacteur</w:t>
            </w:r>
          </w:p>
        </w:tc>
        <w:tc>
          <w:tcPr>
            <w:tcW w:type="dxa" w:w="6520"/>
            <w:shd w:val="clear" w:color="auto" w:fill="FFFFFF"/>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val="0"/>
                <w:i w:val="0"/>
                <w:color w:val="3C3C3C"/>
                <w:sz w:val="18"/>
              </w:rPr>
              <w:t>Équipe produit</w:t>
            </w:r>
          </w:p>
        </w:tc>
      </w:tr>
      <w:tr>
        <w:tc>
          <w:tcPr>
            <w:tcW w:type="dxa" w:w="2551"/>
            <w:shd w:val="clear" w:color="auto" w:fill="EBF2FB"/>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i w:val="0"/>
                <w:color w:val="0F2D52"/>
                <w:sz w:val="18"/>
              </w:rPr>
              <w:t>Statut</w:t>
            </w:r>
          </w:p>
        </w:tc>
        <w:tc>
          <w:tcPr>
            <w:tcW w:type="dxa" w:w="6520"/>
            <w:shd w:val="clear" w:color="auto" w:fill="FFFFFF"/>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val="0"/>
                <w:i w:val="0"/>
                <w:color w:val="3C3C3C"/>
                <w:sz w:val="18"/>
              </w:rPr>
              <w:t>Brouillon v2.0 — mis à jour après benchmark Wallet / marché 2025</w:t>
            </w:r>
          </w:p>
        </w:tc>
      </w:tr>
      <w:tr>
        <w:tc>
          <w:tcPr>
            <w:tcW w:type="dxa" w:w="2551"/>
            <w:shd w:val="clear" w:color="auto" w:fill="EBF2FB"/>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i w:val="0"/>
                <w:color w:val="0F2D52"/>
                <w:sz w:val="18"/>
              </w:rPr>
              <w:t>Cible de lancement</w:t>
            </w:r>
          </w:p>
        </w:tc>
        <w:tc>
          <w:tcPr>
            <w:tcW w:type="dxa" w:w="6520"/>
            <w:shd w:val="clear" w:color="auto" w:fill="FFFFFF"/>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val="0"/>
                <w:i w:val="0"/>
                <w:color w:val="3C3C3C"/>
                <w:sz w:val="18"/>
              </w:rPr>
              <w:t>MVP 12 semaines · V2 (premium) à 6 mois post-lancement</w:t>
            </w:r>
          </w:p>
        </w:tc>
      </w:tr>
      <w:tr>
        <w:tc>
          <w:tcPr>
            <w:tcW w:type="dxa" w:w="2551"/>
            <w:shd w:val="clear" w:color="auto" w:fill="EBF2FB"/>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i w:val="0"/>
                <w:color w:val="0F2D52"/>
                <w:sz w:val="18"/>
              </w:rPr>
              <w:t>Prochaine étape</w:t>
            </w:r>
          </w:p>
        </w:tc>
        <w:tc>
          <w:tcPr>
            <w:tcW w:type="dxa" w:w="6520"/>
            <w:shd w:val="clear" w:color="auto" w:fill="FFFFFF"/>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val="0"/>
                <w:i w:val="0"/>
                <w:color w:val="3C3C3C"/>
                <w:sz w:val="18"/>
              </w:rPr>
              <w:t>Validation fonctionnelle → maquettage UX → specs techniques</w:t>
            </w:r>
          </w:p>
        </w:tc>
      </w:tr>
    </w:tbl>
    <w:p>
      <w:r>
        <w:br w:type="page"/>
      </w:r>
    </w:p>
    <w:p>
      <w:pPr>
        <w:spacing w:before="320" w:after="80"/>
        <w:pBdr>
          <w:bottom w:val="single" w:sz="8" w:space="4" w:color="0F2D52"/>
        </w:pBdr>
      </w:pPr>
      <w:r>
        <w:rPr>
          <w:rFonts w:ascii="Calibri" w:hAnsi="Calibri"/>
          <w:b/>
          <w:i w:val="0"/>
          <w:color w:val="0F2D52"/>
          <w:sz w:val="28"/>
        </w:rPr>
        <w:t>1. Vision produit et positionnement</w:t>
      </w:r>
    </w:p>
    <w:p>
      <w:pPr>
        <w:spacing w:before="200" w:after="60"/>
      </w:pPr>
      <w:r>
        <w:rPr>
          <w:rFonts w:ascii="Calibri" w:hAnsi="Calibri"/>
          <w:b/>
          <w:i w:val="0"/>
          <w:color w:val="1A73E8"/>
          <w:sz w:val="22"/>
        </w:rPr>
        <w:t>1.1  Vision</w:t>
      </w:r>
    </w:p>
    <w:p>
      <w:pPr>
        <w:spacing w:before="0" w:after="100"/>
        <w:jc w:val="left"/>
      </w:pPr>
      <w:r>
        <w:rPr>
          <w:rFonts w:ascii="Calibri" w:hAnsi="Calibri"/>
          <w:b w:val="0"/>
          <w:i w:val="0"/>
          <w:color w:val="3C3C3C"/>
          <w:sz w:val="20"/>
        </w:rPr>
        <w:t>Construire l'application de finances personnelles la plus utile au quotidien pour les particuliers francophones : intuitive à la première utilisation, engageante sur la durée, et suffisamment puissante pour accompagner l'utilisateur dans tous ses projets financiers — de la gestion du budget mensuel aux objectifs d'épargne à long terme.</w:t>
      </w:r>
    </w:p>
    <w:p>
      <w:pPr>
        <w:spacing w:before="200" w:after="60"/>
      </w:pPr>
      <w:r>
        <w:rPr>
          <w:rFonts w:ascii="Calibri" w:hAnsi="Calibri"/>
          <w:b/>
          <w:i w:val="0"/>
          <w:color w:val="1A73E8"/>
          <w:sz w:val="22"/>
        </w:rPr>
        <w:t>1.2  Proposition de valeur différenciante</w:t>
      </w:r>
    </w:p>
    <w:tbl>
      <w:tblPr>
        <w:tblStyle w:val="TableGrid"/>
        <w:tblW w:type="auto" w:w="0"/>
        <w:tblLook w:firstColumn="1" w:firstRow="1" w:lastColumn="0" w:lastRow="0" w:noHBand="0" w:noVBand="1" w:val="04A0"/>
      </w:tblPr>
      <w:tblGrid>
        <w:gridCol w:w="4703"/>
        <w:gridCol w:w="4703"/>
      </w:tblGrid>
      <w:tr>
        <w:tc>
          <w:tcPr>
            <w:tcW w:type="dxa" w:w="2268"/>
            <w:shd w:val="clear" w:color="auto" w:fill="0F2D52"/>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i w:val="0"/>
                <w:color w:val="FFFFFF"/>
                <w:sz w:val="18"/>
              </w:rPr>
              <w:t>Avantage</w:t>
            </w:r>
          </w:p>
        </w:tc>
        <w:tc>
          <w:tcPr>
            <w:tcW w:type="dxa" w:w="7087"/>
            <w:shd w:val="clear" w:color="auto" w:fill="0F2D52"/>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i w:val="0"/>
                <w:color w:val="FFFFFF"/>
                <w:sz w:val="18"/>
              </w:rPr>
              <w:t>Ce que ça signifie concrètement pour l'utilisateur</w:t>
            </w:r>
          </w:p>
        </w:tc>
      </w:tr>
      <w:tr>
        <w:tc>
          <w:tcPr>
            <w:tcW w:type="dxa" w:w="2268"/>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i w:val="0"/>
                <w:color w:val="00897B"/>
                <w:sz w:val="18"/>
              </w:rPr>
              <w:t>Clarté immédiate</w:t>
            </w:r>
          </w:p>
        </w:tc>
        <w:tc>
          <w:tcPr>
            <w:tcW w:type="dxa" w:w="7087"/>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val="0"/>
                <w:i w:val="0"/>
                <w:color w:val="3C3C3C"/>
                <w:sz w:val="18"/>
              </w:rPr>
              <w:t>En moins de 60 secondes, l'utilisateur sait exactement où en est son budget du mois.</w:t>
            </w:r>
          </w:p>
        </w:tc>
      </w:tr>
      <w:tr>
        <w:tc>
          <w:tcPr>
            <w:tcW w:type="dxa" w:w="2268"/>
            <w:tcBorders>
              <w:top w:val="single" w:sz="4" w:space="0" w:color="D0DCE8"/>
              <w:left w:val="single" w:sz="4" w:space="0" w:color="D0DCE8"/>
              <w:bottom w:val="single" w:sz="4" w:space="0" w:color="D0DCE8"/>
              <w:right w:val="single" w:sz="4" w:space="0" w:color="D0DCE8"/>
            </w:tcBorders>
            <w:shd w:val="clear" w:color="auto" w:fill="F0F7FF"/>
          </w:tcPr>
          <w:p>
            <w:pPr>
              <w:spacing w:before="80" w:after="80"/>
            </w:pPr>
            <w:r/>
            <w:r>
              <w:rPr>
                <w:rFonts w:ascii="Calibri" w:hAnsi="Calibri"/>
                <w:b/>
                <w:i w:val="0"/>
                <w:color w:val="00897B"/>
                <w:sz w:val="18"/>
              </w:rPr>
              <w:t>Insights actionnables</w:t>
            </w:r>
          </w:p>
        </w:tc>
        <w:tc>
          <w:tcPr>
            <w:tcW w:type="dxa" w:w="7087"/>
            <w:tcBorders>
              <w:top w:val="single" w:sz="4" w:space="0" w:color="D0DCE8"/>
              <w:left w:val="single" w:sz="4" w:space="0" w:color="D0DCE8"/>
              <w:bottom w:val="single" w:sz="4" w:space="0" w:color="D0DCE8"/>
              <w:right w:val="single" w:sz="4" w:space="0" w:color="D0DCE8"/>
            </w:tcBorders>
            <w:shd w:val="clear" w:color="auto" w:fill="F0F7FF"/>
          </w:tcPr>
          <w:p>
            <w:pPr>
              <w:spacing w:before="80" w:after="80"/>
            </w:pPr>
            <w:r/>
            <w:r>
              <w:rPr>
                <w:rFonts w:ascii="Calibri" w:hAnsi="Calibri"/>
                <w:b w:val="0"/>
                <w:i w:val="0"/>
                <w:color w:val="3C3C3C"/>
                <w:sz w:val="18"/>
              </w:rPr>
              <w:t>L'app ne se contente pas d'afficher des chiffres : elle détecte les anomalies, prédit les risques de dépassement et suggère des ajustements concrets.</w:t>
            </w:r>
          </w:p>
        </w:tc>
      </w:tr>
      <w:tr>
        <w:tc>
          <w:tcPr>
            <w:tcW w:type="dxa" w:w="2268"/>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i w:val="0"/>
                <w:color w:val="00897B"/>
                <w:sz w:val="18"/>
              </w:rPr>
              <w:t>Score de santé financière</w:t>
            </w:r>
          </w:p>
        </w:tc>
        <w:tc>
          <w:tcPr>
            <w:tcW w:type="dxa" w:w="7087"/>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val="0"/>
                <w:i w:val="0"/>
                <w:color w:val="3C3C3C"/>
                <w:sz w:val="18"/>
              </w:rPr>
              <w:t>Un indicateur synthétique et gamifié motive l'utilisateur à améliorer ses habitudes semaine après semaine.</w:t>
            </w:r>
          </w:p>
        </w:tc>
      </w:tr>
      <w:tr>
        <w:tc>
          <w:tcPr>
            <w:tcW w:type="dxa" w:w="2268"/>
            <w:tcBorders>
              <w:top w:val="single" w:sz="4" w:space="0" w:color="D0DCE8"/>
              <w:left w:val="single" w:sz="4" w:space="0" w:color="D0DCE8"/>
              <w:bottom w:val="single" w:sz="4" w:space="0" w:color="D0DCE8"/>
              <w:right w:val="single" w:sz="4" w:space="0" w:color="D0DCE8"/>
            </w:tcBorders>
            <w:shd w:val="clear" w:color="auto" w:fill="F0F7FF"/>
          </w:tcPr>
          <w:p>
            <w:pPr>
              <w:spacing w:before="80" w:after="80"/>
            </w:pPr>
            <w:r/>
            <w:r>
              <w:rPr>
                <w:rFonts w:ascii="Calibri" w:hAnsi="Calibri"/>
                <w:b/>
                <w:i w:val="0"/>
                <w:color w:val="00897B"/>
                <w:sz w:val="18"/>
              </w:rPr>
              <w:t>Zéro friction à la saisie</w:t>
            </w:r>
          </w:p>
        </w:tc>
        <w:tc>
          <w:tcPr>
            <w:tcW w:type="dxa" w:w="7087"/>
            <w:tcBorders>
              <w:top w:val="single" w:sz="4" w:space="0" w:color="D0DCE8"/>
              <w:left w:val="single" w:sz="4" w:space="0" w:color="D0DCE8"/>
              <w:bottom w:val="single" w:sz="4" w:space="0" w:color="D0DCE8"/>
              <w:right w:val="single" w:sz="4" w:space="0" w:color="D0DCE8"/>
            </w:tcBorders>
            <w:shd w:val="clear" w:color="auto" w:fill="F0F7FF"/>
          </w:tcPr>
          <w:p>
            <w:pPr>
              <w:spacing w:before="80" w:after="80"/>
            </w:pPr>
            <w:r/>
            <w:r>
              <w:rPr>
                <w:rFonts w:ascii="Calibri" w:hAnsi="Calibri"/>
                <w:b w:val="0"/>
                <w:i w:val="0"/>
                <w:color w:val="3C3C3C"/>
                <w:sz w:val="18"/>
              </w:rPr>
              <w:t>Accès rapide, calculatrice intégrée, reconnaissance de photos de reçus, dépenses récurrentes automatiques — saisir une dépense prend moins de 10 secondes.</w:t>
            </w:r>
          </w:p>
        </w:tc>
      </w:tr>
      <w:tr>
        <w:tc>
          <w:tcPr>
            <w:tcW w:type="dxa" w:w="2268"/>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i w:val="0"/>
                <w:color w:val="00897B"/>
                <w:sz w:val="18"/>
              </w:rPr>
              <w:t>Confiance &amp; vie privée</w:t>
            </w:r>
          </w:p>
        </w:tc>
        <w:tc>
          <w:tcPr>
            <w:tcW w:type="dxa" w:w="7087"/>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val="0"/>
                <w:i w:val="0"/>
                <w:color w:val="3C3C3C"/>
                <w:sz w:val="18"/>
              </w:rPr>
              <w:t>Données chiffrées de bout en bout. Aucune revente de données. Conformité RGPD native. Accès PIN/biométrique.</w:t>
            </w:r>
          </w:p>
        </w:tc>
      </w:tr>
      <w:tr>
        <w:tc>
          <w:tcPr>
            <w:tcW w:type="dxa" w:w="2268"/>
            <w:tcBorders>
              <w:top w:val="single" w:sz="4" w:space="0" w:color="D0DCE8"/>
              <w:left w:val="single" w:sz="4" w:space="0" w:color="D0DCE8"/>
              <w:bottom w:val="single" w:sz="4" w:space="0" w:color="D0DCE8"/>
              <w:right w:val="single" w:sz="4" w:space="0" w:color="D0DCE8"/>
            </w:tcBorders>
            <w:shd w:val="clear" w:color="auto" w:fill="F0F7FF"/>
          </w:tcPr>
          <w:p>
            <w:pPr>
              <w:spacing w:before="80" w:after="80"/>
            </w:pPr>
            <w:r/>
            <w:r>
              <w:rPr>
                <w:rFonts w:ascii="Calibri" w:hAnsi="Calibri"/>
                <w:b/>
                <w:i w:val="0"/>
                <w:color w:val="00897B"/>
                <w:sz w:val="18"/>
              </w:rPr>
              <w:t>Modèle freemium transparent</w:t>
            </w:r>
          </w:p>
        </w:tc>
        <w:tc>
          <w:tcPr>
            <w:tcW w:type="dxa" w:w="7087"/>
            <w:tcBorders>
              <w:top w:val="single" w:sz="4" w:space="0" w:color="D0DCE8"/>
              <w:left w:val="single" w:sz="4" w:space="0" w:color="D0DCE8"/>
              <w:bottom w:val="single" w:sz="4" w:space="0" w:color="D0DCE8"/>
              <w:right w:val="single" w:sz="4" w:space="0" w:color="D0DCE8"/>
            </w:tcBorders>
            <w:shd w:val="clear" w:color="auto" w:fill="F0F7FF"/>
          </w:tcPr>
          <w:p>
            <w:pPr>
              <w:spacing w:before="80" w:after="80"/>
            </w:pPr>
            <w:r/>
            <w:r>
              <w:rPr>
                <w:rFonts w:ascii="Calibri" w:hAnsi="Calibri"/>
                <w:b w:val="0"/>
                <w:i w:val="0"/>
                <w:color w:val="3C3C3C"/>
                <w:sz w:val="18"/>
              </w:rPr>
              <w:t>La version gratuite est genuinement utile. La version premium offre des fonctionnalités avancées à un tarif clair, sans surprise.</w:t>
            </w:r>
          </w:p>
        </w:tc>
      </w:tr>
    </w:tbl>
    <w:p>
      <w:pPr>
        <w:spacing w:before="200" w:after="60"/>
      </w:pPr>
      <w:r>
        <w:rPr>
          <w:rFonts w:ascii="Calibri" w:hAnsi="Calibri"/>
          <w:b/>
          <w:i w:val="0"/>
          <w:color w:val="1A73E8"/>
          <w:sz w:val="22"/>
        </w:rPr>
        <w:t>1.3  Personas utilisateurs</w:t>
      </w:r>
    </w:p>
    <w:tbl>
      <w:tblPr>
        <w:tblStyle w:val="TableGrid"/>
        <w:tblW w:type="auto" w:w="0"/>
        <w:tblLook w:firstColumn="1" w:firstRow="1" w:lastColumn="0" w:lastRow="0" w:noHBand="0" w:noVBand="1" w:val="04A0"/>
      </w:tblPr>
      <w:tblGrid>
        <w:gridCol w:w="9406"/>
      </w:tblGrid>
      <w:tr>
        <w:tc>
          <w:tcPr>
            <w:tcW w:type="dxa" w:w="9406"/>
            <w:shd w:val="clear" w:color="auto" w:fill="F8FBFF"/>
            <w:tcBorders>
              <w:top w:val="single" w:sz="4" w:space="0" w:color="1A73E8"/>
              <w:left w:val="single" w:sz="4" w:space="0" w:color="1A73E8"/>
              <w:bottom w:val="single" w:sz="4" w:space="0" w:color="1A73E8"/>
              <w:right w:val="single" w:sz="4" w:space="0" w:color="1A73E8"/>
            </w:tcBorders>
          </w:tcPr>
          <w:p>
            <w:pPr>
              <w:spacing w:before="120" w:after="40"/>
            </w:pPr>
            <w:r>
              <w:rPr>
                <w:rFonts w:ascii="Calibri" w:hAnsi="Calibri"/>
                <w:b/>
                <w:i w:val="0"/>
                <w:color w:val="0F2D52"/>
                <w:sz w:val="20"/>
              </w:rPr>
              <w:t>Marie, 28 ans — jeune active</w:t>
              <w:br/>
            </w:r>
            <w:r>
              <w:rPr>
                <w:rFonts w:ascii="Calibri" w:hAnsi="Calibri"/>
                <w:b w:val="0"/>
                <w:i w:val="0"/>
                <w:color w:val="3C3C3C"/>
                <w:sz w:val="18"/>
              </w:rPr>
              <w:t>Salariée, premier appartement. Veut arrêter de se demander "où est passé mon argent" en fin de mois. Utilise l'app sur mobile en transport. Sensible au design, intolérante à la complexité.</w:t>
              <w:br/>
            </w:r>
            <w:r>
              <w:rPr>
                <w:rFonts w:ascii="Calibri" w:hAnsi="Calibri"/>
                <w:b/>
                <w:i w:val="0"/>
                <w:color w:val="00897B"/>
                <w:sz w:val="18"/>
              </w:rPr>
              <w:t xml:space="preserve">Besoins clés : </w:t>
            </w:r>
            <w:r>
              <w:rPr>
                <w:rFonts w:ascii="Calibri" w:hAnsi="Calibri"/>
                <w:b w:val="0"/>
                <w:i/>
                <w:color w:val="3C3C3C"/>
                <w:sz w:val="18"/>
              </w:rPr>
              <w:t>Saisie rapide · Tableau de bord clair · Alertes budget</w:t>
            </w:r>
          </w:p>
        </w:tc>
      </w:tr>
    </w:tbl>
    <w:p>
      <w:pPr>
        <w:spacing w:before="0" w:after="80"/>
        <w:jc w:val="left"/>
      </w:pPr>
    </w:p>
    <w:tbl>
      <w:tblPr>
        <w:tblStyle w:val="TableGrid"/>
        <w:tblW w:type="auto" w:w="0"/>
        <w:tblLook w:firstColumn="1" w:firstRow="1" w:lastColumn="0" w:lastRow="0" w:noHBand="0" w:noVBand="1" w:val="04A0"/>
      </w:tblPr>
      <w:tblGrid>
        <w:gridCol w:w="9406"/>
      </w:tblGrid>
      <w:tr>
        <w:tc>
          <w:tcPr>
            <w:tcW w:type="dxa" w:w="9406"/>
            <w:shd w:val="clear" w:color="auto" w:fill="F8FBFF"/>
            <w:tcBorders>
              <w:top w:val="single" w:sz="4" w:space="0" w:color="1A73E8"/>
              <w:left w:val="single" w:sz="4" w:space="0" w:color="1A73E8"/>
              <w:bottom w:val="single" w:sz="4" w:space="0" w:color="1A73E8"/>
              <w:right w:val="single" w:sz="4" w:space="0" w:color="1A73E8"/>
            </w:tcBorders>
          </w:tcPr>
          <w:p>
            <w:pPr>
              <w:spacing w:before="120" w:after="40"/>
            </w:pPr>
            <w:r>
              <w:rPr>
                <w:rFonts w:ascii="Calibri" w:hAnsi="Calibri"/>
                <w:b/>
                <w:i w:val="0"/>
                <w:color w:val="0F2D52"/>
                <w:sz w:val="20"/>
              </w:rPr>
              <w:t>Karim, 35 ans — freelance</w:t>
              <w:br/>
            </w:r>
            <w:r>
              <w:rPr>
                <w:rFonts w:ascii="Calibri" w:hAnsi="Calibri"/>
                <w:b w:val="0"/>
                <w:i w:val="0"/>
                <w:color w:val="3C3C3C"/>
                <w:sz w:val="18"/>
              </w:rPr>
              <w:t>Revenus variables, charges mixtes pro/perso. A besoin de séparer ses dépenses, de piloter son taux d'épargne et de préparer sa déclaration fiscale. Utilise l'app sur desktop et mobile.</w:t>
              <w:br/>
            </w:r>
            <w:r>
              <w:rPr>
                <w:rFonts w:ascii="Calibri" w:hAnsi="Calibri"/>
                <w:b/>
                <w:i w:val="0"/>
                <w:color w:val="00897B"/>
                <w:sz w:val="18"/>
              </w:rPr>
              <w:t xml:space="preserve">Besoins clés : </w:t>
            </w:r>
            <w:r>
              <w:rPr>
                <w:rFonts w:ascii="Calibri" w:hAnsi="Calibri"/>
                <w:b w:val="0"/>
                <w:i/>
                <w:color w:val="3C3C3C"/>
                <w:sz w:val="18"/>
              </w:rPr>
              <w:t>Multi-comptes · Tags fiscaux · Export · Revenus irréguliers</w:t>
            </w:r>
          </w:p>
        </w:tc>
      </w:tr>
    </w:tbl>
    <w:p>
      <w:pPr>
        <w:spacing w:before="0" w:after="80"/>
        <w:jc w:val="left"/>
      </w:pPr>
    </w:p>
    <w:tbl>
      <w:tblPr>
        <w:tblStyle w:val="TableGrid"/>
        <w:tblW w:type="auto" w:w="0"/>
        <w:tblLook w:firstColumn="1" w:firstRow="1" w:lastColumn="0" w:lastRow="0" w:noHBand="0" w:noVBand="1" w:val="04A0"/>
      </w:tblPr>
      <w:tblGrid>
        <w:gridCol w:w="9406"/>
      </w:tblGrid>
      <w:tr>
        <w:tc>
          <w:tcPr>
            <w:tcW w:type="dxa" w:w="9406"/>
            <w:shd w:val="clear" w:color="auto" w:fill="F8FBFF"/>
            <w:tcBorders>
              <w:top w:val="single" w:sz="4" w:space="0" w:color="1A73E8"/>
              <w:left w:val="single" w:sz="4" w:space="0" w:color="1A73E8"/>
              <w:bottom w:val="single" w:sz="4" w:space="0" w:color="1A73E8"/>
              <w:right w:val="single" w:sz="4" w:space="0" w:color="1A73E8"/>
            </w:tcBorders>
          </w:tcPr>
          <w:p>
            <w:pPr>
              <w:spacing w:before="120" w:after="40"/>
            </w:pPr>
            <w:r>
              <w:rPr>
                <w:rFonts w:ascii="Calibri" w:hAnsi="Calibri"/>
                <w:b/>
                <w:i w:val="0"/>
                <w:color w:val="0F2D52"/>
                <w:sz w:val="20"/>
              </w:rPr>
              <w:t>Sophie &amp; Marc, 42 ans — couple avec enfants</w:t>
              <w:br/>
            </w:r>
            <w:r>
              <w:rPr>
                <w:rFonts w:ascii="Calibri" w:hAnsi="Calibri"/>
                <w:b w:val="0"/>
                <w:i w:val="0"/>
                <w:color w:val="3C3C3C"/>
                <w:sz w:val="18"/>
              </w:rPr>
              <w:t>Deux salaires, gros postes de dépenses (loyer, école, voiture). Veulent anticiper les mois difficiles et tenir leurs objectifs d'épargne (vacances, travaux). Utilisateurs occasionnels mais réguliers.</w:t>
              <w:br/>
            </w:r>
            <w:r>
              <w:rPr>
                <w:rFonts w:ascii="Calibri" w:hAnsi="Calibri"/>
                <w:b/>
                <w:i w:val="0"/>
                <w:color w:val="00897B"/>
                <w:sz w:val="18"/>
              </w:rPr>
              <w:t xml:space="preserve">Besoins clés : </w:t>
            </w:r>
            <w:r>
              <w:rPr>
                <w:rFonts w:ascii="Calibri" w:hAnsi="Calibri"/>
                <w:b w:val="0"/>
                <w:i/>
                <w:color w:val="3C3C3C"/>
                <w:sz w:val="18"/>
              </w:rPr>
              <w:t>Objectifs épargne · Prévision cash flow · Factures planifiées</w:t>
            </w:r>
          </w:p>
        </w:tc>
      </w:tr>
    </w:tbl>
    <w:p>
      <w:pPr>
        <w:spacing w:before="0" w:after="80"/>
        <w:jc w:val="left"/>
      </w:pPr>
    </w:p>
    <w:p>
      <w:pPr>
        <w:spacing w:before="200" w:after="60"/>
      </w:pPr>
      <w:r>
        <w:rPr>
          <w:rFonts w:ascii="Calibri" w:hAnsi="Calibri"/>
          <w:b/>
          <w:i w:val="0"/>
          <w:color w:val="1A73E8"/>
          <w:sz w:val="22"/>
        </w:rPr>
        <w:t>1.4  Modèle freemium — Philosophie</w:t>
      </w:r>
    </w:p>
    <w:p>
      <w:pPr>
        <w:spacing w:before="0" w:after="100"/>
        <w:jc w:val="left"/>
      </w:pPr>
      <w:r>
        <w:rPr>
          <w:rFonts w:ascii="Calibri" w:hAnsi="Calibri"/>
          <w:b w:val="0"/>
          <w:i w:val="0"/>
          <w:color w:val="3C3C3C"/>
          <w:sz w:val="20"/>
        </w:rPr>
        <w:t>Principe directeur : la version gratuite doit être genuinement complète pour l'usage quotidien standard. Un utilisateur Free ne doit jamais se sentir bloqué dans ses tâches courantes. Le Premium facture exclusivement la couche intelligence (insights, prédictions, score) et les outils de puissance (split, fiscal, import, dettes) — des fonctionnalités à forte valeur perçue qui justifient un abonnement sans frustrer les utilisateurs gratuits.</w:t>
      </w:r>
    </w:p>
    <w:p>
      <w:pPr>
        <w:spacing w:before="120" w:after="100"/>
        <w:jc w:val="left"/>
      </w:pPr>
      <w:r>
        <w:rPr>
          <w:rFonts w:ascii="Calibri" w:hAnsi="Calibri"/>
          <w:b w:val="0"/>
          <w:i/>
          <w:color w:val="757575"/>
          <w:sz w:val="20"/>
        </w:rPr>
        <w:t>Cette approche maximise les téléchargements et la rétention organique (bouche-à-oreille), tout en créant un tunnel de conversion naturel : les utilisateurs Free découvrent la valeur de l'app, puis upgradent pour aller plus loin quand ils sont prêts.</w:t>
      </w:r>
    </w:p>
    <w:tbl>
      <w:tblPr>
        <w:tblStyle w:val="TableGrid"/>
        <w:tblW w:type="auto" w:w="0"/>
        <w:tblLook w:firstColumn="1" w:firstRow="1" w:lastColumn="0" w:lastRow="0" w:noHBand="0" w:noVBand="1" w:val="04A0"/>
      </w:tblPr>
      <w:tblGrid>
        <w:gridCol w:w="3135"/>
        <w:gridCol w:w="3135"/>
        <w:gridCol w:w="3135"/>
      </w:tblGrid>
      <w:tr>
        <w:tc>
          <w:tcPr>
            <w:tcW w:type="dxa" w:w="1814"/>
            <w:shd w:val="clear" w:color="auto" w:fill="0F2D52"/>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i w:val="0"/>
                <w:color w:val="FFFFFF"/>
                <w:sz w:val="18"/>
              </w:rPr>
              <w:t>Domaine</w:t>
            </w:r>
          </w:p>
        </w:tc>
        <w:tc>
          <w:tcPr>
            <w:tcW w:type="dxa" w:w="4422"/>
            <w:shd w:val="clear" w:color="auto" w:fill="00897B"/>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i w:val="0"/>
                <w:color w:val="FFFFFF"/>
                <w:sz w:val="18"/>
              </w:rPr>
              <w:t>✓ Gratuit — toujours inclus</w:t>
            </w:r>
          </w:p>
        </w:tc>
        <w:tc>
          <w:tcPr>
            <w:tcW w:type="dxa" w:w="3118"/>
            <w:shd w:val="clear" w:color="auto" w:fill="1A73E8"/>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i w:val="0"/>
                <w:color w:val="FFFFFF"/>
                <w:sz w:val="18"/>
              </w:rPr>
              <w:t>★ Premium — abonnement mensuel / annuel</w:t>
            </w:r>
          </w:p>
        </w:tc>
      </w:tr>
      <w:tr>
        <w:tc>
          <w:tcPr>
            <w:tcW w:type="dxa" w:w="1814"/>
            <w:shd w:val="clear" w:color="auto" w:fill="F5F9FF"/>
            <w:tcBorders>
              <w:top w:val="single" w:sz="4" w:space="0" w:color="D0DCE8"/>
              <w:left w:val="single" w:sz="4" w:space="0" w:color="D0DCE8"/>
              <w:bottom w:val="single" w:sz="4" w:space="0" w:color="D0DCE8"/>
              <w:right w:val="single" w:sz="4" w:space="0" w:color="D0DCE8"/>
            </w:tcBorders>
          </w:tcPr>
          <w:p>
            <w:pPr>
              <w:spacing w:before="100" w:after="100"/>
            </w:pPr>
            <w:r/>
            <w:r>
              <w:rPr>
                <w:rFonts w:ascii="Calibri" w:hAnsi="Calibri"/>
                <w:b/>
                <w:i w:val="0"/>
                <w:color w:val="0F2D52"/>
                <w:sz w:val="18"/>
              </w:rPr>
              <w:t>Comptes &amp; transactions</w:t>
            </w:r>
          </w:p>
        </w:tc>
        <w:tc>
          <w:tcPr>
            <w:tcW w:type="dxa" w:w="4422"/>
            <w:shd w:val="clear" w:color="auto" w:fill="F0FAF7"/>
            <w:tcBorders>
              <w:top w:val="single" w:sz="4" w:space="0" w:color="D0DCE8"/>
              <w:left w:val="single" w:sz="4" w:space="0" w:color="D0DCE8"/>
              <w:bottom w:val="single" w:sz="4" w:space="0" w:color="D0DCE8"/>
              <w:right w:val="single" w:sz="4" w:space="0" w:color="D0DCE8"/>
            </w:tcBorders>
          </w:tcPr>
          <w:p>
            <w:r/>
          </w:p>
          <w:p>
            <w:pPr>
              <w:spacing w:before="40" w:after="40"/>
            </w:pPr>
            <w:r>
              <w:rPr>
                <w:rFonts w:ascii="Calibri" w:hAnsi="Calibri"/>
                <w:b w:val="0"/>
                <w:i w:val="0"/>
                <w:color w:val="2E7D32"/>
                <w:sz w:val="18"/>
              </w:rPr>
              <w:t>✓  Comptes manuels illimités (espèces, carte, crédit…)</w:t>
            </w:r>
          </w:p>
          <w:p>
            <w:pPr>
              <w:spacing w:before="40" w:after="40"/>
            </w:pPr>
            <w:r>
              <w:rPr>
                <w:rFonts w:ascii="Calibri" w:hAnsi="Calibri"/>
                <w:b w:val="0"/>
                <w:i w:val="0"/>
                <w:color w:val="2E7D32"/>
                <w:sz w:val="18"/>
              </w:rPr>
              <w:t>✓  Transactions illimitées · Virements entre comptes</w:t>
            </w:r>
          </w:p>
          <w:p>
            <w:pPr>
              <w:spacing w:before="40" w:after="40"/>
            </w:pPr>
            <w:r>
              <w:rPr>
                <w:rFonts w:ascii="Calibri" w:hAnsi="Calibri"/>
                <w:b w:val="0"/>
                <w:i w:val="0"/>
                <w:color w:val="2E7D32"/>
                <w:sz w:val="18"/>
              </w:rPr>
              <w:t>✓  Photo de reçu · Recherche &amp; filtres avancés</w:t>
            </w:r>
          </w:p>
        </w:tc>
        <w:tc>
          <w:tcPr>
            <w:tcW w:type="dxa" w:w="3118"/>
            <w:shd w:val="clear" w:color="auto" w:fill="EEF4FF"/>
            <w:tcBorders>
              <w:top w:val="single" w:sz="4" w:space="0" w:color="D0DCE8"/>
              <w:left w:val="single" w:sz="4" w:space="0" w:color="D0DCE8"/>
              <w:bottom w:val="single" w:sz="4" w:space="0" w:color="D0DCE8"/>
              <w:right w:val="single" w:sz="4" w:space="0" w:color="D0DCE8"/>
            </w:tcBorders>
          </w:tcPr>
          <w:p>
            <w:r/>
          </w:p>
          <w:p>
            <w:pPr>
              <w:spacing w:before="40" w:after="40"/>
            </w:pPr>
            <w:r>
              <w:rPr>
                <w:rFonts w:ascii="Calibri" w:hAnsi="Calibri"/>
                <w:b w:val="0"/>
                <w:i w:val="0"/>
                <w:color w:val="1A73E8"/>
                <w:sz w:val="18"/>
              </w:rPr>
              <w:t>★  Split d'une transaction sur plusieurs catégories</w:t>
            </w:r>
          </w:p>
          <w:p>
            <w:pPr>
              <w:spacing w:before="40" w:after="40"/>
            </w:pPr>
            <w:r>
              <w:rPr>
                <w:rFonts w:ascii="Calibri" w:hAnsi="Calibri"/>
                <w:b w:val="0"/>
                <w:i w:val="0"/>
                <w:color w:val="1A73E8"/>
                <w:sz w:val="18"/>
              </w:rPr>
              <w:t>★  Tags libres (#voyage, #pro…)</w:t>
            </w:r>
          </w:p>
          <w:p>
            <w:pPr>
              <w:spacing w:before="40" w:after="40"/>
            </w:pPr>
            <w:r>
              <w:rPr>
                <w:rFonts w:ascii="Calibri" w:hAnsi="Calibri"/>
                <w:b w:val="0"/>
                <w:i w:val="0"/>
                <w:color w:val="1A73E8"/>
                <w:sz w:val="18"/>
              </w:rPr>
              <w:t>★  Marquage fiscal des dépenses déductibles</w:t>
            </w:r>
          </w:p>
        </w:tc>
      </w:tr>
      <w:tr>
        <w:tc>
          <w:tcPr>
            <w:tcW w:type="dxa" w:w="1814"/>
            <w:shd w:val="clear" w:color="auto" w:fill="F5F9FF"/>
            <w:tcBorders>
              <w:top w:val="single" w:sz="4" w:space="0" w:color="D0DCE8"/>
              <w:left w:val="single" w:sz="4" w:space="0" w:color="D0DCE8"/>
              <w:bottom w:val="single" w:sz="4" w:space="0" w:color="D0DCE8"/>
              <w:right w:val="single" w:sz="4" w:space="0" w:color="D0DCE8"/>
            </w:tcBorders>
          </w:tcPr>
          <w:p>
            <w:pPr>
              <w:spacing w:before="100" w:after="100"/>
            </w:pPr>
            <w:r/>
            <w:r>
              <w:rPr>
                <w:rFonts w:ascii="Calibri" w:hAnsi="Calibri"/>
                <w:b/>
                <w:i w:val="0"/>
                <w:color w:val="0F2D52"/>
                <w:sz w:val="18"/>
              </w:rPr>
              <w:t>Liaison bancaire</w:t>
              <w:br/>
              <w:t>(Open Banking)</w:t>
            </w:r>
          </w:p>
        </w:tc>
        <w:tc>
          <w:tcPr>
            <w:tcW w:type="dxa" w:w="4422"/>
            <w:shd w:val="clear" w:color="auto" w:fill="FFFFFF"/>
            <w:tcBorders>
              <w:top w:val="single" w:sz="4" w:space="0" w:color="D0DCE8"/>
              <w:left w:val="single" w:sz="4" w:space="0" w:color="D0DCE8"/>
              <w:bottom w:val="single" w:sz="4" w:space="0" w:color="D0DCE8"/>
              <w:right w:val="single" w:sz="4" w:space="0" w:color="D0DCE8"/>
            </w:tcBorders>
          </w:tcPr>
          <w:p>
            <w:r/>
          </w:p>
          <w:p>
            <w:pPr>
              <w:spacing w:before="40" w:after="40"/>
            </w:pPr>
            <w:r>
              <w:rPr>
                <w:rFonts w:ascii="Calibri" w:hAnsi="Calibri"/>
                <w:b w:val="0"/>
                <w:i w:val="0"/>
                <w:color w:val="757575"/>
                <w:sz w:val="18"/>
              </w:rPr>
              <w:t>—</w:t>
            </w:r>
          </w:p>
        </w:tc>
        <w:tc>
          <w:tcPr>
            <w:tcW w:type="dxa" w:w="3118"/>
            <w:shd w:val="clear" w:color="auto" w:fill="F7FAFF"/>
            <w:tcBorders>
              <w:top w:val="single" w:sz="4" w:space="0" w:color="D0DCE8"/>
              <w:left w:val="single" w:sz="4" w:space="0" w:color="D0DCE8"/>
              <w:bottom w:val="single" w:sz="4" w:space="0" w:color="D0DCE8"/>
              <w:right w:val="single" w:sz="4" w:space="0" w:color="D0DCE8"/>
            </w:tcBorders>
          </w:tcPr>
          <w:p>
            <w:r/>
          </w:p>
          <w:p>
            <w:pPr>
              <w:spacing w:before="40" w:after="40"/>
            </w:pPr>
            <w:r>
              <w:rPr>
                <w:rFonts w:ascii="Calibri" w:hAnsi="Calibri"/>
                <w:b w:val="0"/>
                <w:i w:val="0"/>
                <w:color w:val="1A73E8"/>
                <w:sz w:val="18"/>
              </w:rPr>
              <w:t>★  Connexion à ses banques via Open Banking (DSP2)</w:t>
            </w:r>
          </w:p>
          <w:p>
            <w:pPr>
              <w:spacing w:before="40" w:after="40"/>
            </w:pPr>
            <w:r>
              <w:rPr>
                <w:rFonts w:ascii="Calibri" w:hAnsi="Calibri"/>
                <w:b w:val="0"/>
                <w:i w:val="0"/>
                <w:color w:val="1A73E8"/>
                <w:sz w:val="18"/>
              </w:rPr>
              <w:t>★  Synchronisation automatique des transactions (1×/jour)</w:t>
            </w:r>
          </w:p>
          <w:p>
            <w:pPr>
              <w:spacing w:before="40" w:after="40"/>
            </w:pPr>
            <w:r>
              <w:rPr>
                <w:rFonts w:ascii="Calibri" w:hAnsi="Calibri"/>
                <w:b w:val="0"/>
                <w:i w:val="0"/>
                <w:color w:val="1A73E8"/>
                <w:sz w:val="18"/>
              </w:rPr>
              <w:t>★  Catégorisation automatique des imports bancaires</w:t>
            </w:r>
          </w:p>
          <w:p>
            <w:pPr>
              <w:spacing w:before="40" w:after="40"/>
            </w:pPr>
            <w:r>
              <w:rPr>
                <w:rFonts w:ascii="Calibri" w:hAnsi="Calibri"/>
                <w:b w:val="0"/>
                <w:i w:val="0"/>
                <w:color w:val="1A73E8"/>
                <w:sz w:val="18"/>
              </w:rPr>
              <w:t>★  Solde bancaire en temps réel dans le tableau de bord</w:t>
            </w:r>
          </w:p>
          <w:p>
            <w:pPr>
              <w:spacing w:before="40" w:after="40"/>
            </w:pPr>
            <w:r>
              <w:rPr>
                <w:rFonts w:ascii="Calibri" w:hAnsi="Calibri"/>
                <w:b w:val="0"/>
                <w:i w:val="0"/>
                <w:color w:val="1A73E8"/>
                <w:sz w:val="18"/>
              </w:rPr>
              <w:t>★  Jusqu'à 3 banques connectées simultanément</w:t>
            </w:r>
          </w:p>
          <w:p>
            <w:pPr>
              <w:spacing w:before="40" w:after="40"/>
            </w:pPr>
            <w:r>
              <w:rPr>
                <w:rFonts w:ascii="Calibri" w:hAnsi="Calibri"/>
                <w:b w:val="0"/>
                <w:i w:val="0"/>
                <w:color w:val="1A73E8"/>
                <w:sz w:val="18"/>
              </w:rPr>
              <w:t>★  Gestion de l'état des connexions et reconnexion</w:t>
            </w:r>
          </w:p>
        </w:tc>
      </w:tr>
      <w:tr>
        <w:tc>
          <w:tcPr>
            <w:tcW w:type="dxa" w:w="1814"/>
            <w:shd w:val="clear" w:color="auto" w:fill="F5F9FF"/>
            <w:tcBorders>
              <w:top w:val="single" w:sz="4" w:space="0" w:color="D0DCE8"/>
              <w:left w:val="single" w:sz="4" w:space="0" w:color="D0DCE8"/>
              <w:bottom w:val="single" w:sz="4" w:space="0" w:color="D0DCE8"/>
              <w:right w:val="single" w:sz="4" w:space="0" w:color="D0DCE8"/>
            </w:tcBorders>
          </w:tcPr>
          <w:p>
            <w:pPr>
              <w:spacing w:before="100" w:after="100"/>
            </w:pPr>
            <w:r/>
            <w:r>
              <w:rPr>
                <w:rFonts w:ascii="Calibri" w:hAnsi="Calibri"/>
                <w:b/>
                <w:i w:val="0"/>
                <w:color w:val="0F2D52"/>
                <w:sz w:val="18"/>
              </w:rPr>
              <w:t>Catégories &amp; budgets</w:t>
            </w:r>
          </w:p>
        </w:tc>
        <w:tc>
          <w:tcPr>
            <w:tcW w:type="dxa" w:w="4422"/>
            <w:shd w:val="clear" w:color="auto" w:fill="F0FAF7"/>
            <w:tcBorders>
              <w:top w:val="single" w:sz="4" w:space="0" w:color="D0DCE8"/>
              <w:left w:val="single" w:sz="4" w:space="0" w:color="D0DCE8"/>
              <w:bottom w:val="single" w:sz="4" w:space="0" w:color="D0DCE8"/>
              <w:right w:val="single" w:sz="4" w:space="0" w:color="D0DCE8"/>
            </w:tcBorders>
          </w:tcPr>
          <w:p>
            <w:r/>
          </w:p>
          <w:p>
            <w:pPr>
              <w:spacing w:before="40" w:after="40"/>
            </w:pPr>
            <w:r>
              <w:rPr>
                <w:rFonts w:ascii="Calibri" w:hAnsi="Calibri"/>
                <w:b w:val="0"/>
                <w:i w:val="0"/>
                <w:color w:val="2E7D32"/>
                <w:sz w:val="18"/>
              </w:rPr>
              <w:t>✓  Catégories illimitées (prédéfinies + perso)</w:t>
            </w:r>
          </w:p>
          <w:p>
            <w:pPr>
              <w:spacing w:before="40" w:after="40"/>
            </w:pPr>
            <w:r>
              <w:rPr>
                <w:rFonts w:ascii="Calibri" w:hAnsi="Calibri"/>
                <w:b w:val="0"/>
                <w:i w:val="0"/>
                <w:color w:val="2E7D32"/>
                <w:sz w:val="18"/>
              </w:rPr>
              <w:t>✓  Budgets mensuels illimités par catégorie</w:t>
            </w:r>
          </w:p>
          <w:p>
            <w:pPr>
              <w:spacing w:before="40" w:after="40"/>
            </w:pPr>
            <w:r>
              <w:rPr>
                <w:rFonts w:ascii="Calibri" w:hAnsi="Calibri"/>
                <w:b w:val="0"/>
                <w:i w:val="0"/>
                <w:color w:val="2E7D32"/>
                <w:sz w:val="18"/>
              </w:rPr>
              <w:t>✓  Alertes à 80 % et 100 % du plafond</w:t>
            </w:r>
          </w:p>
          <w:p>
            <w:pPr>
              <w:spacing w:before="40" w:after="40"/>
            </w:pPr>
            <w:r>
              <w:rPr>
                <w:rFonts w:ascii="Calibri" w:hAnsi="Calibri"/>
                <w:b w:val="0"/>
                <w:i w:val="0"/>
                <w:color w:val="2E7D32"/>
                <w:sz w:val="18"/>
              </w:rPr>
              <w:t>✓  Récurrences (dépenses &amp; revenus)</w:t>
            </w:r>
          </w:p>
        </w:tc>
        <w:tc>
          <w:tcPr>
            <w:tcW w:type="dxa" w:w="3118"/>
            <w:shd w:val="clear" w:color="auto" w:fill="EEF4FF"/>
            <w:tcBorders>
              <w:top w:val="single" w:sz="4" w:space="0" w:color="D0DCE8"/>
              <w:left w:val="single" w:sz="4" w:space="0" w:color="D0DCE8"/>
              <w:bottom w:val="single" w:sz="4" w:space="0" w:color="D0DCE8"/>
              <w:right w:val="single" w:sz="4" w:space="0" w:color="D0DCE8"/>
            </w:tcBorders>
          </w:tcPr>
          <w:p>
            <w:r/>
          </w:p>
          <w:p>
            <w:pPr>
              <w:spacing w:before="40" w:after="40"/>
            </w:pPr>
            <w:r>
              <w:rPr>
                <w:rFonts w:ascii="Calibri" w:hAnsi="Calibri"/>
                <w:b w:val="0"/>
                <w:i w:val="0"/>
                <w:color w:val="1A73E8"/>
                <w:sz w:val="18"/>
              </w:rPr>
              <w:t>★  Alertes prédictives (rythme de dépense)</w:t>
            </w:r>
          </w:p>
          <w:p>
            <w:pPr>
              <w:spacing w:before="40" w:after="40"/>
            </w:pPr>
            <w:r>
              <w:rPr>
                <w:rFonts w:ascii="Calibri" w:hAnsi="Calibri"/>
                <w:b w:val="0"/>
                <w:i w:val="0"/>
                <w:color w:val="1A73E8"/>
                <w:sz w:val="18"/>
              </w:rPr>
              <w:t>★  Suggestions de budget basées sur l'historique</w:t>
            </w:r>
          </w:p>
          <w:p>
            <w:pPr>
              <w:spacing w:before="40" w:after="40"/>
            </w:pPr>
            <w:r>
              <w:rPr>
                <w:rFonts w:ascii="Calibri" w:hAnsi="Calibri"/>
                <w:b w:val="0"/>
                <w:i w:val="0"/>
                <w:color w:val="1A73E8"/>
                <w:sz w:val="18"/>
              </w:rPr>
              <w:t>★  Budget annuel global</w:t>
            </w:r>
          </w:p>
        </w:tc>
      </w:tr>
      <w:tr>
        <w:tc>
          <w:tcPr>
            <w:tcW w:type="dxa" w:w="1814"/>
            <w:shd w:val="clear" w:color="auto" w:fill="F5F9FF"/>
            <w:tcBorders>
              <w:top w:val="single" w:sz="4" w:space="0" w:color="D0DCE8"/>
              <w:left w:val="single" w:sz="4" w:space="0" w:color="D0DCE8"/>
              <w:bottom w:val="single" w:sz="4" w:space="0" w:color="D0DCE8"/>
              <w:right w:val="single" w:sz="4" w:space="0" w:color="D0DCE8"/>
            </w:tcBorders>
          </w:tcPr>
          <w:p>
            <w:pPr>
              <w:spacing w:before="100" w:after="100"/>
            </w:pPr>
            <w:r/>
            <w:r>
              <w:rPr>
                <w:rFonts w:ascii="Calibri" w:hAnsi="Calibri"/>
                <w:b/>
                <w:i w:val="0"/>
                <w:color w:val="0F2D52"/>
                <w:sz w:val="18"/>
              </w:rPr>
              <w:t>Revenus &amp; factures</w:t>
            </w:r>
          </w:p>
        </w:tc>
        <w:tc>
          <w:tcPr>
            <w:tcW w:type="dxa" w:w="4422"/>
            <w:shd w:val="clear" w:color="auto" w:fill="FFFFFF"/>
            <w:tcBorders>
              <w:top w:val="single" w:sz="4" w:space="0" w:color="D0DCE8"/>
              <w:left w:val="single" w:sz="4" w:space="0" w:color="D0DCE8"/>
              <w:bottom w:val="single" w:sz="4" w:space="0" w:color="D0DCE8"/>
              <w:right w:val="single" w:sz="4" w:space="0" w:color="D0DCE8"/>
            </w:tcBorders>
          </w:tcPr>
          <w:p>
            <w:r/>
          </w:p>
          <w:p>
            <w:pPr>
              <w:spacing w:before="40" w:after="40"/>
            </w:pPr>
            <w:r>
              <w:rPr>
                <w:rFonts w:ascii="Calibri" w:hAnsi="Calibri"/>
                <w:b w:val="0"/>
                <w:i w:val="0"/>
                <w:color w:val="2E7D32"/>
                <w:sz w:val="18"/>
              </w:rPr>
              <w:t>✓  Saisie de revenus illimitée</w:t>
            </w:r>
          </w:p>
          <w:p>
            <w:pPr>
              <w:spacing w:before="40" w:after="40"/>
            </w:pPr>
            <w:r>
              <w:rPr>
                <w:rFonts w:ascii="Calibri" w:hAnsi="Calibri"/>
                <w:b w:val="0"/>
                <w:i w:val="0"/>
                <w:color w:val="2E7D32"/>
                <w:sz w:val="18"/>
              </w:rPr>
              <w:t>✓  Catégories de revenus personnalisables</w:t>
            </w:r>
          </w:p>
          <w:p>
            <w:pPr>
              <w:spacing w:before="40" w:after="40"/>
            </w:pPr>
            <w:r>
              <w:rPr>
                <w:rFonts w:ascii="Calibri" w:hAnsi="Calibri"/>
                <w:b w:val="0"/>
                <w:i w:val="0"/>
                <w:color w:val="2E7D32"/>
                <w:sz w:val="18"/>
              </w:rPr>
              <w:t>✓  Planification de factures à venir</w:t>
            </w:r>
          </w:p>
          <w:p>
            <w:pPr>
              <w:spacing w:before="40" w:after="40"/>
            </w:pPr>
            <w:r>
              <w:rPr>
                <w:rFonts w:ascii="Calibri" w:hAnsi="Calibri"/>
                <w:b w:val="0"/>
                <w:i w:val="0"/>
                <w:color w:val="2E7D32"/>
                <w:sz w:val="18"/>
              </w:rPr>
              <w:t>✓  Rappels avant échéance · Calendrier 30 jours</w:t>
            </w:r>
          </w:p>
        </w:tc>
        <w:tc>
          <w:tcPr>
            <w:tcW w:type="dxa" w:w="3118"/>
            <w:shd w:val="clear" w:color="auto" w:fill="F7FAFF"/>
            <w:tcBorders>
              <w:top w:val="single" w:sz="4" w:space="0" w:color="D0DCE8"/>
              <w:left w:val="single" w:sz="4" w:space="0" w:color="D0DCE8"/>
              <w:bottom w:val="single" w:sz="4" w:space="0" w:color="D0DCE8"/>
              <w:right w:val="single" w:sz="4" w:space="0" w:color="D0DCE8"/>
            </w:tcBorders>
          </w:tcPr>
          <w:p>
            <w:r/>
          </w:p>
          <w:p>
            <w:pPr>
              <w:spacing w:before="40" w:after="40"/>
            </w:pPr>
            <w:r>
              <w:rPr>
                <w:rFonts w:ascii="Calibri" w:hAnsi="Calibri"/>
                <w:b w:val="0"/>
                <w:i w:val="0"/>
                <w:color w:val="757575"/>
                <w:sz w:val="18"/>
              </w:rPr>
              <w:t>—</w:t>
            </w:r>
          </w:p>
        </w:tc>
      </w:tr>
      <w:tr>
        <w:tc>
          <w:tcPr>
            <w:tcW w:type="dxa" w:w="1814"/>
            <w:shd w:val="clear" w:color="auto" w:fill="F5F9FF"/>
            <w:tcBorders>
              <w:top w:val="single" w:sz="4" w:space="0" w:color="D0DCE8"/>
              <w:left w:val="single" w:sz="4" w:space="0" w:color="D0DCE8"/>
              <w:bottom w:val="single" w:sz="4" w:space="0" w:color="D0DCE8"/>
              <w:right w:val="single" w:sz="4" w:space="0" w:color="D0DCE8"/>
            </w:tcBorders>
          </w:tcPr>
          <w:p>
            <w:pPr>
              <w:spacing w:before="100" w:after="100"/>
            </w:pPr>
            <w:r/>
            <w:r>
              <w:rPr>
                <w:rFonts w:ascii="Calibri" w:hAnsi="Calibri"/>
                <w:b/>
                <w:i w:val="0"/>
                <w:color w:val="0F2D52"/>
                <w:sz w:val="18"/>
              </w:rPr>
              <w:t>Objectifs &amp; épargne</w:t>
            </w:r>
          </w:p>
        </w:tc>
        <w:tc>
          <w:tcPr>
            <w:tcW w:type="dxa" w:w="4422"/>
            <w:shd w:val="clear" w:color="auto" w:fill="F0FAF7"/>
            <w:tcBorders>
              <w:top w:val="single" w:sz="4" w:space="0" w:color="D0DCE8"/>
              <w:left w:val="single" w:sz="4" w:space="0" w:color="D0DCE8"/>
              <w:bottom w:val="single" w:sz="4" w:space="0" w:color="D0DCE8"/>
              <w:right w:val="single" w:sz="4" w:space="0" w:color="D0DCE8"/>
            </w:tcBorders>
          </w:tcPr>
          <w:p>
            <w:r/>
          </w:p>
          <w:p>
            <w:pPr>
              <w:spacing w:before="40" w:after="40"/>
            </w:pPr>
            <w:r>
              <w:rPr>
                <w:rFonts w:ascii="Calibri" w:hAnsi="Calibri"/>
                <w:b w:val="0"/>
                <w:i w:val="0"/>
                <w:color w:val="2E7D32"/>
                <w:sz w:val="18"/>
              </w:rPr>
              <w:t>✓  Jusqu'à 3 objectifs d'épargne actifs</w:t>
            </w:r>
          </w:p>
          <w:p>
            <w:pPr>
              <w:spacing w:before="40" w:after="40"/>
            </w:pPr>
            <w:r>
              <w:rPr>
                <w:rFonts w:ascii="Calibri" w:hAnsi="Calibri"/>
                <w:b w:val="0"/>
                <w:i w:val="0"/>
                <w:color w:val="2E7D32"/>
                <w:sz w:val="18"/>
              </w:rPr>
              <w:t>✓  Suivi de progression · Alimentation manuelle</w:t>
            </w:r>
          </w:p>
        </w:tc>
        <w:tc>
          <w:tcPr>
            <w:tcW w:type="dxa" w:w="3118"/>
            <w:shd w:val="clear" w:color="auto" w:fill="EEF4FF"/>
            <w:tcBorders>
              <w:top w:val="single" w:sz="4" w:space="0" w:color="D0DCE8"/>
              <w:left w:val="single" w:sz="4" w:space="0" w:color="D0DCE8"/>
              <w:bottom w:val="single" w:sz="4" w:space="0" w:color="D0DCE8"/>
              <w:right w:val="single" w:sz="4" w:space="0" w:color="D0DCE8"/>
            </w:tcBorders>
          </w:tcPr>
          <w:p>
            <w:r/>
          </w:p>
          <w:p>
            <w:pPr>
              <w:spacing w:before="40" w:after="40"/>
            </w:pPr>
            <w:r>
              <w:rPr>
                <w:rFonts w:ascii="Calibri" w:hAnsi="Calibri"/>
                <w:b w:val="0"/>
                <w:i w:val="0"/>
                <w:color w:val="1A73E8"/>
                <w:sz w:val="18"/>
              </w:rPr>
              <w:t>★  Objectifs illimités</w:t>
            </w:r>
          </w:p>
          <w:p>
            <w:pPr>
              <w:spacing w:before="40" w:after="40"/>
            </w:pPr>
            <w:r>
              <w:rPr>
                <w:rFonts w:ascii="Calibri" w:hAnsi="Calibri"/>
                <w:b w:val="0"/>
                <w:i w:val="0"/>
                <w:color w:val="1A73E8"/>
                <w:sz w:val="18"/>
              </w:rPr>
              <w:t>★  Projection automatique de date d'atteinte</w:t>
            </w:r>
          </w:p>
          <w:p>
            <w:pPr>
              <w:spacing w:before="40" w:after="40"/>
            </w:pPr>
            <w:r>
              <w:rPr>
                <w:rFonts w:ascii="Calibri" w:hAnsi="Calibri"/>
                <w:b w:val="0"/>
                <w:i w:val="0"/>
                <w:color w:val="1A73E8"/>
                <w:sz w:val="18"/>
              </w:rPr>
              <w:t>★  Tracker de dettes avec plan de remboursement</w:t>
            </w:r>
          </w:p>
          <w:p>
            <w:pPr>
              <w:spacing w:before="40" w:after="40"/>
            </w:pPr>
            <w:r>
              <w:rPr>
                <w:rFonts w:ascii="Calibri" w:hAnsi="Calibri"/>
                <w:b w:val="0"/>
                <w:i w:val="0"/>
                <w:color w:val="1A73E8"/>
                <w:sz w:val="18"/>
              </w:rPr>
              <w:t>★  Vue patrimoine net (actifs − passifs)</w:t>
            </w:r>
          </w:p>
        </w:tc>
      </w:tr>
      <w:tr>
        <w:tc>
          <w:tcPr>
            <w:tcW w:type="dxa" w:w="1814"/>
            <w:shd w:val="clear" w:color="auto" w:fill="F5F9FF"/>
            <w:tcBorders>
              <w:top w:val="single" w:sz="4" w:space="0" w:color="D0DCE8"/>
              <w:left w:val="single" w:sz="4" w:space="0" w:color="D0DCE8"/>
              <w:bottom w:val="single" w:sz="4" w:space="0" w:color="D0DCE8"/>
              <w:right w:val="single" w:sz="4" w:space="0" w:color="D0DCE8"/>
            </w:tcBorders>
          </w:tcPr>
          <w:p>
            <w:pPr>
              <w:spacing w:before="100" w:after="100"/>
            </w:pPr>
            <w:r/>
            <w:r>
              <w:rPr>
                <w:rFonts w:ascii="Calibri" w:hAnsi="Calibri"/>
                <w:b/>
                <w:i w:val="0"/>
                <w:color w:val="0F2D52"/>
                <w:sz w:val="18"/>
              </w:rPr>
              <w:t>Tableau de bord</w:t>
            </w:r>
          </w:p>
        </w:tc>
        <w:tc>
          <w:tcPr>
            <w:tcW w:type="dxa" w:w="4422"/>
            <w:shd w:val="clear" w:color="auto" w:fill="FFFFFF"/>
            <w:tcBorders>
              <w:top w:val="single" w:sz="4" w:space="0" w:color="D0DCE8"/>
              <w:left w:val="single" w:sz="4" w:space="0" w:color="D0DCE8"/>
              <w:bottom w:val="single" w:sz="4" w:space="0" w:color="D0DCE8"/>
              <w:right w:val="single" w:sz="4" w:space="0" w:color="D0DCE8"/>
            </w:tcBorders>
          </w:tcPr>
          <w:p>
            <w:r/>
          </w:p>
          <w:p>
            <w:pPr>
              <w:spacing w:before="40" w:after="40"/>
            </w:pPr>
            <w:r>
              <w:rPr>
                <w:rFonts w:ascii="Calibri" w:hAnsi="Calibri"/>
                <w:b w:val="0"/>
                <w:i w:val="0"/>
                <w:color w:val="2E7D32"/>
                <w:sz w:val="18"/>
              </w:rPr>
              <w:t>✓  Solde net global + par compte</w:t>
            </w:r>
          </w:p>
          <w:p>
            <w:pPr>
              <w:spacing w:before="40" w:after="40"/>
            </w:pPr>
            <w:r>
              <w:rPr>
                <w:rFonts w:ascii="Calibri" w:hAnsi="Calibri"/>
                <w:b w:val="0"/>
                <w:i w:val="0"/>
                <w:color w:val="2E7D32"/>
                <w:sz w:val="18"/>
              </w:rPr>
              <w:t>✓  Résumé mensuel : revenus / dépenses / épargne</w:t>
            </w:r>
          </w:p>
          <w:p>
            <w:pPr>
              <w:spacing w:before="40" w:after="40"/>
            </w:pPr>
            <w:r>
              <w:rPr>
                <w:rFonts w:ascii="Calibri" w:hAnsi="Calibri"/>
                <w:b w:val="0"/>
                <w:i w:val="0"/>
                <w:color w:val="2E7D32"/>
                <w:sz w:val="18"/>
              </w:rPr>
              <w:t>✓  Graphiques par catégorie</w:t>
            </w:r>
          </w:p>
          <w:p>
            <w:pPr>
              <w:spacing w:before="40" w:after="40"/>
            </w:pPr>
            <w:r>
              <w:rPr>
                <w:rFonts w:ascii="Calibri" w:hAnsi="Calibri"/>
                <w:b w:val="0"/>
                <w:i w:val="0"/>
                <w:color w:val="2E7D32"/>
                <w:sz w:val="18"/>
              </w:rPr>
              <w:t>✓  Comparaison mois courant vs précédent</w:t>
            </w:r>
          </w:p>
          <w:p>
            <w:pPr>
              <w:spacing w:before="40" w:after="40"/>
            </w:pPr>
            <w:r>
              <w:rPr>
                <w:rFonts w:ascii="Calibri" w:hAnsi="Calibri"/>
                <w:b w:val="0"/>
                <w:i w:val="0"/>
                <w:color w:val="2E7D32"/>
                <w:sz w:val="18"/>
              </w:rPr>
              <w:t>✓  Historique 12 mois</w:t>
            </w:r>
          </w:p>
        </w:tc>
        <w:tc>
          <w:tcPr>
            <w:tcW w:type="dxa" w:w="3118"/>
            <w:shd w:val="clear" w:color="auto" w:fill="F7FAFF"/>
            <w:tcBorders>
              <w:top w:val="single" w:sz="4" w:space="0" w:color="D0DCE8"/>
              <w:left w:val="single" w:sz="4" w:space="0" w:color="D0DCE8"/>
              <w:bottom w:val="single" w:sz="4" w:space="0" w:color="D0DCE8"/>
              <w:right w:val="single" w:sz="4" w:space="0" w:color="D0DCE8"/>
            </w:tcBorders>
          </w:tcPr>
          <w:p>
            <w:r/>
          </w:p>
          <w:p>
            <w:pPr>
              <w:spacing w:before="40" w:after="40"/>
            </w:pPr>
            <w:r>
              <w:rPr>
                <w:rFonts w:ascii="Calibri" w:hAnsi="Calibri"/>
                <w:b w:val="0"/>
                <w:i w:val="0"/>
                <w:color w:val="1A73E8"/>
                <w:sz w:val="18"/>
              </w:rPr>
              <w:t>★  Cash flow des 6 derniers mois</w:t>
            </w:r>
          </w:p>
          <w:p>
            <w:pPr>
              <w:spacing w:before="40" w:after="40"/>
            </w:pPr>
            <w:r>
              <w:rPr>
                <w:rFonts w:ascii="Calibri" w:hAnsi="Calibri"/>
                <w:b w:val="0"/>
                <w:i w:val="0"/>
                <w:color w:val="1A73E8"/>
                <w:sz w:val="18"/>
              </w:rPr>
              <w:t>★  Prévision de solde sur 30 jours</w:t>
            </w:r>
          </w:p>
          <w:p>
            <w:pPr>
              <w:spacing w:before="40" w:after="40"/>
            </w:pPr>
            <w:r>
              <w:rPr>
                <w:rFonts w:ascii="Calibri" w:hAnsi="Calibri"/>
                <w:b w:val="0"/>
                <w:i w:val="0"/>
                <w:color w:val="1A73E8"/>
                <w:sz w:val="18"/>
              </w:rPr>
              <w:t>★  Dashboard personnalisable (glisser-déposer)</w:t>
            </w:r>
          </w:p>
          <w:p>
            <w:pPr>
              <w:spacing w:before="40" w:after="40"/>
            </w:pPr>
            <w:r>
              <w:rPr>
                <w:rFonts w:ascii="Calibri" w:hAnsi="Calibri"/>
                <w:b w:val="0"/>
                <w:i w:val="0"/>
                <w:color w:val="1A73E8"/>
                <w:sz w:val="18"/>
              </w:rPr>
              <w:t>★  Historique illimité</w:t>
            </w:r>
          </w:p>
        </w:tc>
      </w:tr>
      <w:tr>
        <w:tc>
          <w:tcPr>
            <w:tcW w:type="dxa" w:w="1814"/>
            <w:shd w:val="clear" w:color="auto" w:fill="F5F9FF"/>
            <w:tcBorders>
              <w:top w:val="single" w:sz="4" w:space="0" w:color="D0DCE8"/>
              <w:left w:val="single" w:sz="4" w:space="0" w:color="D0DCE8"/>
              <w:bottom w:val="single" w:sz="4" w:space="0" w:color="D0DCE8"/>
              <w:right w:val="single" w:sz="4" w:space="0" w:color="D0DCE8"/>
            </w:tcBorders>
          </w:tcPr>
          <w:p>
            <w:pPr>
              <w:spacing w:before="100" w:after="100"/>
            </w:pPr>
            <w:r/>
            <w:r>
              <w:rPr>
                <w:rFonts w:ascii="Calibri" w:hAnsi="Calibri"/>
                <w:b/>
                <w:i w:val="0"/>
                <w:color w:val="0F2D52"/>
                <w:sz w:val="18"/>
              </w:rPr>
              <w:t>Intelligence &amp; insights</w:t>
            </w:r>
          </w:p>
        </w:tc>
        <w:tc>
          <w:tcPr>
            <w:tcW w:type="dxa" w:w="4422"/>
            <w:shd w:val="clear" w:color="auto" w:fill="F0FAF7"/>
            <w:tcBorders>
              <w:top w:val="single" w:sz="4" w:space="0" w:color="D0DCE8"/>
              <w:left w:val="single" w:sz="4" w:space="0" w:color="D0DCE8"/>
              <w:bottom w:val="single" w:sz="4" w:space="0" w:color="D0DCE8"/>
              <w:right w:val="single" w:sz="4" w:space="0" w:color="D0DCE8"/>
            </w:tcBorders>
          </w:tcPr>
          <w:p>
            <w:r/>
          </w:p>
          <w:p>
            <w:pPr>
              <w:spacing w:before="40" w:after="40"/>
            </w:pPr>
            <w:r>
              <w:rPr>
                <w:rFonts w:ascii="Calibri" w:hAnsi="Calibri"/>
                <w:b w:val="0"/>
                <w:i w:val="0"/>
                <w:color w:val="757575"/>
                <w:sz w:val="18"/>
              </w:rPr>
              <w:t>—</w:t>
            </w:r>
          </w:p>
        </w:tc>
        <w:tc>
          <w:tcPr>
            <w:tcW w:type="dxa" w:w="3118"/>
            <w:shd w:val="clear" w:color="auto" w:fill="EEF4FF"/>
            <w:tcBorders>
              <w:top w:val="single" w:sz="4" w:space="0" w:color="D0DCE8"/>
              <w:left w:val="single" w:sz="4" w:space="0" w:color="D0DCE8"/>
              <w:bottom w:val="single" w:sz="4" w:space="0" w:color="D0DCE8"/>
              <w:right w:val="single" w:sz="4" w:space="0" w:color="D0DCE8"/>
            </w:tcBorders>
          </w:tcPr>
          <w:p>
            <w:r/>
          </w:p>
          <w:p>
            <w:pPr>
              <w:spacing w:before="40" w:after="40"/>
            </w:pPr>
            <w:r>
              <w:rPr>
                <w:rFonts w:ascii="Calibri" w:hAnsi="Calibri"/>
                <w:b w:val="0"/>
                <w:i w:val="0"/>
                <w:color w:val="1A73E8"/>
                <w:sz w:val="18"/>
              </w:rPr>
              <w:t>★  Score de santé financière (0–100, hebdo)</w:t>
            </w:r>
          </w:p>
          <w:p>
            <w:pPr>
              <w:spacing w:before="40" w:after="40"/>
            </w:pPr>
            <w:r>
              <w:rPr>
                <w:rFonts w:ascii="Calibri" w:hAnsi="Calibri"/>
                <w:b w:val="0"/>
                <w:i w:val="0"/>
                <w:color w:val="1A73E8"/>
                <w:sz w:val="18"/>
              </w:rPr>
              <w:t>★  Détection d'anomalies de dépenses</w:t>
            </w:r>
          </w:p>
          <w:p>
            <w:pPr>
              <w:spacing w:before="40" w:after="40"/>
            </w:pPr>
            <w:r>
              <w:rPr>
                <w:rFonts w:ascii="Calibri" w:hAnsi="Calibri"/>
                <w:b w:val="0"/>
                <w:i w:val="0"/>
                <w:color w:val="1A73E8"/>
                <w:sz w:val="18"/>
              </w:rPr>
              <w:t>★  Conseils contextuels personnalisés</w:t>
            </w:r>
          </w:p>
          <w:p>
            <w:pPr>
              <w:spacing w:before="40" w:after="40"/>
            </w:pPr>
            <w:r>
              <w:rPr>
                <w:rFonts w:ascii="Calibri" w:hAnsi="Calibri"/>
                <w:b w:val="0"/>
                <w:i w:val="0"/>
                <w:color w:val="1A73E8"/>
                <w:sz w:val="18"/>
              </w:rPr>
              <w:t>★  Digest hebdomadaire par e-mail</w:t>
            </w:r>
          </w:p>
          <w:p>
            <w:pPr>
              <w:spacing w:before="40" w:after="40"/>
            </w:pPr>
            <w:r>
              <w:rPr>
                <w:rFonts w:ascii="Calibri" w:hAnsi="Calibri"/>
                <w:b w:val="0"/>
                <w:i w:val="0"/>
                <w:color w:val="1A73E8"/>
                <w:sz w:val="18"/>
              </w:rPr>
              <w:t>★  Détecteur automatique d'abonnements</w:t>
            </w:r>
          </w:p>
        </w:tc>
      </w:tr>
      <w:tr>
        <w:tc>
          <w:tcPr>
            <w:tcW w:type="dxa" w:w="1814"/>
            <w:shd w:val="clear" w:color="auto" w:fill="F5F9FF"/>
            <w:tcBorders>
              <w:top w:val="single" w:sz="4" w:space="0" w:color="D0DCE8"/>
              <w:left w:val="single" w:sz="4" w:space="0" w:color="D0DCE8"/>
              <w:bottom w:val="single" w:sz="4" w:space="0" w:color="D0DCE8"/>
              <w:right w:val="single" w:sz="4" w:space="0" w:color="D0DCE8"/>
            </w:tcBorders>
          </w:tcPr>
          <w:p>
            <w:pPr>
              <w:spacing w:before="100" w:after="100"/>
            </w:pPr>
            <w:r/>
            <w:r>
              <w:rPr>
                <w:rFonts w:ascii="Calibri" w:hAnsi="Calibri"/>
                <w:b/>
                <w:i w:val="0"/>
                <w:color w:val="0F2D52"/>
                <w:sz w:val="18"/>
              </w:rPr>
              <w:t>Import / Export</w:t>
            </w:r>
          </w:p>
        </w:tc>
        <w:tc>
          <w:tcPr>
            <w:tcW w:type="dxa" w:w="4422"/>
            <w:shd w:val="clear" w:color="auto" w:fill="FFFFFF"/>
            <w:tcBorders>
              <w:top w:val="single" w:sz="4" w:space="0" w:color="D0DCE8"/>
              <w:left w:val="single" w:sz="4" w:space="0" w:color="D0DCE8"/>
              <w:bottom w:val="single" w:sz="4" w:space="0" w:color="D0DCE8"/>
              <w:right w:val="single" w:sz="4" w:space="0" w:color="D0DCE8"/>
            </w:tcBorders>
          </w:tcPr>
          <w:p>
            <w:r/>
          </w:p>
          <w:p>
            <w:pPr>
              <w:spacing w:before="40" w:after="40"/>
            </w:pPr>
            <w:r>
              <w:rPr>
                <w:rFonts w:ascii="Calibri" w:hAnsi="Calibri"/>
                <w:b w:val="0"/>
                <w:i w:val="0"/>
                <w:color w:val="2E7D32"/>
                <w:sz w:val="18"/>
              </w:rPr>
              <w:t>✓  Export CSV (historique complet)</w:t>
            </w:r>
          </w:p>
        </w:tc>
        <w:tc>
          <w:tcPr>
            <w:tcW w:type="dxa" w:w="3118"/>
            <w:shd w:val="clear" w:color="auto" w:fill="F7FAFF"/>
            <w:tcBorders>
              <w:top w:val="single" w:sz="4" w:space="0" w:color="D0DCE8"/>
              <w:left w:val="single" w:sz="4" w:space="0" w:color="D0DCE8"/>
              <w:bottom w:val="single" w:sz="4" w:space="0" w:color="D0DCE8"/>
              <w:right w:val="single" w:sz="4" w:space="0" w:color="D0DCE8"/>
            </w:tcBorders>
          </w:tcPr>
          <w:p>
            <w:r/>
          </w:p>
          <w:p>
            <w:pPr>
              <w:spacing w:before="40" w:after="40"/>
            </w:pPr>
            <w:r>
              <w:rPr>
                <w:rFonts w:ascii="Calibri" w:hAnsi="Calibri"/>
                <w:b w:val="0"/>
                <w:i w:val="0"/>
                <w:color w:val="1A73E8"/>
                <w:sz w:val="18"/>
              </w:rPr>
              <w:t>★  Export PDF rapport mensuel</w:t>
            </w:r>
          </w:p>
          <w:p>
            <w:pPr>
              <w:spacing w:before="40" w:after="40"/>
            </w:pPr>
            <w:r>
              <w:rPr>
                <w:rFonts w:ascii="Calibri" w:hAnsi="Calibri"/>
                <w:b w:val="0"/>
                <w:i w:val="0"/>
                <w:color w:val="1A73E8"/>
                <w:sz w:val="18"/>
              </w:rPr>
              <w:t>★  Import CSV (migration depuis autre app)</w:t>
            </w:r>
          </w:p>
          <w:p>
            <w:pPr>
              <w:spacing w:before="40" w:after="40"/>
            </w:pPr>
            <w:r>
              <w:rPr>
                <w:rFonts w:ascii="Calibri" w:hAnsi="Calibri"/>
                <w:b w:val="0"/>
                <w:i w:val="0"/>
                <w:color w:val="1A73E8"/>
                <w:sz w:val="18"/>
              </w:rPr>
              <w:t>★  Export fiscal PDF (dépenses déductibles)</w:t>
            </w:r>
          </w:p>
        </w:tc>
      </w:tr>
      <w:tr>
        <w:tc>
          <w:tcPr>
            <w:tcW w:type="dxa" w:w="1814"/>
            <w:shd w:val="clear" w:color="auto" w:fill="F5F9FF"/>
            <w:tcBorders>
              <w:top w:val="single" w:sz="4" w:space="0" w:color="D0DCE8"/>
              <w:left w:val="single" w:sz="4" w:space="0" w:color="D0DCE8"/>
              <w:bottom w:val="single" w:sz="4" w:space="0" w:color="D0DCE8"/>
              <w:right w:val="single" w:sz="4" w:space="0" w:color="D0DCE8"/>
            </w:tcBorders>
          </w:tcPr>
          <w:p>
            <w:pPr>
              <w:spacing w:before="100" w:after="100"/>
            </w:pPr>
            <w:r/>
            <w:r>
              <w:rPr>
                <w:rFonts w:ascii="Calibri" w:hAnsi="Calibri"/>
                <w:b/>
                <w:i w:val="0"/>
                <w:color w:val="0F2D52"/>
                <w:sz w:val="18"/>
              </w:rPr>
              <w:t>PWA</w:t>
              <w:br/>
              <w:t>(Progressive Web App)</w:t>
            </w:r>
          </w:p>
        </w:tc>
        <w:tc>
          <w:tcPr>
            <w:tcW w:type="dxa" w:w="4422"/>
            <w:shd w:val="clear" w:color="auto" w:fill="F0FAF7"/>
            <w:tcBorders>
              <w:top w:val="single" w:sz="4" w:space="0" w:color="D0DCE8"/>
              <w:left w:val="single" w:sz="4" w:space="0" w:color="D0DCE8"/>
              <w:bottom w:val="single" w:sz="4" w:space="0" w:color="D0DCE8"/>
              <w:right w:val="single" w:sz="4" w:space="0" w:color="D0DCE8"/>
            </w:tcBorders>
          </w:tcPr>
          <w:p>
            <w:r/>
          </w:p>
          <w:p>
            <w:pPr>
              <w:spacing w:before="40" w:after="40"/>
            </w:pPr>
            <w:r>
              <w:rPr>
                <w:rFonts w:ascii="Calibri" w:hAnsi="Calibri"/>
                <w:b w:val="0"/>
                <w:i w:val="0"/>
                <w:color w:val="2E7D32"/>
                <w:sz w:val="18"/>
              </w:rPr>
              <w:t>✓  Installable sur mobile (iOS/Android) et laptop</w:t>
            </w:r>
          </w:p>
          <w:p>
            <w:pPr>
              <w:spacing w:before="40" w:after="40"/>
            </w:pPr>
            <w:r>
              <w:rPr>
                <w:rFonts w:ascii="Calibri" w:hAnsi="Calibri"/>
                <w:b w:val="0"/>
                <w:i w:val="0"/>
                <w:color w:val="2E7D32"/>
                <w:sz w:val="18"/>
              </w:rPr>
              <w:t>✓  Mode hors-ligne : dashboard + historique disponibles</w:t>
            </w:r>
          </w:p>
          <w:p>
            <w:pPr>
              <w:spacing w:before="40" w:after="40"/>
            </w:pPr>
            <w:r>
              <w:rPr>
                <w:rFonts w:ascii="Calibri" w:hAnsi="Calibri"/>
                <w:b w:val="0"/>
                <w:i w:val="0"/>
                <w:color w:val="2E7D32"/>
                <w:sz w:val="18"/>
              </w:rPr>
              <w:t>✓  Saisie hors-ligne synchronisée au retour réseau</w:t>
            </w:r>
          </w:p>
          <w:p>
            <w:pPr>
              <w:spacing w:before="40" w:after="40"/>
            </w:pPr>
            <w:r>
              <w:rPr>
                <w:rFonts w:ascii="Calibri" w:hAnsi="Calibri"/>
                <w:b w:val="0"/>
                <w:i w:val="0"/>
                <w:color w:val="2E7D32"/>
                <w:sz w:val="18"/>
              </w:rPr>
              <w:t>✓  Push notifications natives (alertes, rappels)</w:t>
            </w:r>
          </w:p>
          <w:p>
            <w:pPr>
              <w:spacing w:before="40" w:after="40"/>
            </w:pPr>
            <w:r>
              <w:rPr>
                <w:rFonts w:ascii="Calibri" w:hAnsi="Calibri"/>
                <w:b w:val="0"/>
                <w:i w:val="0"/>
                <w:color w:val="2E7D32"/>
                <w:sz w:val="18"/>
              </w:rPr>
              <w:t>✓  Splash screen + icône + thème (app manifest)</w:t>
            </w:r>
          </w:p>
          <w:p>
            <w:pPr>
              <w:spacing w:before="40" w:after="40"/>
            </w:pPr>
            <w:r>
              <w:rPr>
                <w:rFonts w:ascii="Calibri" w:hAnsi="Calibri"/>
                <w:b w:val="0"/>
                <w:i w:val="0"/>
                <w:color w:val="2E7D32"/>
                <w:sz w:val="18"/>
              </w:rPr>
              <w:t>✓  Chargement rapide (Lighthouse ≥ 90)</w:t>
            </w:r>
          </w:p>
        </w:tc>
        <w:tc>
          <w:tcPr>
            <w:tcW w:type="dxa" w:w="3118"/>
            <w:shd w:val="clear" w:color="auto" w:fill="EEF4FF"/>
            <w:tcBorders>
              <w:top w:val="single" w:sz="4" w:space="0" w:color="D0DCE8"/>
              <w:left w:val="single" w:sz="4" w:space="0" w:color="D0DCE8"/>
              <w:bottom w:val="single" w:sz="4" w:space="0" w:color="D0DCE8"/>
              <w:right w:val="single" w:sz="4" w:space="0" w:color="D0DCE8"/>
            </w:tcBorders>
          </w:tcPr>
          <w:p>
            <w:r/>
          </w:p>
          <w:p>
            <w:pPr>
              <w:spacing w:before="40" w:after="40"/>
            </w:pPr>
            <w:r>
              <w:rPr>
                <w:rFonts w:ascii="Calibri" w:hAnsi="Calibri"/>
                <w:b w:val="0"/>
                <w:i w:val="0"/>
                <w:color w:val="757575"/>
                <w:sz w:val="18"/>
              </w:rPr>
              <w:t>—</w:t>
            </w:r>
          </w:p>
        </w:tc>
      </w:tr>
      <w:tr>
        <w:tc>
          <w:tcPr>
            <w:tcW w:type="dxa" w:w="1814"/>
            <w:shd w:val="clear" w:color="auto" w:fill="F5F9FF"/>
            <w:tcBorders>
              <w:top w:val="single" w:sz="4" w:space="0" w:color="D0DCE8"/>
              <w:left w:val="single" w:sz="4" w:space="0" w:color="D0DCE8"/>
              <w:bottom w:val="single" w:sz="4" w:space="0" w:color="D0DCE8"/>
              <w:right w:val="single" w:sz="4" w:space="0" w:color="D0DCE8"/>
            </w:tcBorders>
          </w:tcPr>
          <w:p>
            <w:pPr>
              <w:spacing w:before="100" w:after="100"/>
            </w:pPr>
            <w:r/>
            <w:r>
              <w:rPr>
                <w:rFonts w:ascii="Calibri" w:hAnsi="Calibri"/>
                <w:b/>
                <w:i w:val="0"/>
                <w:color w:val="0F2D52"/>
                <w:sz w:val="18"/>
              </w:rPr>
              <w:t>Sécurité &amp; UX</w:t>
            </w:r>
          </w:p>
        </w:tc>
        <w:tc>
          <w:tcPr>
            <w:tcW w:type="dxa" w:w="4422"/>
            <w:shd w:val="clear" w:color="auto" w:fill="FFFFFF"/>
            <w:tcBorders>
              <w:top w:val="single" w:sz="4" w:space="0" w:color="D0DCE8"/>
              <w:left w:val="single" w:sz="4" w:space="0" w:color="D0DCE8"/>
              <w:bottom w:val="single" w:sz="4" w:space="0" w:color="D0DCE8"/>
              <w:right w:val="single" w:sz="4" w:space="0" w:color="D0DCE8"/>
            </w:tcBorders>
          </w:tcPr>
          <w:p>
            <w:r/>
          </w:p>
          <w:p>
            <w:pPr>
              <w:spacing w:before="40" w:after="40"/>
            </w:pPr>
            <w:r>
              <w:rPr>
                <w:rFonts w:ascii="Calibri" w:hAnsi="Calibri"/>
                <w:b w:val="0"/>
                <w:i w:val="0"/>
                <w:color w:val="2E7D32"/>
                <w:sz w:val="18"/>
              </w:rPr>
              <w:t>✓  2FA · PIN / biométrie · RGPD complet</w:t>
            </w:r>
          </w:p>
          <w:p>
            <w:pPr>
              <w:spacing w:before="40" w:after="40"/>
            </w:pPr>
            <w:r>
              <w:rPr>
                <w:rFonts w:ascii="Calibri" w:hAnsi="Calibri"/>
                <w:b w:val="0"/>
                <w:i w:val="0"/>
                <w:color w:val="2E7D32"/>
                <w:sz w:val="18"/>
              </w:rPr>
              <w:t>✓  Dark mode · Responsive · Multilingue</w:t>
            </w:r>
          </w:p>
          <w:p>
            <w:pPr>
              <w:spacing w:before="40" w:after="40"/>
            </w:pPr>
            <w:r>
              <w:rPr>
                <w:rFonts w:ascii="Calibri" w:hAnsi="Calibri"/>
                <w:b w:val="0"/>
                <w:i w:val="0"/>
                <w:color w:val="2E7D32"/>
                <w:sz w:val="18"/>
              </w:rPr>
              <w:t>✓  Achievements · Streak quotidien</w:t>
            </w:r>
          </w:p>
          <w:p>
            <w:pPr>
              <w:spacing w:before="40" w:after="40"/>
            </w:pPr>
            <w:r>
              <w:rPr>
                <w:rFonts w:ascii="Calibri" w:hAnsi="Calibri"/>
                <w:b w:val="0"/>
                <w:i w:val="0"/>
                <w:color w:val="2E7D32"/>
                <w:sz w:val="18"/>
              </w:rPr>
              <w:t>✓  30+ devises (MAD, EUR, USD, GBP, CHF, AED…)</w:t>
            </w:r>
          </w:p>
          <w:p>
            <w:pPr>
              <w:spacing w:before="40" w:after="40"/>
            </w:pPr>
            <w:r>
              <w:rPr>
                <w:rFonts w:ascii="Calibri" w:hAnsi="Calibri"/>
                <w:b w:val="0"/>
                <w:i w:val="0"/>
                <w:color w:val="2E7D32"/>
                <w:sz w:val="18"/>
              </w:rPr>
              <w:t>✓  Conversion automatique au taux du jour</w:t>
            </w:r>
          </w:p>
        </w:tc>
        <w:tc>
          <w:tcPr>
            <w:tcW w:type="dxa" w:w="3118"/>
            <w:shd w:val="clear" w:color="auto" w:fill="F7FAFF"/>
            <w:tcBorders>
              <w:top w:val="single" w:sz="4" w:space="0" w:color="D0DCE8"/>
              <w:left w:val="single" w:sz="4" w:space="0" w:color="D0DCE8"/>
              <w:bottom w:val="single" w:sz="4" w:space="0" w:color="D0DCE8"/>
              <w:right w:val="single" w:sz="4" w:space="0" w:color="D0DCE8"/>
            </w:tcBorders>
          </w:tcPr>
          <w:p>
            <w:r/>
          </w:p>
          <w:p>
            <w:pPr>
              <w:spacing w:before="40" w:after="40"/>
            </w:pPr>
            <w:r>
              <w:rPr>
                <w:rFonts w:ascii="Calibri" w:hAnsi="Calibri"/>
                <w:b w:val="0"/>
                <w:i w:val="0"/>
                <w:color w:val="1A73E8"/>
                <w:sz w:val="18"/>
              </w:rPr>
              <w:t>★  Support client prioritaire (réponse &lt; 24 h)</w:t>
            </w:r>
          </w:p>
          <w:p>
            <w:pPr>
              <w:spacing w:before="40" w:after="40"/>
            </w:pPr>
            <w:r>
              <w:rPr>
                <w:rFonts w:ascii="Calibri" w:hAnsi="Calibri"/>
                <w:b w:val="0"/>
                <w:i w:val="0"/>
                <w:color w:val="1A73E8"/>
                <w:sz w:val="18"/>
              </w:rPr>
              <w:t>★  Comptes multi-devises croisés (ex. EUR + MAD)</w:t>
            </w:r>
          </w:p>
        </w:tc>
      </w:tr>
    </w:tbl>
    <w:p>
      <w:pPr>
        <w:spacing w:before="160" w:after="100"/>
        <w:jc w:val="left"/>
      </w:pPr>
      <w:r>
        <w:rPr>
          <w:rFonts w:ascii="Calibri" w:hAnsi="Calibri"/>
          <w:b w:val="0"/>
          <w:i/>
          <w:color w:val="757575"/>
          <w:sz w:val="18"/>
        </w:rPr>
        <w:t>Tunnel de conversion : Onboarding → 1re semaine de saisie → Découverte du dashboard → Aperçu verrouillé du score de santé financière → Proposition d'essai Premium 30 jours gratuits → Abonnement.</w:t>
      </w:r>
    </w:p>
    <w:p>
      <w:r>
        <w:br w:type="page"/>
      </w:r>
    </w:p>
    <w:p>
      <w:pPr>
        <w:spacing w:before="320" w:after="80"/>
        <w:pBdr>
          <w:bottom w:val="single" w:sz="8" w:space="4" w:color="0F2D52"/>
        </w:pBdr>
      </w:pPr>
      <w:r>
        <w:rPr>
          <w:rFonts w:ascii="Calibri" w:hAnsi="Calibri"/>
          <w:b/>
          <w:i w:val="0"/>
          <w:color w:val="0F2D52"/>
          <w:sz w:val="28"/>
        </w:rPr>
        <w:t>2. Périmètre fonctionnel — Vue d'ensemble</w:t>
      </w:r>
    </w:p>
    <w:p>
      <w:pPr>
        <w:spacing w:before="0" w:after="100"/>
        <w:jc w:val="left"/>
      </w:pPr>
      <w:r>
        <w:rPr>
          <w:rFonts w:ascii="Calibri" w:hAnsi="Calibri"/>
          <w:b w:val="0"/>
          <w:i w:val="0"/>
          <w:color w:val="3C3C3C"/>
          <w:sz w:val="20"/>
        </w:rPr>
        <w:t>Le tableau ci-dessous recense l'ensemble des fonctionnalités retenues, classées selon la méthode MoSCoW. La colonne « Tier » indique si la fonctionnalité est accessible en version Free ou réservée au Premium.</w:t>
      </w:r>
    </w:p>
    <w:p>
      <w:pPr>
        <w:spacing w:before="120" w:after="120"/>
        <w:jc w:val="left"/>
      </w:pPr>
      <w:r>
        <w:rPr>
          <w:b/>
          <w:color w:val="2E7D32"/>
          <w:sz w:val="18"/>
        </w:rPr>
        <w:t xml:space="preserve">  ● Must-have   </w:t>
      </w:r>
      <w:r>
        <w:rPr>
          <w:b/>
          <w:color w:val="F57C00"/>
          <w:sz w:val="18"/>
        </w:rPr>
        <w:t xml:space="preserve">  ● Should-have   </w:t>
      </w:r>
      <w:r>
        <w:rPr>
          <w:b/>
          <w:color w:val="6A1B9A"/>
          <w:sz w:val="18"/>
        </w:rPr>
        <w:t xml:space="preserve">  ● Could-have   </w:t>
      </w:r>
    </w:p>
    <w:tbl>
      <w:tblPr>
        <w:tblStyle w:val="TableGrid"/>
        <w:tblW w:type="auto" w:w="0"/>
        <w:tblLook w:firstColumn="1" w:firstRow="1" w:lastColumn="0" w:lastRow="0" w:noHBand="0" w:noVBand="1" w:val="04A0"/>
      </w:tblPr>
      <w:tblGrid>
        <w:gridCol w:w="2351"/>
        <w:gridCol w:w="2351"/>
        <w:gridCol w:w="2351"/>
        <w:gridCol w:w="2351"/>
      </w:tblGrid>
      <w:tr>
        <w:tc>
          <w:tcPr>
            <w:tcW w:type="dxa" w:w="1701"/>
            <w:shd w:val="clear" w:color="auto" w:fill="0F2D52"/>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i w:val="0"/>
                <w:color w:val="FFFFFF"/>
                <w:sz w:val="16"/>
              </w:rPr>
              <w:t>Domaine</w:t>
            </w:r>
          </w:p>
        </w:tc>
        <w:tc>
          <w:tcPr>
            <w:tcW w:type="dxa" w:w="5102"/>
            <w:shd w:val="clear" w:color="auto" w:fill="0F2D52"/>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i w:val="0"/>
                <w:color w:val="FFFFFF"/>
                <w:sz w:val="16"/>
              </w:rPr>
              <w:t>Fonctionnalité</w:t>
            </w:r>
          </w:p>
        </w:tc>
        <w:tc>
          <w:tcPr>
            <w:tcW w:type="dxa" w:w="1417"/>
            <w:shd w:val="clear" w:color="auto" w:fill="0F2D52"/>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i w:val="0"/>
                <w:color w:val="FFFFFF"/>
                <w:sz w:val="16"/>
              </w:rPr>
              <w:t>Priorité</w:t>
            </w:r>
          </w:p>
        </w:tc>
        <w:tc>
          <w:tcPr>
            <w:tcW w:type="dxa" w:w="1134"/>
            <w:shd w:val="clear" w:color="auto" w:fill="0F2D52"/>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i w:val="0"/>
                <w:color w:val="FFFFFF"/>
                <w:sz w:val="16"/>
              </w:rPr>
              <w:t>Tier</w:t>
            </w:r>
          </w:p>
        </w:tc>
      </w:tr>
      <w:tr>
        <w:tc>
          <w:tcPr>
            <w:tcW w:type="dxa" w:w="1701"/>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Compte &amp; sécurité</w:t>
            </w:r>
          </w:p>
        </w:tc>
        <w:tc>
          <w:tcPr>
            <w:tcW w:type="dxa" w:w="5102"/>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Inscription email + mot de passe</w:t>
            </w:r>
          </w:p>
        </w:tc>
        <w:tc>
          <w:tcPr>
            <w:tcW w:type="dxa" w:w="1417"/>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2E7D32"/>
                <w:sz w:val="16"/>
              </w:rPr>
              <w:t>Must-have</w:t>
            </w:r>
          </w:p>
        </w:tc>
        <w:tc>
          <w:tcPr>
            <w:tcW w:type="dxa" w:w="1134"/>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2E7D32"/>
                <w:sz w:val="16"/>
              </w:rPr>
              <w:t>Free</w:t>
            </w:r>
          </w:p>
        </w:tc>
      </w:tr>
      <w:tr>
        <w:tc>
          <w:tcPr>
            <w:tcW w:type="dxa" w:w="1701"/>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Compte &amp; sécurité</w:t>
            </w:r>
          </w:p>
        </w:tc>
        <w:tc>
          <w:tcPr>
            <w:tcW w:type="dxa" w:w="5102"/>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Connexion / déconnexion + session persistante</w:t>
            </w:r>
          </w:p>
        </w:tc>
        <w:tc>
          <w:tcPr>
            <w:tcW w:type="dxa" w:w="1417"/>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2E7D32"/>
                <w:sz w:val="16"/>
              </w:rPr>
              <w:t>Must-have</w:t>
            </w:r>
          </w:p>
        </w:tc>
        <w:tc>
          <w:tcPr>
            <w:tcW w:type="dxa" w:w="1134"/>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2E7D32"/>
                <w:sz w:val="16"/>
              </w:rPr>
              <w:t>Free</w:t>
            </w:r>
          </w:p>
        </w:tc>
      </w:tr>
      <w:tr>
        <w:tc>
          <w:tcPr>
            <w:tcW w:type="dxa" w:w="1701"/>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Compte &amp; sécurité</w:t>
            </w:r>
          </w:p>
        </w:tc>
        <w:tc>
          <w:tcPr>
            <w:tcW w:type="dxa" w:w="5102"/>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Réinitialisation mot de passe par e-mail</w:t>
            </w:r>
          </w:p>
        </w:tc>
        <w:tc>
          <w:tcPr>
            <w:tcW w:type="dxa" w:w="1417"/>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2E7D32"/>
                <w:sz w:val="16"/>
              </w:rPr>
              <w:t>Must-have</w:t>
            </w:r>
          </w:p>
        </w:tc>
        <w:tc>
          <w:tcPr>
            <w:tcW w:type="dxa" w:w="1134"/>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2E7D32"/>
                <w:sz w:val="16"/>
              </w:rPr>
              <w:t>Free</w:t>
            </w:r>
          </w:p>
        </w:tc>
      </w:tr>
      <w:tr>
        <w:tc>
          <w:tcPr>
            <w:tcW w:type="dxa" w:w="1701"/>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Compte &amp; sécurité</w:t>
            </w:r>
          </w:p>
        </w:tc>
        <w:tc>
          <w:tcPr>
            <w:tcW w:type="dxa" w:w="5102"/>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Authentification à deux facteurs (2FA — TOTP ou SMS)</w:t>
            </w:r>
          </w:p>
        </w:tc>
        <w:tc>
          <w:tcPr>
            <w:tcW w:type="dxa" w:w="1417"/>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2E7D32"/>
                <w:sz w:val="16"/>
              </w:rPr>
              <w:t>Must-have</w:t>
            </w:r>
          </w:p>
        </w:tc>
        <w:tc>
          <w:tcPr>
            <w:tcW w:type="dxa" w:w="1134"/>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2E7D32"/>
                <w:sz w:val="16"/>
              </w:rPr>
              <w:t>Free</w:t>
            </w:r>
          </w:p>
        </w:tc>
      </w:tr>
      <w:tr>
        <w:tc>
          <w:tcPr>
            <w:tcW w:type="dxa" w:w="1701"/>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Compte &amp; sécurité</w:t>
            </w:r>
          </w:p>
        </w:tc>
        <w:tc>
          <w:tcPr>
            <w:tcW w:type="dxa" w:w="5102"/>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Verrouillage par code PIN ou biométrie</w:t>
            </w:r>
          </w:p>
        </w:tc>
        <w:tc>
          <w:tcPr>
            <w:tcW w:type="dxa" w:w="1417"/>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2E7D32"/>
                <w:sz w:val="16"/>
              </w:rPr>
              <w:t>Must-have</w:t>
            </w:r>
          </w:p>
        </w:tc>
        <w:tc>
          <w:tcPr>
            <w:tcW w:type="dxa" w:w="1134"/>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2E7D32"/>
                <w:sz w:val="16"/>
              </w:rPr>
              <w:t>Free</w:t>
            </w:r>
          </w:p>
        </w:tc>
      </w:tr>
      <w:tr>
        <w:tc>
          <w:tcPr>
            <w:tcW w:type="dxa" w:w="1701"/>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Compte &amp; sécurité</w:t>
            </w:r>
          </w:p>
        </w:tc>
        <w:tc>
          <w:tcPr>
            <w:tcW w:type="dxa" w:w="5102"/>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Gestion des droits RGPD (export, suppression, portabilité)</w:t>
            </w:r>
          </w:p>
        </w:tc>
        <w:tc>
          <w:tcPr>
            <w:tcW w:type="dxa" w:w="1417"/>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2E7D32"/>
                <w:sz w:val="16"/>
              </w:rPr>
              <w:t>Must-have</w:t>
            </w:r>
          </w:p>
        </w:tc>
        <w:tc>
          <w:tcPr>
            <w:tcW w:type="dxa" w:w="1134"/>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2E7D32"/>
                <w:sz w:val="16"/>
              </w:rPr>
              <w:t>Free</w:t>
            </w:r>
          </w:p>
        </w:tc>
      </w:tr>
      <w:tr>
        <w:tc>
          <w:tcPr>
            <w:tcW w:type="dxa" w:w="1701"/>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Onboarding</w:t>
            </w:r>
          </w:p>
        </w:tc>
        <w:tc>
          <w:tcPr>
            <w:tcW w:type="dxa" w:w="5102"/>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Assistant de démarrage guidé (wizard en 5 étapes)</w:t>
            </w:r>
          </w:p>
        </w:tc>
        <w:tc>
          <w:tcPr>
            <w:tcW w:type="dxa" w:w="1417"/>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2E7D32"/>
                <w:sz w:val="16"/>
              </w:rPr>
              <w:t>Must-have</w:t>
            </w:r>
          </w:p>
        </w:tc>
        <w:tc>
          <w:tcPr>
            <w:tcW w:type="dxa" w:w="1134"/>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2E7D32"/>
                <w:sz w:val="16"/>
              </w:rPr>
              <w:t>Free</w:t>
            </w:r>
          </w:p>
        </w:tc>
      </w:tr>
      <w:tr>
        <w:tc>
          <w:tcPr>
            <w:tcW w:type="dxa" w:w="1701"/>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Onboarding</w:t>
            </w:r>
          </w:p>
        </w:tc>
        <w:tc>
          <w:tcPr>
            <w:tcW w:type="dxa" w:w="5102"/>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Import de données depuis CSV à l'inscription</w:t>
            </w:r>
          </w:p>
        </w:tc>
        <w:tc>
          <w:tcPr>
            <w:tcW w:type="dxa" w:w="1417"/>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F57C00"/>
                <w:sz w:val="16"/>
              </w:rPr>
              <w:t>Should-have</w:t>
            </w:r>
          </w:p>
        </w:tc>
        <w:tc>
          <w:tcPr>
            <w:tcW w:type="dxa" w:w="1134"/>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1A73E8"/>
                <w:sz w:val="16"/>
              </w:rPr>
              <w:t>Premium</w:t>
            </w:r>
          </w:p>
        </w:tc>
      </w:tr>
      <w:tr>
        <w:tc>
          <w:tcPr>
            <w:tcW w:type="dxa" w:w="1701"/>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Comptes manuels</w:t>
            </w:r>
          </w:p>
        </w:tc>
        <w:tc>
          <w:tcPr>
            <w:tcW w:type="dxa" w:w="5102"/>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Création de comptes manuels multiples illimités</w:t>
            </w:r>
          </w:p>
        </w:tc>
        <w:tc>
          <w:tcPr>
            <w:tcW w:type="dxa" w:w="1417"/>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2E7D32"/>
                <w:sz w:val="16"/>
              </w:rPr>
              <w:t>Must-have</w:t>
            </w:r>
          </w:p>
        </w:tc>
        <w:tc>
          <w:tcPr>
            <w:tcW w:type="dxa" w:w="1134"/>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2E7D32"/>
                <w:sz w:val="16"/>
              </w:rPr>
              <w:t>Free</w:t>
            </w:r>
          </w:p>
        </w:tc>
      </w:tr>
      <w:tr>
        <w:tc>
          <w:tcPr>
            <w:tcW w:type="dxa" w:w="1701"/>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Comptes manuels</w:t>
            </w:r>
          </w:p>
        </w:tc>
        <w:tc>
          <w:tcPr>
            <w:tcW w:type="dxa" w:w="5102"/>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Solde de départ configurable et solde calculé en temps réel</w:t>
            </w:r>
          </w:p>
        </w:tc>
        <w:tc>
          <w:tcPr>
            <w:tcW w:type="dxa" w:w="1417"/>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2E7D32"/>
                <w:sz w:val="16"/>
              </w:rPr>
              <w:t>Must-have</w:t>
            </w:r>
          </w:p>
        </w:tc>
        <w:tc>
          <w:tcPr>
            <w:tcW w:type="dxa" w:w="1134"/>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2E7D32"/>
                <w:sz w:val="16"/>
              </w:rPr>
              <w:t>Free</w:t>
            </w:r>
          </w:p>
        </w:tc>
      </w:tr>
      <w:tr>
        <w:tc>
          <w:tcPr>
            <w:tcW w:type="dxa" w:w="1701"/>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Comptes manuels</w:t>
            </w:r>
          </w:p>
        </w:tc>
        <w:tc>
          <w:tcPr>
            <w:tcW w:type="dxa" w:w="5102"/>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Virements entre comptes (neutre budgétairement)</w:t>
            </w:r>
          </w:p>
        </w:tc>
        <w:tc>
          <w:tcPr>
            <w:tcW w:type="dxa" w:w="1417"/>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2E7D32"/>
                <w:sz w:val="16"/>
              </w:rPr>
              <w:t>Must-have</w:t>
            </w:r>
          </w:p>
        </w:tc>
        <w:tc>
          <w:tcPr>
            <w:tcW w:type="dxa" w:w="1134"/>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2E7D32"/>
                <w:sz w:val="16"/>
              </w:rPr>
              <w:t>Free</w:t>
            </w:r>
          </w:p>
        </w:tc>
      </w:tr>
      <w:tr>
        <w:tc>
          <w:tcPr>
            <w:tcW w:type="dxa" w:w="1701"/>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Comptes manuels</w:t>
            </w:r>
          </w:p>
        </w:tc>
        <w:tc>
          <w:tcPr>
            <w:tcW w:type="dxa" w:w="5102"/>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Vue patrimoine net (actifs − passifs)</w:t>
            </w:r>
          </w:p>
        </w:tc>
        <w:tc>
          <w:tcPr>
            <w:tcW w:type="dxa" w:w="1417"/>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F57C00"/>
                <w:sz w:val="16"/>
              </w:rPr>
              <w:t>Should-have</w:t>
            </w:r>
          </w:p>
        </w:tc>
        <w:tc>
          <w:tcPr>
            <w:tcW w:type="dxa" w:w="1134"/>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1A73E8"/>
                <w:sz w:val="16"/>
              </w:rPr>
              <w:t>Premium</w:t>
            </w:r>
          </w:p>
        </w:tc>
      </w:tr>
      <w:tr>
        <w:tc>
          <w:tcPr>
            <w:tcW w:type="dxa" w:w="1701"/>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Liaison bancaire</w:t>
            </w:r>
          </w:p>
        </w:tc>
        <w:tc>
          <w:tcPr>
            <w:tcW w:type="dxa" w:w="5102"/>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Connexion OAuth à une banque via agrégateur Open Banking</w:t>
            </w:r>
          </w:p>
        </w:tc>
        <w:tc>
          <w:tcPr>
            <w:tcW w:type="dxa" w:w="1417"/>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2E7D32"/>
                <w:sz w:val="16"/>
              </w:rPr>
              <w:t>Must-have</w:t>
            </w:r>
          </w:p>
        </w:tc>
        <w:tc>
          <w:tcPr>
            <w:tcW w:type="dxa" w:w="1134"/>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1A73E8"/>
                <w:sz w:val="16"/>
              </w:rPr>
              <w:t>Premium</w:t>
            </w:r>
          </w:p>
        </w:tc>
      </w:tr>
      <w:tr>
        <w:tc>
          <w:tcPr>
            <w:tcW w:type="dxa" w:w="1701"/>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Liaison bancaire</w:t>
            </w:r>
          </w:p>
        </w:tc>
        <w:tc>
          <w:tcPr>
            <w:tcW w:type="dxa" w:w="5102"/>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Synchronisation automatique des transactions (1 fois/jour)</w:t>
            </w:r>
          </w:p>
        </w:tc>
        <w:tc>
          <w:tcPr>
            <w:tcW w:type="dxa" w:w="1417"/>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2E7D32"/>
                <w:sz w:val="16"/>
              </w:rPr>
              <w:t>Must-have</w:t>
            </w:r>
          </w:p>
        </w:tc>
        <w:tc>
          <w:tcPr>
            <w:tcW w:type="dxa" w:w="1134"/>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1A73E8"/>
                <w:sz w:val="16"/>
              </w:rPr>
              <w:t>Premium</w:t>
            </w:r>
          </w:p>
        </w:tc>
      </w:tr>
      <w:tr>
        <w:tc>
          <w:tcPr>
            <w:tcW w:type="dxa" w:w="1701"/>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Liaison bancaire</w:t>
            </w:r>
          </w:p>
        </w:tc>
        <w:tc>
          <w:tcPr>
            <w:tcW w:type="dxa" w:w="5102"/>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Catégorisation automatique des transactions importées</w:t>
            </w:r>
          </w:p>
        </w:tc>
        <w:tc>
          <w:tcPr>
            <w:tcW w:type="dxa" w:w="1417"/>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2E7D32"/>
                <w:sz w:val="16"/>
              </w:rPr>
              <w:t>Must-have</w:t>
            </w:r>
          </w:p>
        </w:tc>
        <w:tc>
          <w:tcPr>
            <w:tcW w:type="dxa" w:w="1134"/>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1A73E8"/>
                <w:sz w:val="16"/>
              </w:rPr>
              <w:t>Premium</w:t>
            </w:r>
          </w:p>
        </w:tc>
      </w:tr>
      <w:tr>
        <w:tc>
          <w:tcPr>
            <w:tcW w:type="dxa" w:w="1701"/>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Liaison bancaire</w:t>
            </w:r>
          </w:p>
        </w:tc>
        <w:tc>
          <w:tcPr>
            <w:tcW w:type="dxa" w:w="5102"/>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Détection et gestion des doublons (import vs saisie manuelle)</w:t>
            </w:r>
          </w:p>
        </w:tc>
        <w:tc>
          <w:tcPr>
            <w:tcW w:type="dxa" w:w="1417"/>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2E7D32"/>
                <w:sz w:val="16"/>
              </w:rPr>
              <w:t>Must-have</w:t>
            </w:r>
          </w:p>
        </w:tc>
        <w:tc>
          <w:tcPr>
            <w:tcW w:type="dxa" w:w="1134"/>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1A73E8"/>
                <w:sz w:val="16"/>
              </w:rPr>
              <w:t>Premium</w:t>
            </w:r>
          </w:p>
        </w:tc>
      </w:tr>
      <w:tr>
        <w:tc>
          <w:tcPr>
            <w:tcW w:type="dxa" w:w="1701"/>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Liaison bancaire</w:t>
            </w:r>
          </w:p>
        </w:tc>
        <w:tc>
          <w:tcPr>
            <w:tcW w:type="dxa" w:w="5102"/>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Affichage du solde bancaire réel dans le tableau de bord</w:t>
            </w:r>
          </w:p>
        </w:tc>
        <w:tc>
          <w:tcPr>
            <w:tcW w:type="dxa" w:w="1417"/>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2E7D32"/>
                <w:sz w:val="16"/>
              </w:rPr>
              <w:t>Must-have</w:t>
            </w:r>
          </w:p>
        </w:tc>
        <w:tc>
          <w:tcPr>
            <w:tcW w:type="dxa" w:w="1134"/>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1A73E8"/>
                <w:sz w:val="16"/>
              </w:rPr>
              <w:t>Premium</w:t>
            </w:r>
          </w:p>
        </w:tc>
      </w:tr>
      <w:tr>
        <w:tc>
          <w:tcPr>
            <w:tcW w:type="dxa" w:w="1701"/>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Liaison bancaire</w:t>
            </w:r>
          </w:p>
        </w:tc>
        <w:tc>
          <w:tcPr>
            <w:tcW w:type="dxa" w:w="5102"/>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Connexion jusqu'à 3 banques simultanément</w:t>
            </w:r>
          </w:p>
        </w:tc>
        <w:tc>
          <w:tcPr>
            <w:tcW w:type="dxa" w:w="1417"/>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F57C00"/>
                <w:sz w:val="16"/>
              </w:rPr>
              <w:t>Should-have</w:t>
            </w:r>
          </w:p>
        </w:tc>
        <w:tc>
          <w:tcPr>
            <w:tcW w:type="dxa" w:w="1134"/>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1A73E8"/>
                <w:sz w:val="16"/>
              </w:rPr>
              <w:t>Premium</w:t>
            </w:r>
          </w:p>
        </w:tc>
      </w:tr>
      <w:tr>
        <w:tc>
          <w:tcPr>
            <w:tcW w:type="dxa" w:w="1701"/>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Liaison bancaire</w:t>
            </w:r>
          </w:p>
        </w:tc>
        <w:tc>
          <w:tcPr>
            <w:tcW w:type="dxa" w:w="5102"/>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Tableau de bord d'état des connexions bancaires</w:t>
            </w:r>
          </w:p>
        </w:tc>
        <w:tc>
          <w:tcPr>
            <w:tcW w:type="dxa" w:w="1417"/>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2E7D32"/>
                <w:sz w:val="16"/>
              </w:rPr>
              <w:t>Must-have</w:t>
            </w:r>
          </w:p>
        </w:tc>
        <w:tc>
          <w:tcPr>
            <w:tcW w:type="dxa" w:w="1134"/>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1A73E8"/>
                <w:sz w:val="16"/>
              </w:rPr>
              <w:t>Premium</w:t>
            </w:r>
          </w:p>
        </w:tc>
      </w:tr>
      <w:tr>
        <w:tc>
          <w:tcPr>
            <w:tcW w:type="dxa" w:w="1701"/>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Liaison bancaire</w:t>
            </w:r>
          </w:p>
        </w:tc>
        <w:tc>
          <w:tcPr>
            <w:tcW w:type="dxa" w:w="5102"/>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Déconnexion d'une banque à tout moment (révocation du consentement)</w:t>
            </w:r>
          </w:p>
        </w:tc>
        <w:tc>
          <w:tcPr>
            <w:tcW w:type="dxa" w:w="1417"/>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2E7D32"/>
                <w:sz w:val="16"/>
              </w:rPr>
              <w:t>Must-have</w:t>
            </w:r>
          </w:p>
        </w:tc>
        <w:tc>
          <w:tcPr>
            <w:tcW w:type="dxa" w:w="1134"/>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1A73E8"/>
                <w:sz w:val="16"/>
              </w:rPr>
              <w:t>Premium</w:t>
            </w:r>
          </w:p>
        </w:tc>
      </w:tr>
      <w:tr>
        <w:tc>
          <w:tcPr>
            <w:tcW w:type="dxa" w:w="1701"/>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Liaison bancaire</w:t>
            </w:r>
          </w:p>
        </w:tc>
        <w:tc>
          <w:tcPr>
            <w:tcW w:type="dxa" w:w="5102"/>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Synchronisation manuelle à la demande (en dehors du cycle auto)</w:t>
            </w:r>
          </w:p>
        </w:tc>
        <w:tc>
          <w:tcPr>
            <w:tcW w:type="dxa" w:w="1417"/>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F57C00"/>
                <w:sz w:val="16"/>
              </w:rPr>
              <w:t>Should-have</w:t>
            </w:r>
          </w:p>
        </w:tc>
        <w:tc>
          <w:tcPr>
            <w:tcW w:type="dxa" w:w="1134"/>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1A73E8"/>
                <w:sz w:val="16"/>
              </w:rPr>
              <w:t>Premium</w:t>
            </w:r>
          </w:p>
        </w:tc>
      </w:tr>
      <w:tr>
        <w:tc>
          <w:tcPr>
            <w:tcW w:type="dxa" w:w="1701"/>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Liaison bancaire</w:t>
            </w:r>
          </w:p>
        </w:tc>
        <w:tc>
          <w:tcPr>
            <w:tcW w:type="dxa" w:w="5102"/>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Historique bancaire importé sur 90 jours à la première connexion</w:t>
            </w:r>
          </w:p>
        </w:tc>
        <w:tc>
          <w:tcPr>
            <w:tcW w:type="dxa" w:w="1417"/>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F57C00"/>
                <w:sz w:val="16"/>
              </w:rPr>
              <w:t>Should-have</w:t>
            </w:r>
          </w:p>
        </w:tc>
        <w:tc>
          <w:tcPr>
            <w:tcW w:type="dxa" w:w="1134"/>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1A73E8"/>
                <w:sz w:val="16"/>
              </w:rPr>
              <w:t>Premium</w:t>
            </w:r>
          </w:p>
        </w:tc>
      </w:tr>
      <w:tr>
        <w:tc>
          <w:tcPr>
            <w:tcW w:type="dxa" w:w="1701"/>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Revenus</w:t>
            </w:r>
          </w:p>
        </w:tc>
        <w:tc>
          <w:tcPr>
            <w:tcW w:type="dxa" w:w="5102"/>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Saisie de revenus illimitée (titre, montant, date, catégorie)</w:t>
            </w:r>
          </w:p>
        </w:tc>
        <w:tc>
          <w:tcPr>
            <w:tcW w:type="dxa" w:w="1417"/>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2E7D32"/>
                <w:sz w:val="16"/>
              </w:rPr>
              <w:t>Must-have</w:t>
            </w:r>
          </w:p>
        </w:tc>
        <w:tc>
          <w:tcPr>
            <w:tcW w:type="dxa" w:w="1134"/>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2E7D32"/>
                <w:sz w:val="16"/>
              </w:rPr>
              <w:t>Free</w:t>
            </w:r>
          </w:p>
        </w:tc>
      </w:tr>
      <w:tr>
        <w:tc>
          <w:tcPr>
            <w:tcW w:type="dxa" w:w="1701"/>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Revenus</w:t>
            </w:r>
          </w:p>
        </w:tc>
        <w:tc>
          <w:tcPr>
            <w:tcW w:type="dxa" w:w="5102"/>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Catégories de revenus prédéfinies + personnalisées illimitées</w:t>
            </w:r>
          </w:p>
        </w:tc>
        <w:tc>
          <w:tcPr>
            <w:tcW w:type="dxa" w:w="1417"/>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2E7D32"/>
                <w:sz w:val="16"/>
              </w:rPr>
              <w:t>Must-have</w:t>
            </w:r>
          </w:p>
        </w:tc>
        <w:tc>
          <w:tcPr>
            <w:tcW w:type="dxa" w:w="1134"/>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2E7D32"/>
                <w:sz w:val="16"/>
              </w:rPr>
              <w:t>Free</w:t>
            </w:r>
          </w:p>
        </w:tc>
      </w:tr>
      <w:tr>
        <w:tc>
          <w:tcPr>
            <w:tcW w:type="dxa" w:w="1701"/>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Revenus</w:t>
            </w:r>
          </w:p>
        </w:tc>
        <w:tc>
          <w:tcPr>
            <w:tcW w:type="dxa" w:w="5102"/>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Revenus récurrents automatiques</w:t>
            </w:r>
          </w:p>
        </w:tc>
        <w:tc>
          <w:tcPr>
            <w:tcW w:type="dxa" w:w="1417"/>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2E7D32"/>
                <w:sz w:val="16"/>
              </w:rPr>
              <w:t>Must-have</w:t>
            </w:r>
          </w:p>
        </w:tc>
        <w:tc>
          <w:tcPr>
            <w:tcW w:type="dxa" w:w="1134"/>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2E7D32"/>
                <w:sz w:val="16"/>
              </w:rPr>
              <w:t>Free</w:t>
            </w:r>
          </w:p>
        </w:tc>
      </w:tr>
      <w:tr>
        <w:tc>
          <w:tcPr>
            <w:tcW w:type="dxa" w:w="1701"/>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Dépenses</w:t>
            </w:r>
          </w:p>
        </w:tc>
        <w:tc>
          <w:tcPr>
            <w:tcW w:type="dxa" w:w="5102"/>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Saisie rapide (&lt; 10 s) avec calculatrice intégrée</w:t>
            </w:r>
          </w:p>
        </w:tc>
        <w:tc>
          <w:tcPr>
            <w:tcW w:type="dxa" w:w="1417"/>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2E7D32"/>
                <w:sz w:val="16"/>
              </w:rPr>
              <w:t>Must-have</w:t>
            </w:r>
          </w:p>
        </w:tc>
        <w:tc>
          <w:tcPr>
            <w:tcW w:type="dxa" w:w="1134"/>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2E7D32"/>
                <w:sz w:val="16"/>
              </w:rPr>
              <w:t>Free</w:t>
            </w:r>
          </w:p>
        </w:tc>
      </w:tr>
      <w:tr>
        <w:tc>
          <w:tcPr>
            <w:tcW w:type="dxa" w:w="1701"/>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Dépenses</w:t>
            </w:r>
          </w:p>
        </w:tc>
        <w:tc>
          <w:tcPr>
            <w:tcW w:type="dxa" w:w="5102"/>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Champs complets : titre, montant, date, catégorie, compte, note</w:t>
            </w:r>
          </w:p>
        </w:tc>
        <w:tc>
          <w:tcPr>
            <w:tcW w:type="dxa" w:w="1417"/>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2E7D32"/>
                <w:sz w:val="16"/>
              </w:rPr>
              <w:t>Must-have</w:t>
            </w:r>
          </w:p>
        </w:tc>
        <w:tc>
          <w:tcPr>
            <w:tcW w:type="dxa" w:w="1134"/>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2E7D32"/>
                <w:sz w:val="16"/>
              </w:rPr>
              <w:t>Free</w:t>
            </w:r>
          </w:p>
        </w:tc>
      </w:tr>
      <w:tr>
        <w:tc>
          <w:tcPr>
            <w:tcW w:type="dxa" w:w="1701"/>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Dépenses</w:t>
            </w:r>
          </w:p>
        </w:tc>
        <w:tc>
          <w:tcPr>
            <w:tcW w:type="dxa" w:w="5102"/>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Photo de reçu en pièce jointe</w:t>
            </w:r>
          </w:p>
        </w:tc>
        <w:tc>
          <w:tcPr>
            <w:tcW w:type="dxa" w:w="1417"/>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F57C00"/>
                <w:sz w:val="16"/>
              </w:rPr>
              <w:t>Should-have</w:t>
            </w:r>
          </w:p>
        </w:tc>
        <w:tc>
          <w:tcPr>
            <w:tcW w:type="dxa" w:w="1134"/>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2E7D32"/>
                <w:sz w:val="16"/>
              </w:rPr>
              <w:t>Free</w:t>
            </w:r>
          </w:p>
        </w:tc>
      </w:tr>
      <w:tr>
        <w:tc>
          <w:tcPr>
            <w:tcW w:type="dxa" w:w="1701"/>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Dépenses</w:t>
            </w:r>
          </w:p>
        </w:tc>
        <w:tc>
          <w:tcPr>
            <w:tcW w:type="dxa" w:w="5102"/>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Split d'une transaction sur plusieurs catégories</w:t>
            </w:r>
          </w:p>
        </w:tc>
        <w:tc>
          <w:tcPr>
            <w:tcW w:type="dxa" w:w="1417"/>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F57C00"/>
                <w:sz w:val="16"/>
              </w:rPr>
              <w:t>Should-have</w:t>
            </w:r>
          </w:p>
        </w:tc>
        <w:tc>
          <w:tcPr>
            <w:tcW w:type="dxa" w:w="1134"/>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1A73E8"/>
                <w:sz w:val="16"/>
              </w:rPr>
              <w:t>Premium</w:t>
            </w:r>
          </w:p>
        </w:tc>
      </w:tr>
      <w:tr>
        <w:tc>
          <w:tcPr>
            <w:tcW w:type="dxa" w:w="1701"/>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Dépenses</w:t>
            </w:r>
          </w:p>
        </w:tc>
        <w:tc>
          <w:tcPr>
            <w:tcW w:type="dxa" w:w="5102"/>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Tags libres (ex. : #professionnel, #vacances…)</w:t>
            </w:r>
          </w:p>
        </w:tc>
        <w:tc>
          <w:tcPr>
            <w:tcW w:type="dxa" w:w="1417"/>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F57C00"/>
                <w:sz w:val="16"/>
              </w:rPr>
              <w:t>Should-have</w:t>
            </w:r>
          </w:p>
        </w:tc>
        <w:tc>
          <w:tcPr>
            <w:tcW w:type="dxa" w:w="1134"/>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1A73E8"/>
                <w:sz w:val="16"/>
              </w:rPr>
              <w:t>Premium</w:t>
            </w:r>
          </w:p>
        </w:tc>
      </w:tr>
      <w:tr>
        <w:tc>
          <w:tcPr>
            <w:tcW w:type="dxa" w:w="1701"/>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Dépenses</w:t>
            </w:r>
          </w:p>
        </w:tc>
        <w:tc>
          <w:tcPr>
            <w:tcW w:type="dxa" w:w="5102"/>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Marquage d'une dépense comme fiscalement déductible</w:t>
            </w:r>
          </w:p>
        </w:tc>
        <w:tc>
          <w:tcPr>
            <w:tcW w:type="dxa" w:w="1417"/>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F57C00"/>
                <w:sz w:val="16"/>
              </w:rPr>
              <w:t>Should-have</w:t>
            </w:r>
          </w:p>
        </w:tc>
        <w:tc>
          <w:tcPr>
            <w:tcW w:type="dxa" w:w="1134"/>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1A73E8"/>
                <w:sz w:val="16"/>
              </w:rPr>
              <w:t>Premium</w:t>
            </w:r>
          </w:p>
        </w:tc>
      </w:tr>
      <w:tr>
        <w:tc>
          <w:tcPr>
            <w:tcW w:type="dxa" w:w="1701"/>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Dépenses</w:t>
            </w:r>
          </w:p>
        </w:tc>
        <w:tc>
          <w:tcPr>
            <w:tcW w:type="dxa" w:w="5102"/>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Recherche plein texte dans toutes les transactions</w:t>
            </w:r>
          </w:p>
        </w:tc>
        <w:tc>
          <w:tcPr>
            <w:tcW w:type="dxa" w:w="1417"/>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2E7D32"/>
                <w:sz w:val="16"/>
              </w:rPr>
              <w:t>Must-have</w:t>
            </w:r>
          </w:p>
        </w:tc>
        <w:tc>
          <w:tcPr>
            <w:tcW w:type="dxa" w:w="1134"/>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2E7D32"/>
                <w:sz w:val="16"/>
              </w:rPr>
              <w:t>Free</w:t>
            </w:r>
          </w:p>
        </w:tc>
      </w:tr>
      <w:tr>
        <w:tc>
          <w:tcPr>
            <w:tcW w:type="dxa" w:w="1701"/>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Dépenses</w:t>
            </w:r>
          </w:p>
        </w:tc>
        <w:tc>
          <w:tcPr>
            <w:tcW w:type="dxa" w:w="5102"/>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Filtres avancés (période, catégorie, compte, tag, montant)</w:t>
            </w:r>
          </w:p>
        </w:tc>
        <w:tc>
          <w:tcPr>
            <w:tcW w:type="dxa" w:w="1417"/>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2E7D32"/>
                <w:sz w:val="16"/>
              </w:rPr>
              <w:t>Must-have</w:t>
            </w:r>
          </w:p>
        </w:tc>
        <w:tc>
          <w:tcPr>
            <w:tcW w:type="dxa" w:w="1134"/>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2E7D32"/>
                <w:sz w:val="16"/>
              </w:rPr>
              <w:t>Free</w:t>
            </w:r>
          </w:p>
        </w:tc>
      </w:tr>
      <w:tr>
        <w:tc>
          <w:tcPr>
            <w:tcW w:type="dxa" w:w="1701"/>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Récurrences</w:t>
            </w:r>
          </w:p>
        </w:tc>
        <w:tc>
          <w:tcPr>
            <w:tcW w:type="dxa" w:w="5102"/>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Dépenses et revenus récurrents (hebdo / mensuel / annuel)</w:t>
            </w:r>
          </w:p>
        </w:tc>
        <w:tc>
          <w:tcPr>
            <w:tcW w:type="dxa" w:w="1417"/>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2E7D32"/>
                <w:sz w:val="16"/>
              </w:rPr>
              <w:t>Must-have</w:t>
            </w:r>
          </w:p>
        </w:tc>
        <w:tc>
          <w:tcPr>
            <w:tcW w:type="dxa" w:w="1134"/>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2E7D32"/>
                <w:sz w:val="16"/>
              </w:rPr>
              <w:t>Free</w:t>
            </w:r>
          </w:p>
        </w:tc>
      </w:tr>
      <w:tr>
        <w:tc>
          <w:tcPr>
            <w:tcW w:type="dxa" w:w="1701"/>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Récurrences</w:t>
            </w:r>
          </w:p>
        </w:tc>
        <w:tc>
          <w:tcPr>
            <w:tcW w:type="dxa" w:w="5102"/>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Détecteur automatique d'abonnements (patterns récurrents)</w:t>
            </w:r>
          </w:p>
        </w:tc>
        <w:tc>
          <w:tcPr>
            <w:tcW w:type="dxa" w:w="1417"/>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F57C00"/>
                <w:sz w:val="16"/>
              </w:rPr>
              <w:t>Should-have</w:t>
            </w:r>
          </w:p>
        </w:tc>
        <w:tc>
          <w:tcPr>
            <w:tcW w:type="dxa" w:w="1134"/>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1A73E8"/>
                <w:sz w:val="16"/>
              </w:rPr>
              <w:t>Premium</w:t>
            </w:r>
          </w:p>
        </w:tc>
      </w:tr>
      <w:tr>
        <w:tc>
          <w:tcPr>
            <w:tcW w:type="dxa" w:w="1701"/>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Catégories</w:t>
            </w:r>
          </w:p>
        </w:tc>
        <w:tc>
          <w:tcPr>
            <w:tcW w:type="dxa" w:w="5102"/>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Catégories illimitées prédéfinies + personnalisées</w:t>
            </w:r>
          </w:p>
        </w:tc>
        <w:tc>
          <w:tcPr>
            <w:tcW w:type="dxa" w:w="1417"/>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2E7D32"/>
                <w:sz w:val="16"/>
              </w:rPr>
              <w:t>Must-have</w:t>
            </w:r>
          </w:p>
        </w:tc>
        <w:tc>
          <w:tcPr>
            <w:tcW w:type="dxa" w:w="1134"/>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2E7D32"/>
                <w:sz w:val="16"/>
              </w:rPr>
              <w:t>Free</w:t>
            </w:r>
          </w:p>
        </w:tc>
      </w:tr>
      <w:tr>
        <w:tc>
          <w:tcPr>
            <w:tcW w:type="dxa" w:w="1701"/>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Budgets</w:t>
            </w:r>
          </w:p>
        </w:tc>
        <w:tc>
          <w:tcPr>
            <w:tcW w:type="dxa" w:w="5102"/>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Budgets mensuels illimités par catégorie</w:t>
            </w:r>
          </w:p>
        </w:tc>
        <w:tc>
          <w:tcPr>
            <w:tcW w:type="dxa" w:w="1417"/>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2E7D32"/>
                <w:sz w:val="16"/>
              </w:rPr>
              <w:t>Must-have</w:t>
            </w:r>
          </w:p>
        </w:tc>
        <w:tc>
          <w:tcPr>
            <w:tcW w:type="dxa" w:w="1134"/>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2E7D32"/>
                <w:sz w:val="16"/>
              </w:rPr>
              <w:t>Free</w:t>
            </w:r>
          </w:p>
        </w:tc>
      </w:tr>
      <w:tr>
        <w:tc>
          <w:tcPr>
            <w:tcW w:type="dxa" w:w="1701"/>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Budgets</w:t>
            </w:r>
          </w:p>
        </w:tc>
        <w:tc>
          <w:tcPr>
            <w:tcW w:type="dxa" w:w="5102"/>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Barre de progression en temps réel + alertes 80 % / 100 %</w:t>
            </w:r>
          </w:p>
        </w:tc>
        <w:tc>
          <w:tcPr>
            <w:tcW w:type="dxa" w:w="1417"/>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2E7D32"/>
                <w:sz w:val="16"/>
              </w:rPr>
              <w:t>Must-have</w:t>
            </w:r>
          </w:p>
        </w:tc>
        <w:tc>
          <w:tcPr>
            <w:tcW w:type="dxa" w:w="1134"/>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2E7D32"/>
                <w:sz w:val="16"/>
              </w:rPr>
              <w:t>Free</w:t>
            </w:r>
          </w:p>
        </w:tc>
      </w:tr>
      <w:tr>
        <w:tc>
          <w:tcPr>
            <w:tcW w:type="dxa" w:w="1701"/>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Budgets</w:t>
            </w:r>
          </w:p>
        </w:tc>
        <w:tc>
          <w:tcPr>
            <w:tcW w:type="dxa" w:w="5102"/>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Alertes prédictives (calcul du rythme de dépense)</w:t>
            </w:r>
          </w:p>
        </w:tc>
        <w:tc>
          <w:tcPr>
            <w:tcW w:type="dxa" w:w="1417"/>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2E7D32"/>
                <w:sz w:val="16"/>
              </w:rPr>
              <w:t>Must-have</w:t>
            </w:r>
          </w:p>
        </w:tc>
        <w:tc>
          <w:tcPr>
            <w:tcW w:type="dxa" w:w="1134"/>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1A73E8"/>
                <w:sz w:val="16"/>
              </w:rPr>
              <w:t>Premium</w:t>
            </w:r>
          </w:p>
        </w:tc>
      </w:tr>
      <w:tr>
        <w:tc>
          <w:tcPr>
            <w:tcW w:type="dxa" w:w="1701"/>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Budgets</w:t>
            </w:r>
          </w:p>
        </w:tc>
        <w:tc>
          <w:tcPr>
            <w:tcW w:type="dxa" w:w="5102"/>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Suggestions de budget basées sur l'historique</w:t>
            </w:r>
          </w:p>
        </w:tc>
        <w:tc>
          <w:tcPr>
            <w:tcW w:type="dxa" w:w="1417"/>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F57C00"/>
                <w:sz w:val="16"/>
              </w:rPr>
              <w:t>Should-have</w:t>
            </w:r>
          </w:p>
        </w:tc>
        <w:tc>
          <w:tcPr>
            <w:tcW w:type="dxa" w:w="1134"/>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1A73E8"/>
                <w:sz w:val="16"/>
              </w:rPr>
              <w:t>Premium</w:t>
            </w:r>
          </w:p>
        </w:tc>
      </w:tr>
      <w:tr>
        <w:tc>
          <w:tcPr>
            <w:tcW w:type="dxa" w:w="1701"/>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Budgets</w:t>
            </w:r>
          </w:p>
        </w:tc>
        <w:tc>
          <w:tcPr>
            <w:tcW w:type="dxa" w:w="5102"/>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Budget annuel global (en plus du mensuel)</w:t>
            </w:r>
          </w:p>
        </w:tc>
        <w:tc>
          <w:tcPr>
            <w:tcW w:type="dxa" w:w="1417"/>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6A1B9A"/>
                <w:sz w:val="16"/>
              </w:rPr>
              <w:t>Could-have</w:t>
            </w:r>
          </w:p>
        </w:tc>
        <w:tc>
          <w:tcPr>
            <w:tcW w:type="dxa" w:w="1134"/>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1A73E8"/>
                <w:sz w:val="16"/>
              </w:rPr>
              <w:t>Premium</w:t>
            </w:r>
          </w:p>
        </w:tc>
      </w:tr>
      <w:tr>
        <w:tc>
          <w:tcPr>
            <w:tcW w:type="dxa" w:w="1701"/>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Factures</w:t>
            </w:r>
          </w:p>
        </w:tc>
        <w:tc>
          <w:tcPr>
            <w:tcW w:type="dxa" w:w="5102"/>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Planification de factures à venir (échéance, montant, compte)</w:t>
            </w:r>
          </w:p>
        </w:tc>
        <w:tc>
          <w:tcPr>
            <w:tcW w:type="dxa" w:w="1417"/>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2E7D32"/>
                <w:sz w:val="16"/>
              </w:rPr>
              <w:t>Must-have</w:t>
            </w:r>
          </w:p>
        </w:tc>
        <w:tc>
          <w:tcPr>
            <w:tcW w:type="dxa" w:w="1134"/>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2E7D32"/>
                <w:sz w:val="16"/>
              </w:rPr>
              <w:t>Free</w:t>
            </w:r>
          </w:p>
        </w:tc>
      </w:tr>
      <w:tr>
        <w:tc>
          <w:tcPr>
            <w:tcW w:type="dxa" w:w="1701"/>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Factures</w:t>
            </w:r>
          </w:p>
        </w:tc>
        <w:tc>
          <w:tcPr>
            <w:tcW w:type="dxa" w:w="5102"/>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Vue calendrier des échéances des 30 prochains jours</w:t>
            </w:r>
          </w:p>
        </w:tc>
        <w:tc>
          <w:tcPr>
            <w:tcW w:type="dxa" w:w="1417"/>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2E7D32"/>
                <w:sz w:val="16"/>
              </w:rPr>
              <w:t>Must-have</w:t>
            </w:r>
          </w:p>
        </w:tc>
        <w:tc>
          <w:tcPr>
            <w:tcW w:type="dxa" w:w="1134"/>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2E7D32"/>
                <w:sz w:val="16"/>
              </w:rPr>
              <w:t>Free</w:t>
            </w:r>
          </w:p>
        </w:tc>
      </w:tr>
      <w:tr>
        <w:tc>
          <w:tcPr>
            <w:tcW w:type="dxa" w:w="1701"/>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Factures</w:t>
            </w:r>
          </w:p>
        </w:tc>
        <w:tc>
          <w:tcPr>
            <w:tcW w:type="dxa" w:w="5102"/>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Rappel configurable avant échéance (in-app + e-mail)</w:t>
            </w:r>
          </w:p>
        </w:tc>
        <w:tc>
          <w:tcPr>
            <w:tcW w:type="dxa" w:w="1417"/>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2E7D32"/>
                <w:sz w:val="16"/>
              </w:rPr>
              <w:t>Must-have</w:t>
            </w:r>
          </w:p>
        </w:tc>
        <w:tc>
          <w:tcPr>
            <w:tcW w:type="dxa" w:w="1134"/>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2E7D32"/>
                <w:sz w:val="16"/>
              </w:rPr>
              <w:t>Free</w:t>
            </w:r>
          </w:p>
        </w:tc>
      </w:tr>
      <w:tr>
        <w:tc>
          <w:tcPr>
            <w:tcW w:type="dxa" w:w="1701"/>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Factures</w:t>
            </w:r>
          </w:p>
        </w:tc>
        <w:tc>
          <w:tcPr>
            <w:tcW w:type="dxa" w:w="5102"/>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Validation → conversion automatique en dépense réelle</w:t>
            </w:r>
          </w:p>
        </w:tc>
        <w:tc>
          <w:tcPr>
            <w:tcW w:type="dxa" w:w="1417"/>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2E7D32"/>
                <w:sz w:val="16"/>
              </w:rPr>
              <w:t>Must-have</w:t>
            </w:r>
          </w:p>
        </w:tc>
        <w:tc>
          <w:tcPr>
            <w:tcW w:type="dxa" w:w="1134"/>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2E7D32"/>
                <w:sz w:val="16"/>
              </w:rPr>
              <w:t>Free</w:t>
            </w:r>
          </w:p>
        </w:tc>
      </w:tr>
      <w:tr>
        <w:tc>
          <w:tcPr>
            <w:tcW w:type="dxa" w:w="1701"/>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Épargne &amp; dettes</w:t>
            </w:r>
          </w:p>
        </w:tc>
        <w:tc>
          <w:tcPr>
            <w:tcW w:type="dxa" w:w="5102"/>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Objectifs d'épargne (jusqu'à 3 en Free, illimités en Premium)</w:t>
            </w:r>
          </w:p>
        </w:tc>
        <w:tc>
          <w:tcPr>
            <w:tcW w:type="dxa" w:w="1417"/>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2E7D32"/>
                <w:sz w:val="16"/>
              </w:rPr>
              <w:t>Must-have</w:t>
            </w:r>
          </w:p>
        </w:tc>
        <w:tc>
          <w:tcPr>
            <w:tcW w:type="dxa" w:w="1134"/>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F57C00"/>
                <w:sz w:val="16"/>
              </w:rPr>
              <w:t>Free / Premium</w:t>
            </w:r>
          </w:p>
        </w:tc>
      </w:tr>
      <w:tr>
        <w:tc>
          <w:tcPr>
            <w:tcW w:type="dxa" w:w="1701"/>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Épargne &amp; dettes</w:t>
            </w:r>
          </w:p>
        </w:tc>
        <w:tc>
          <w:tcPr>
            <w:tcW w:type="dxa" w:w="5102"/>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Suivi de progression · Alimentation manuelle</w:t>
            </w:r>
          </w:p>
        </w:tc>
        <w:tc>
          <w:tcPr>
            <w:tcW w:type="dxa" w:w="1417"/>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2E7D32"/>
                <w:sz w:val="16"/>
              </w:rPr>
              <w:t>Must-have</w:t>
            </w:r>
          </w:p>
        </w:tc>
        <w:tc>
          <w:tcPr>
            <w:tcW w:type="dxa" w:w="1134"/>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2E7D32"/>
                <w:sz w:val="16"/>
              </w:rPr>
              <w:t>Free</w:t>
            </w:r>
          </w:p>
        </w:tc>
      </w:tr>
      <w:tr>
        <w:tc>
          <w:tcPr>
            <w:tcW w:type="dxa" w:w="1701"/>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Épargne &amp; dettes</w:t>
            </w:r>
          </w:p>
        </w:tc>
        <w:tc>
          <w:tcPr>
            <w:tcW w:type="dxa" w:w="5102"/>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Projection automatique de date d'atteinte</w:t>
            </w:r>
          </w:p>
        </w:tc>
        <w:tc>
          <w:tcPr>
            <w:tcW w:type="dxa" w:w="1417"/>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F57C00"/>
                <w:sz w:val="16"/>
              </w:rPr>
              <w:t>Should-have</w:t>
            </w:r>
          </w:p>
        </w:tc>
        <w:tc>
          <w:tcPr>
            <w:tcW w:type="dxa" w:w="1134"/>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1A73E8"/>
                <w:sz w:val="16"/>
              </w:rPr>
              <w:t>Premium</w:t>
            </w:r>
          </w:p>
        </w:tc>
      </w:tr>
      <w:tr>
        <w:tc>
          <w:tcPr>
            <w:tcW w:type="dxa" w:w="1701"/>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Épargne &amp; dettes</w:t>
            </w:r>
          </w:p>
        </w:tc>
        <w:tc>
          <w:tcPr>
            <w:tcW w:type="dxa" w:w="5102"/>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Tracker de dettes avec plan de remboursement</w:t>
            </w:r>
          </w:p>
        </w:tc>
        <w:tc>
          <w:tcPr>
            <w:tcW w:type="dxa" w:w="1417"/>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F57C00"/>
                <w:sz w:val="16"/>
              </w:rPr>
              <w:t>Should-have</w:t>
            </w:r>
          </w:p>
        </w:tc>
        <w:tc>
          <w:tcPr>
            <w:tcW w:type="dxa" w:w="1134"/>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1A73E8"/>
                <w:sz w:val="16"/>
              </w:rPr>
              <w:t>Premium</w:t>
            </w:r>
          </w:p>
        </w:tc>
      </w:tr>
      <w:tr>
        <w:tc>
          <w:tcPr>
            <w:tcW w:type="dxa" w:w="1701"/>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Tableau de bord</w:t>
            </w:r>
          </w:p>
        </w:tc>
        <w:tc>
          <w:tcPr>
            <w:tcW w:type="dxa" w:w="5102"/>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Solde net global + solde par compte</w:t>
            </w:r>
          </w:p>
        </w:tc>
        <w:tc>
          <w:tcPr>
            <w:tcW w:type="dxa" w:w="1417"/>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2E7D32"/>
                <w:sz w:val="16"/>
              </w:rPr>
              <w:t>Must-have</w:t>
            </w:r>
          </w:p>
        </w:tc>
        <w:tc>
          <w:tcPr>
            <w:tcW w:type="dxa" w:w="1134"/>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2E7D32"/>
                <w:sz w:val="16"/>
              </w:rPr>
              <w:t>Free</w:t>
            </w:r>
          </w:p>
        </w:tc>
      </w:tr>
      <w:tr>
        <w:tc>
          <w:tcPr>
            <w:tcW w:type="dxa" w:w="1701"/>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Tableau de bord</w:t>
            </w:r>
          </w:p>
        </w:tc>
        <w:tc>
          <w:tcPr>
            <w:tcW w:type="dxa" w:w="5102"/>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Résumé mensuel : revenus / dépenses / épargne</w:t>
            </w:r>
          </w:p>
        </w:tc>
        <w:tc>
          <w:tcPr>
            <w:tcW w:type="dxa" w:w="1417"/>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2E7D32"/>
                <w:sz w:val="16"/>
              </w:rPr>
              <w:t>Must-have</w:t>
            </w:r>
          </w:p>
        </w:tc>
        <w:tc>
          <w:tcPr>
            <w:tcW w:type="dxa" w:w="1134"/>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2E7D32"/>
                <w:sz w:val="16"/>
              </w:rPr>
              <w:t>Free</w:t>
            </w:r>
          </w:p>
        </w:tc>
      </w:tr>
      <w:tr>
        <w:tc>
          <w:tcPr>
            <w:tcW w:type="dxa" w:w="1701"/>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Tableau de bord</w:t>
            </w:r>
          </w:p>
        </w:tc>
        <w:tc>
          <w:tcPr>
            <w:tcW w:type="dxa" w:w="5102"/>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Graphiques par catégorie (camembert + barres)</w:t>
            </w:r>
          </w:p>
        </w:tc>
        <w:tc>
          <w:tcPr>
            <w:tcW w:type="dxa" w:w="1417"/>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2E7D32"/>
                <w:sz w:val="16"/>
              </w:rPr>
              <w:t>Must-have</w:t>
            </w:r>
          </w:p>
        </w:tc>
        <w:tc>
          <w:tcPr>
            <w:tcW w:type="dxa" w:w="1134"/>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2E7D32"/>
                <w:sz w:val="16"/>
              </w:rPr>
              <w:t>Free</w:t>
            </w:r>
          </w:p>
        </w:tc>
      </w:tr>
      <w:tr>
        <w:tc>
          <w:tcPr>
            <w:tcW w:type="dxa" w:w="1701"/>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Tableau de bord</w:t>
            </w:r>
          </w:p>
        </w:tc>
        <w:tc>
          <w:tcPr>
            <w:tcW w:type="dxa" w:w="5102"/>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Comparaison mois courant vs mois précédent</w:t>
            </w:r>
          </w:p>
        </w:tc>
        <w:tc>
          <w:tcPr>
            <w:tcW w:type="dxa" w:w="1417"/>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2E7D32"/>
                <w:sz w:val="16"/>
              </w:rPr>
              <w:t>Must-have</w:t>
            </w:r>
          </w:p>
        </w:tc>
        <w:tc>
          <w:tcPr>
            <w:tcW w:type="dxa" w:w="1134"/>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2E7D32"/>
                <w:sz w:val="16"/>
              </w:rPr>
              <w:t>Free</w:t>
            </w:r>
          </w:p>
        </w:tc>
      </w:tr>
      <w:tr>
        <w:tc>
          <w:tcPr>
            <w:tcW w:type="dxa" w:w="1701"/>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Tableau de bord</w:t>
            </w:r>
          </w:p>
        </w:tc>
        <w:tc>
          <w:tcPr>
            <w:tcW w:type="dxa" w:w="5102"/>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Historique 12 mois (Free) · Illimité (Premium)</w:t>
            </w:r>
          </w:p>
        </w:tc>
        <w:tc>
          <w:tcPr>
            <w:tcW w:type="dxa" w:w="1417"/>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2E7D32"/>
                <w:sz w:val="16"/>
              </w:rPr>
              <w:t>Must-have</w:t>
            </w:r>
          </w:p>
        </w:tc>
        <w:tc>
          <w:tcPr>
            <w:tcW w:type="dxa" w:w="1134"/>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F57C00"/>
                <w:sz w:val="16"/>
              </w:rPr>
              <w:t>Free / Premium</w:t>
            </w:r>
          </w:p>
        </w:tc>
      </w:tr>
      <w:tr>
        <w:tc>
          <w:tcPr>
            <w:tcW w:type="dxa" w:w="1701"/>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Tableau de bord</w:t>
            </w:r>
          </w:p>
        </w:tc>
        <w:tc>
          <w:tcPr>
            <w:tcW w:type="dxa" w:w="5102"/>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Cash flow des 6 derniers mois</w:t>
            </w:r>
          </w:p>
        </w:tc>
        <w:tc>
          <w:tcPr>
            <w:tcW w:type="dxa" w:w="1417"/>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2E7D32"/>
                <w:sz w:val="16"/>
              </w:rPr>
              <w:t>Must-have</w:t>
            </w:r>
          </w:p>
        </w:tc>
        <w:tc>
          <w:tcPr>
            <w:tcW w:type="dxa" w:w="1134"/>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1A73E8"/>
                <w:sz w:val="16"/>
              </w:rPr>
              <w:t>Premium</w:t>
            </w:r>
          </w:p>
        </w:tc>
      </w:tr>
      <w:tr>
        <w:tc>
          <w:tcPr>
            <w:tcW w:type="dxa" w:w="1701"/>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Tableau de bord</w:t>
            </w:r>
          </w:p>
        </w:tc>
        <w:tc>
          <w:tcPr>
            <w:tcW w:type="dxa" w:w="5102"/>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Prévision de solde sur 30 jours</w:t>
            </w:r>
          </w:p>
        </w:tc>
        <w:tc>
          <w:tcPr>
            <w:tcW w:type="dxa" w:w="1417"/>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F57C00"/>
                <w:sz w:val="16"/>
              </w:rPr>
              <w:t>Should-have</w:t>
            </w:r>
          </w:p>
        </w:tc>
        <w:tc>
          <w:tcPr>
            <w:tcW w:type="dxa" w:w="1134"/>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1A73E8"/>
                <w:sz w:val="16"/>
              </w:rPr>
              <w:t>Premium</w:t>
            </w:r>
          </w:p>
        </w:tc>
      </w:tr>
      <w:tr>
        <w:tc>
          <w:tcPr>
            <w:tcW w:type="dxa" w:w="1701"/>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Tableau de bord</w:t>
            </w:r>
          </w:p>
        </w:tc>
        <w:tc>
          <w:tcPr>
            <w:tcW w:type="dxa" w:w="5102"/>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Dashboard personnalisable (widgets glisser-déposer)</w:t>
            </w:r>
          </w:p>
        </w:tc>
        <w:tc>
          <w:tcPr>
            <w:tcW w:type="dxa" w:w="1417"/>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F57C00"/>
                <w:sz w:val="16"/>
              </w:rPr>
              <w:t>Should-have</w:t>
            </w:r>
          </w:p>
        </w:tc>
        <w:tc>
          <w:tcPr>
            <w:tcW w:type="dxa" w:w="1134"/>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1A73E8"/>
                <w:sz w:val="16"/>
              </w:rPr>
              <w:t>Premium</w:t>
            </w:r>
          </w:p>
        </w:tc>
      </w:tr>
      <w:tr>
        <w:tc>
          <w:tcPr>
            <w:tcW w:type="dxa" w:w="1701"/>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Insights &amp; IA</w:t>
            </w:r>
          </w:p>
        </w:tc>
        <w:tc>
          <w:tcPr>
            <w:tcW w:type="dxa" w:w="5102"/>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Score de santé financière (0-100, actualisé chaque semaine)</w:t>
            </w:r>
          </w:p>
        </w:tc>
        <w:tc>
          <w:tcPr>
            <w:tcW w:type="dxa" w:w="1417"/>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2E7D32"/>
                <w:sz w:val="16"/>
              </w:rPr>
              <w:t>Must-have</w:t>
            </w:r>
          </w:p>
        </w:tc>
        <w:tc>
          <w:tcPr>
            <w:tcW w:type="dxa" w:w="1134"/>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1A73E8"/>
                <w:sz w:val="16"/>
              </w:rPr>
              <w:t>Premium</w:t>
            </w:r>
          </w:p>
        </w:tc>
      </w:tr>
      <w:tr>
        <w:tc>
          <w:tcPr>
            <w:tcW w:type="dxa" w:w="1701"/>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Insights &amp; IA</w:t>
            </w:r>
          </w:p>
        </w:tc>
        <w:tc>
          <w:tcPr>
            <w:tcW w:type="dxa" w:w="5102"/>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Détection d'anomalies (dépense inhabituelle dans une catégorie)</w:t>
            </w:r>
          </w:p>
        </w:tc>
        <w:tc>
          <w:tcPr>
            <w:tcW w:type="dxa" w:w="1417"/>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2E7D32"/>
                <w:sz w:val="16"/>
              </w:rPr>
              <w:t>Must-have</w:t>
            </w:r>
          </w:p>
        </w:tc>
        <w:tc>
          <w:tcPr>
            <w:tcW w:type="dxa" w:w="1134"/>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1A73E8"/>
                <w:sz w:val="16"/>
              </w:rPr>
              <w:t>Premium</w:t>
            </w:r>
          </w:p>
        </w:tc>
      </w:tr>
      <w:tr>
        <w:tc>
          <w:tcPr>
            <w:tcW w:type="dxa" w:w="1701"/>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Insights &amp; IA</w:t>
            </w:r>
          </w:p>
        </w:tc>
        <w:tc>
          <w:tcPr>
            <w:tcW w:type="dxa" w:w="5102"/>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Conseils contextuels actionnables personnalisés</w:t>
            </w:r>
          </w:p>
        </w:tc>
        <w:tc>
          <w:tcPr>
            <w:tcW w:type="dxa" w:w="1417"/>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F57C00"/>
                <w:sz w:val="16"/>
              </w:rPr>
              <w:t>Should-have</w:t>
            </w:r>
          </w:p>
        </w:tc>
        <w:tc>
          <w:tcPr>
            <w:tcW w:type="dxa" w:w="1134"/>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1A73E8"/>
                <w:sz w:val="16"/>
              </w:rPr>
              <w:t>Premium</w:t>
            </w:r>
          </w:p>
        </w:tc>
      </w:tr>
      <w:tr>
        <w:tc>
          <w:tcPr>
            <w:tcW w:type="dxa" w:w="1701"/>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Insights &amp; IA</w:t>
            </w:r>
          </w:p>
        </w:tc>
        <w:tc>
          <w:tcPr>
            <w:tcW w:type="dxa" w:w="5102"/>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Digest hebdomadaire par e-mail (résumé + tendances)</w:t>
            </w:r>
          </w:p>
        </w:tc>
        <w:tc>
          <w:tcPr>
            <w:tcW w:type="dxa" w:w="1417"/>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F57C00"/>
                <w:sz w:val="16"/>
              </w:rPr>
              <w:t>Should-have</w:t>
            </w:r>
          </w:p>
        </w:tc>
        <w:tc>
          <w:tcPr>
            <w:tcW w:type="dxa" w:w="1134"/>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1A73E8"/>
                <w:sz w:val="16"/>
              </w:rPr>
              <w:t>Premium</w:t>
            </w:r>
          </w:p>
        </w:tc>
      </w:tr>
      <w:tr>
        <w:tc>
          <w:tcPr>
            <w:tcW w:type="dxa" w:w="1701"/>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Gamification</w:t>
            </w:r>
          </w:p>
        </w:tc>
        <w:tc>
          <w:tcPr>
            <w:tcW w:type="dxa" w:w="5102"/>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Système d'achievements (jalons financiers débloqués)</w:t>
            </w:r>
          </w:p>
        </w:tc>
        <w:tc>
          <w:tcPr>
            <w:tcW w:type="dxa" w:w="1417"/>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F57C00"/>
                <w:sz w:val="16"/>
              </w:rPr>
              <w:t>Should-have</w:t>
            </w:r>
          </w:p>
        </w:tc>
        <w:tc>
          <w:tcPr>
            <w:tcW w:type="dxa" w:w="1134"/>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2E7D32"/>
                <w:sz w:val="16"/>
              </w:rPr>
              <w:t>Free</w:t>
            </w:r>
          </w:p>
        </w:tc>
      </w:tr>
      <w:tr>
        <w:tc>
          <w:tcPr>
            <w:tcW w:type="dxa" w:w="1701"/>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Gamification</w:t>
            </w:r>
          </w:p>
        </w:tc>
        <w:tc>
          <w:tcPr>
            <w:tcW w:type="dxa" w:w="5102"/>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Streak de saisie quotidienne (encouragement à l'habitude)</w:t>
            </w:r>
          </w:p>
        </w:tc>
        <w:tc>
          <w:tcPr>
            <w:tcW w:type="dxa" w:w="1417"/>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6A1B9A"/>
                <w:sz w:val="16"/>
              </w:rPr>
              <w:t>Could-have</w:t>
            </w:r>
          </w:p>
        </w:tc>
        <w:tc>
          <w:tcPr>
            <w:tcW w:type="dxa" w:w="1134"/>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2E7D32"/>
                <w:sz w:val="16"/>
              </w:rPr>
              <w:t>Free</w:t>
            </w:r>
          </w:p>
        </w:tc>
      </w:tr>
      <w:tr>
        <w:tc>
          <w:tcPr>
            <w:tcW w:type="dxa" w:w="1701"/>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Multi-devises</w:t>
            </w:r>
          </w:p>
        </w:tc>
        <w:tc>
          <w:tcPr>
            <w:tcW w:type="dxa" w:w="5102"/>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Devise de référence parmi 30+ devises (MAD, EUR, USD, GBP, CHF…)</w:t>
            </w:r>
          </w:p>
        </w:tc>
        <w:tc>
          <w:tcPr>
            <w:tcW w:type="dxa" w:w="1417"/>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2E7D32"/>
                <w:sz w:val="16"/>
              </w:rPr>
              <w:t>Must-have</w:t>
            </w:r>
          </w:p>
        </w:tc>
        <w:tc>
          <w:tcPr>
            <w:tcW w:type="dxa" w:w="1134"/>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2E7D32"/>
                <w:sz w:val="16"/>
              </w:rPr>
              <w:t>Free</w:t>
            </w:r>
          </w:p>
        </w:tc>
      </w:tr>
      <w:tr>
        <w:tc>
          <w:tcPr>
            <w:tcW w:type="dxa" w:w="1701"/>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Multi-devises</w:t>
            </w:r>
          </w:p>
        </w:tc>
        <w:tc>
          <w:tcPr>
            <w:tcW w:type="dxa" w:w="5102"/>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Saisie d'une transaction dans n'importe quelle devise supportée</w:t>
            </w:r>
          </w:p>
        </w:tc>
        <w:tc>
          <w:tcPr>
            <w:tcW w:type="dxa" w:w="1417"/>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2E7D32"/>
                <w:sz w:val="16"/>
              </w:rPr>
              <w:t>Must-have</w:t>
            </w:r>
          </w:p>
        </w:tc>
        <w:tc>
          <w:tcPr>
            <w:tcW w:type="dxa" w:w="1134"/>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2E7D32"/>
                <w:sz w:val="16"/>
              </w:rPr>
              <w:t>Free</w:t>
            </w:r>
          </w:p>
        </w:tc>
      </w:tr>
      <w:tr>
        <w:tc>
          <w:tcPr>
            <w:tcW w:type="dxa" w:w="1701"/>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Multi-devises</w:t>
            </w:r>
          </w:p>
        </w:tc>
        <w:tc>
          <w:tcPr>
            <w:tcW w:type="dxa" w:w="5102"/>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Conversion automatique vers la devise de référence (taux du jour)</w:t>
            </w:r>
          </w:p>
        </w:tc>
        <w:tc>
          <w:tcPr>
            <w:tcW w:type="dxa" w:w="1417"/>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2E7D32"/>
                <w:sz w:val="16"/>
              </w:rPr>
              <w:t>Must-have</w:t>
            </w:r>
          </w:p>
        </w:tc>
        <w:tc>
          <w:tcPr>
            <w:tcW w:type="dxa" w:w="1134"/>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2E7D32"/>
                <w:sz w:val="16"/>
              </w:rPr>
              <w:t>Free</w:t>
            </w:r>
          </w:p>
        </w:tc>
      </w:tr>
      <w:tr>
        <w:tc>
          <w:tcPr>
            <w:tcW w:type="dxa" w:w="1701"/>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Multi-devises</w:t>
            </w:r>
          </w:p>
        </w:tc>
        <w:tc>
          <w:tcPr>
            <w:tcW w:type="dxa" w:w="5102"/>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Taux de change mémorisé à la saisie (traçabilité immuable)</w:t>
            </w:r>
          </w:p>
        </w:tc>
        <w:tc>
          <w:tcPr>
            <w:tcW w:type="dxa" w:w="1417"/>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2E7D32"/>
                <w:sz w:val="16"/>
              </w:rPr>
              <w:t>Must-have</w:t>
            </w:r>
          </w:p>
        </w:tc>
        <w:tc>
          <w:tcPr>
            <w:tcW w:type="dxa" w:w="1134"/>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2E7D32"/>
                <w:sz w:val="16"/>
              </w:rPr>
              <w:t>Free</w:t>
            </w:r>
          </w:p>
        </w:tc>
      </w:tr>
      <w:tr>
        <w:tc>
          <w:tcPr>
            <w:tcW w:type="dxa" w:w="1701"/>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Multi-devises</w:t>
            </w:r>
          </w:p>
        </w:tc>
        <w:tc>
          <w:tcPr>
            <w:tcW w:type="dxa" w:w="5102"/>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Comptes bancaires libellés dans leur devise native</w:t>
            </w:r>
          </w:p>
        </w:tc>
        <w:tc>
          <w:tcPr>
            <w:tcW w:type="dxa" w:w="1417"/>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F57C00"/>
                <w:sz w:val="16"/>
              </w:rPr>
              <w:t>Should-have</w:t>
            </w:r>
          </w:p>
        </w:tc>
        <w:tc>
          <w:tcPr>
            <w:tcW w:type="dxa" w:w="1134"/>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2E7D32"/>
                <w:sz w:val="16"/>
              </w:rPr>
              <w:t>Free</w:t>
            </w:r>
          </w:p>
        </w:tc>
      </w:tr>
      <w:tr>
        <w:tc>
          <w:tcPr>
            <w:tcW w:type="dxa" w:w="1701"/>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Multi-devises</w:t>
            </w:r>
          </w:p>
        </w:tc>
        <w:tc>
          <w:tcPr>
            <w:tcW w:type="dxa" w:w="5102"/>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Conversions croisées pour les comptes multi-devises (ex. compte EUR + compte MAD)</w:t>
            </w:r>
          </w:p>
        </w:tc>
        <w:tc>
          <w:tcPr>
            <w:tcW w:type="dxa" w:w="1417"/>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F57C00"/>
                <w:sz w:val="16"/>
              </w:rPr>
              <w:t>Should-have</w:t>
            </w:r>
          </w:p>
        </w:tc>
        <w:tc>
          <w:tcPr>
            <w:tcW w:type="dxa" w:w="1134"/>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1A73E8"/>
                <w:sz w:val="16"/>
              </w:rPr>
              <w:t>Premium</w:t>
            </w:r>
          </w:p>
        </w:tc>
      </w:tr>
      <w:tr>
        <w:tc>
          <w:tcPr>
            <w:tcW w:type="dxa" w:w="1701"/>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Import / Export</w:t>
            </w:r>
          </w:p>
        </w:tc>
        <w:tc>
          <w:tcPr>
            <w:tcW w:type="dxa" w:w="5102"/>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Export CSV historique complet</w:t>
            </w:r>
          </w:p>
        </w:tc>
        <w:tc>
          <w:tcPr>
            <w:tcW w:type="dxa" w:w="1417"/>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F57C00"/>
                <w:sz w:val="16"/>
              </w:rPr>
              <w:t>Should-have</w:t>
            </w:r>
          </w:p>
        </w:tc>
        <w:tc>
          <w:tcPr>
            <w:tcW w:type="dxa" w:w="1134"/>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2E7D32"/>
                <w:sz w:val="16"/>
              </w:rPr>
              <w:t>Free</w:t>
            </w:r>
          </w:p>
        </w:tc>
      </w:tr>
      <w:tr>
        <w:tc>
          <w:tcPr>
            <w:tcW w:type="dxa" w:w="1701"/>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Import / Export</w:t>
            </w:r>
          </w:p>
        </w:tc>
        <w:tc>
          <w:tcPr>
            <w:tcW w:type="dxa" w:w="5102"/>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Export PDF rapport mensuel</w:t>
            </w:r>
          </w:p>
        </w:tc>
        <w:tc>
          <w:tcPr>
            <w:tcW w:type="dxa" w:w="1417"/>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F57C00"/>
                <w:sz w:val="16"/>
              </w:rPr>
              <w:t>Should-have</w:t>
            </w:r>
          </w:p>
        </w:tc>
        <w:tc>
          <w:tcPr>
            <w:tcW w:type="dxa" w:w="1134"/>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1A73E8"/>
                <w:sz w:val="16"/>
              </w:rPr>
              <w:t>Premium</w:t>
            </w:r>
          </w:p>
        </w:tc>
      </w:tr>
      <w:tr>
        <w:tc>
          <w:tcPr>
            <w:tcW w:type="dxa" w:w="1701"/>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Import / Export</w:t>
            </w:r>
          </w:p>
        </w:tc>
        <w:tc>
          <w:tcPr>
            <w:tcW w:type="dxa" w:w="5102"/>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Import CSV avec détection de doublons</w:t>
            </w:r>
          </w:p>
        </w:tc>
        <w:tc>
          <w:tcPr>
            <w:tcW w:type="dxa" w:w="1417"/>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F57C00"/>
                <w:sz w:val="16"/>
              </w:rPr>
              <w:t>Should-have</w:t>
            </w:r>
          </w:p>
        </w:tc>
        <w:tc>
          <w:tcPr>
            <w:tcW w:type="dxa" w:w="1134"/>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1A73E8"/>
                <w:sz w:val="16"/>
              </w:rPr>
              <w:t>Premium</w:t>
            </w:r>
          </w:p>
        </w:tc>
      </w:tr>
      <w:tr>
        <w:tc>
          <w:tcPr>
            <w:tcW w:type="dxa" w:w="1701"/>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Import / Export</w:t>
            </w:r>
          </w:p>
        </w:tc>
        <w:tc>
          <w:tcPr>
            <w:tcW w:type="dxa" w:w="5102"/>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Export fiscal PDF (dépenses déductibles)</w:t>
            </w:r>
          </w:p>
        </w:tc>
        <w:tc>
          <w:tcPr>
            <w:tcW w:type="dxa" w:w="1417"/>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F57C00"/>
                <w:sz w:val="16"/>
              </w:rPr>
              <w:t>Should-have</w:t>
            </w:r>
          </w:p>
        </w:tc>
        <w:tc>
          <w:tcPr>
            <w:tcW w:type="dxa" w:w="1134"/>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1A73E8"/>
                <w:sz w:val="16"/>
              </w:rPr>
              <w:t>Premium</w:t>
            </w:r>
          </w:p>
        </w:tc>
      </w:tr>
      <w:tr>
        <w:tc>
          <w:tcPr>
            <w:tcW w:type="dxa" w:w="1701"/>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Accessibilité &amp; UX</w:t>
            </w:r>
          </w:p>
        </w:tc>
        <w:tc>
          <w:tcPr>
            <w:tcW w:type="dxa" w:w="5102"/>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Mode sombre (dark mode)</w:t>
            </w:r>
          </w:p>
        </w:tc>
        <w:tc>
          <w:tcPr>
            <w:tcW w:type="dxa" w:w="1417"/>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F57C00"/>
                <w:sz w:val="16"/>
              </w:rPr>
              <w:t>Should-have</w:t>
            </w:r>
          </w:p>
        </w:tc>
        <w:tc>
          <w:tcPr>
            <w:tcW w:type="dxa" w:w="1134"/>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2E7D32"/>
                <w:sz w:val="16"/>
              </w:rPr>
              <w:t>Free</w:t>
            </w:r>
          </w:p>
        </w:tc>
      </w:tr>
      <w:tr>
        <w:tc>
          <w:tcPr>
            <w:tcW w:type="dxa" w:w="1701"/>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Accessibilité &amp; UX</w:t>
            </w:r>
          </w:p>
        </w:tc>
        <w:tc>
          <w:tcPr>
            <w:tcW w:type="dxa" w:w="5102"/>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Conformité WCAG 2.1 AA (accessibilité)</w:t>
            </w:r>
          </w:p>
        </w:tc>
        <w:tc>
          <w:tcPr>
            <w:tcW w:type="dxa" w:w="1417"/>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2E7D32"/>
                <w:sz w:val="16"/>
              </w:rPr>
              <w:t>Must-have</w:t>
            </w:r>
          </w:p>
        </w:tc>
        <w:tc>
          <w:tcPr>
            <w:tcW w:type="dxa" w:w="1134"/>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2E7D32"/>
                <w:sz w:val="16"/>
              </w:rPr>
              <w:t>Free</w:t>
            </w:r>
          </w:p>
        </w:tc>
      </w:tr>
      <w:tr>
        <w:tc>
          <w:tcPr>
            <w:tcW w:type="dxa" w:w="1701"/>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Accessibilité &amp; UX</w:t>
            </w:r>
          </w:p>
        </w:tc>
        <w:tc>
          <w:tcPr>
            <w:tcW w:type="dxa" w:w="5102"/>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Interface multilingue (FR + EN au lancement)</w:t>
            </w:r>
          </w:p>
        </w:tc>
        <w:tc>
          <w:tcPr>
            <w:tcW w:type="dxa" w:w="1417"/>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F57C00"/>
                <w:sz w:val="16"/>
              </w:rPr>
              <w:t>Should-have</w:t>
            </w:r>
          </w:p>
        </w:tc>
        <w:tc>
          <w:tcPr>
            <w:tcW w:type="dxa" w:w="1134"/>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2E7D32"/>
                <w:sz w:val="16"/>
              </w:rPr>
              <w:t>Free</w:t>
            </w:r>
          </w:p>
        </w:tc>
      </w:tr>
      <w:tr>
        <w:tc>
          <w:tcPr>
            <w:tcW w:type="dxa" w:w="1701"/>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PWA</w:t>
            </w:r>
          </w:p>
        </w:tc>
        <w:tc>
          <w:tcPr>
            <w:tcW w:type="dxa" w:w="5102"/>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Application Progressive Web App (PWA) — installable sur mobile et laptop</w:t>
            </w:r>
          </w:p>
        </w:tc>
        <w:tc>
          <w:tcPr>
            <w:tcW w:type="dxa" w:w="1417"/>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2E7D32"/>
                <w:sz w:val="16"/>
              </w:rPr>
              <w:t>Must-have</w:t>
            </w:r>
          </w:p>
        </w:tc>
        <w:tc>
          <w:tcPr>
            <w:tcW w:type="dxa" w:w="1134"/>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2E7D32"/>
                <w:sz w:val="16"/>
              </w:rPr>
              <w:t>Free</w:t>
            </w:r>
          </w:p>
        </w:tc>
      </w:tr>
      <w:tr>
        <w:tc>
          <w:tcPr>
            <w:tcW w:type="dxa" w:w="1701"/>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PWA</w:t>
            </w:r>
          </w:p>
        </w:tc>
        <w:tc>
          <w:tcPr>
            <w:tcW w:type="dxa" w:w="5102"/>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Design responsive mobile-first (iOS Safari, Android Chrome, desktop)</w:t>
            </w:r>
          </w:p>
        </w:tc>
        <w:tc>
          <w:tcPr>
            <w:tcW w:type="dxa" w:w="1417"/>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2E7D32"/>
                <w:sz w:val="16"/>
              </w:rPr>
              <w:t>Must-have</w:t>
            </w:r>
          </w:p>
        </w:tc>
        <w:tc>
          <w:tcPr>
            <w:tcW w:type="dxa" w:w="1134"/>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2E7D32"/>
                <w:sz w:val="16"/>
              </w:rPr>
              <w:t>Free</w:t>
            </w:r>
          </w:p>
        </w:tc>
      </w:tr>
      <w:tr>
        <w:tc>
          <w:tcPr>
            <w:tcW w:type="dxa" w:w="1701"/>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PWA</w:t>
            </w:r>
          </w:p>
        </w:tc>
        <w:tc>
          <w:tcPr>
            <w:tcW w:type="dxa" w:w="5102"/>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Installable sur l'écran d'accueil (Add to Home Screen) sans store</w:t>
            </w:r>
          </w:p>
        </w:tc>
        <w:tc>
          <w:tcPr>
            <w:tcW w:type="dxa" w:w="1417"/>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2E7D32"/>
                <w:sz w:val="16"/>
              </w:rPr>
              <w:t>Must-have</w:t>
            </w:r>
          </w:p>
        </w:tc>
        <w:tc>
          <w:tcPr>
            <w:tcW w:type="dxa" w:w="1134"/>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2E7D32"/>
                <w:sz w:val="16"/>
              </w:rPr>
              <w:t>Free</w:t>
            </w:r>
          </w:p>
        </w:tc>
      </w:tr>
      <w:tr>
        <w:tc>
          <w:tcPr>
            <w:tcW w:type="dxa" w:w="1701"/>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PWA</w:t>
            </w:r>
          </w:p>
        </w:tc>
        <w:tc>
          <w:tcPr>
            <w:tcW w:type="dxa" w:w="5102"/>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Mode hors-ligne : consultation du tableau de bord et historique sans connexion</w:t>
            </w:r>
          </w:p>
        </w:tc>
        <w:tc>
          <w:tcPr>
            <w:tcW w:type="dxa" w:w="1417"/>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2E7D32"/>
                <w:sz w:val="16"/>
              </w:rPr>
              <w:t>Must-have</w:t>
            </w:r>
          </w:p>
        </w:tc>
        <w:tc>
          <w:tcPr>
            <w:tcW w:type="dxa" w:w="1134"/>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2E7D32"/>
                <w:sz w:val="16"/>
              </w:rPr>
              <w:t>Free</w:t>
            </w:r>
          </w:p>
        </w:tc>
      </w:tr>
      <w:tr>
        <w:tc>
          <w:tcPr>
            <w:tcW w:type="dxa" w:w="1701"/>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PWA</w:t>
            </w:r>
          </w:p>
        </w:tc>
        <w:tc>
          <w:tcPr>
            <w:tcW w:type="dxa" w:w="5102"/>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Saisie de transaction hors-ligne avec synchronisation automatique au retour réseau</w:t>
            </w:r>
          </w:p>
        </w:tc>
        <w:tc>
          <w:tcPr>
            <w:tcW w:type="dxa" w:w="1417"/>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2E7D32"/>
                <w:sz w:val="16"/>
              </w:rPr>
              <w:t>Must-have</w:t>
            </w:r>
          </w:p>
        </w:tc>
        <w:tc>
          <w:tcPr>
            <w:tcW w:type="dxa" w:w="1134"/>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2E7D32"/>
                <w:sz w:val="16"/>
              </w:rPr>
              <w:t>Free</w:t>
            </w:r>
          </w:p>
        </w:tc>
      </w:tr>
      <w:tr>
        <w:tc>
          <w:tcPr>
            <w:tcW w:type="dxa" w:w="1701"/>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PWA</w:t>
            </w:r>
          </w:p>
        </w:tc>
        <w:tc>
          <w:tcPr>
            <w:tcW w:type="dxa" w:w="5102"/>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Push notifications natives (alertes budget, rappels factures, digest)</w:t>
            </w:r>
          </w:p>
        </w:tc>
        <w:tc>
          <w:tcPr>
            <w:tcW w:type="dxa" w:w="1417"/>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2E7D32"/>
                <w:sz w:val="16"/>
              </w:rPr>
              <w:t>Must-have</w:t>
            </w:r>
          </w:p>
        </w:tc>
        <w:tc>
          <w:tcPr>
            <w:tcW w:type="dxa" w:w="1134"/>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2E7D32"/>
                <w:sz w:val="16"/>
              </w:rPr>
              <w:t>Free</w:t>
            </w:r>
          </w:p>
        </w:tc>
      </w:tr>
      <w:tr>
        <w:tc>
          <w:tcPr>
            <w:tcW w:type="dxa" w:w="1701"/>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PWA</w:t>
            </w:r>
          </w:p>
        </w:tc>
        <w:tc>
          <w:tcPr>
            <w:tcW w:type="dxa" w:w="5102"/>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Splash screen, icône et thème couleur personnalisés (app manifest)</w:t>
            </w:r>
          </w:p>
        </w:tc>
        <w:tc>
          <w:tcPr>
            <w:tcW w:type="dxa" w:w="1417"/>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2E7D32"/>
                <w:sz w:val="16"/>
              </w:rPr>
              <w:t>Must-have</w:t>
            </w:r>
          </w:p>
        </w:tc>
        <w:tc>
          <w:tcPr>
            <w:tcW w:type="dxa" w:w="1134"/>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2E7D32"/>
                <w:sz w:val="16"/>
              </w:rPr>
              <w:t>Free</w:t>
            </w:r>
          </w:p>
        </w:tc>
      </w:tr>
      <w:tr>
        <w:tc>
          <w:tcPr>
            <w:tcW w:type="dxa" w:w="1701"/>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PWA</w:t>
            </w:r>
          </w:p>
        </w:tc>
        <w:tc>
          <w:tcPr>
            <w:tcW w:type="dxa" w:w="5102"/>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Chargement rapide : score Lighthouse ≥ 90 (performance mobile)</w:t>
            </w:r>
          </w:p>
        </w:tc>
        <w:tc>
          <w:tcPr>
            <w:tcW w:type="dxa" w:w="1417"/>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F57C00"/>
                <w:sz w:val="16"/>
              </w:rPr>
              <w:t>Should-have</w:t>
            </w:r>
          </w:p>
        </w:tc>
        <w:tc>
          <w:tcPr>
            <w:tcW w:type="dxa" w:w="1134"/>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2E7D32"/>
                <w:sz w:val="16"/>
              </w:rPr>
              <w:t>Free</w:t>
            </w:r>
          </w:p>
        </w:tc>
      </w:tr>
      <w:tr>
        <w:tc>
          <w:tcPr>
            <w:tcW w:type="dxa" w:w="1701"/>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Support</w:t>
            </w:r>
          </w:p>
        </w:tc>
        <w:tc>
          <w:tcPr>
            <w:tcW w:type="dxa" w:w="5102"/>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Support standard (e-mail, délai 72 h)</w:t>
            </w:r>
          </w:p>
        </w:tc>
        <w:tc>
          <w:tcPr>
            <w:tcW w:type="dxa" w:w="1417"/>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2E7D32"/>
                <w:sz w:val="16"/>
              </w:rPr>
              <w:t>Must-have</w:t>
            </w:r>
          </w:p>
        </w:tc>
        <w:tc>
          <w:tcPr>
            <w:tcW w:type="dxa" w:w="1134"/>
            <w:shd w:val="clear" w:color="auto" w:fill="F5F9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2E7D32"/>
                <w:sz w:val="16"/>
              </w:rPr>
              <w:t>Free</w:t>
            </w:r>
          </w:p>
        </w:tc>
      </w:tr>
      <w:tr>
        <w:tc>
          <w:tcPr>
            <w:tcW w:type="dxa" w:w="1701"/>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3C3C3C"/>
                <w:sz w:val="16"/>
              </w:rPr>
              <w:t>Support</w:t>
            </w:r>
          </w:p>
        </w:tc>
        <w:tc>
          <w:tcPr>
            <w:tcW w:type="dxa" w:w="5102"/>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3C3C3C"/>
                <w:sz w:val="16"/>
              </w:rPr>
              <w:t>Support prioritaire (délai &lt; 24 h)</w:t>
            </w:r>
          </w:p>
        </w:tc>
        <w:tc>
          <w:tcPr>
            <w:tcW w:type="dxa" w:w="1417"/>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i w:val="0"/>
                <w:color w:val="F57C00"/>
                <w:sz w:val="16"/>
              </w:rPr>
              <w:t>Should-have</w:t>
            </w:r>
          </w:p>
        </w:tc>
        <w:tc>
          <w:tcPr>
            <w:tcW w:type="dxa" w:w="1134"/>
            <w:shd w:val="clear" w:color="auto" w:fill="FFFFFF"/>
            <w:tcBorders>
              <w:top w:val="single" w:sz="4" w:space="0" w:color="D0DCE8"/>
              <w:left w:val="single" w:sz="4" w:space="0" w:color="D0DCE8"/>
              <w:bottom w:val="single" w:sz="4" w:space="0" w:color="D0DCE8"/>
              <w:right w:val="single" w:sz="4" w:space="0" w:color="D0DCE8"/>
            </w:tcBorders>
          </w:tcPr>
          <w:p>
            <w:pPr>
              <w:spacing w:before="60" w:after="60"/>
            </w:pPr>
            <w:r/>
            <w:r>
              <w:rPr>
                <w:rFonts w:ascii="Calibri" w:hAnsi="Calibri"/>
                <w:b w:val="0"/>
                <w:i w:val="0"/>
                <w:color w:val="1A73E8"/>
                <w:sz w:val="16"/>
              </w:rPr>
              <w:t>Premium</w:t>
            </w:r>
          </w:p>
        </w:tc>
      </w:tr>
    </w:tbl>
    <w:p>
      <w:r>
        <w:br w:type="page"/>
      </w:r>
    </w:p>
    <w:p>
      <w:pPr>
        <w:spacing w:before="320" w:after="80"/>
        <w:pBdr>
          <w:bottom w:val="single" w:sz="8" w:space="4" w:color="0F2D52"/>
        </w:pBdr>
      </w:pPr>
      <w:r>
        <w:rPr>
          <w:rFonts w:ascii="Calibri" w:hAnsi="Calibri"/>
          <w:b/>
          <w:i w:val="0"/>
          <w:color w:val="0F2D52"/>
          <w:sz w:val="28"/>
        </w:rPr>
        <w:t>3. Description détaillée des fonctionnalités clés</w:t>
      </w:r>
    </w:p>
    <w:p>
      <w:pPr>
        <w:spacing w:before="200" w:after="60"/>
      </w:pPr>
      <w:r>
        <w:rPr>
          <w:rFonts w:ascii="Calibri" w:hAnsi="Calibri"/>
          <w:b/>
          <w:i w:val="0"/>
          <w:color w:val="1A73E8"/>
          <w:sz w:val="22"/>
        </w:rPr>
        <w:t>3.1  Onboarding guidé</w:t>
      </w:r>
    </w:p>
    <w:p>
      <w:pPr>
        <w:spacing w:before="0" w:after="100"/>
        <w:jc w:val="left"/>
      </w:pPr>
      <w:r>
        <w:rPr>
          <w:rFonts w:ascii="Calibri" w:hAnsi="Calibri"/>
          <w:b w:val="0"/>
          <w:i w:val="0"/>
          <w:color w:val="3C3C3C"/>
          <w:sz w:val="20"/>
        </w:rPr>
        <w:t>L'expérience de première utilisation est critique pour l'activation. Un assistant en 5 étapes accompagne l'utilisateur :</w:t>
      </w:r>
    </w:p>
    <w:p>
      <w:pPr>
        <w:pStyle w:val="ListBullet"/>
        <w:spacing w:after="60"/>
        <w:ind w:left="454"/>
      </w:pPr>
      <w:r>
        <w:rPr>
          <w:rFonts w:ascii="Calibri" w:hAnsi="Calibri"/>
          <w:b/>
          <w:i w:val="0"/>
          <w:color w:val="3C3C3C"/>
          <w:sz w:val="20"/>
        </w:rPr>
        <w:t xml:space="preserve">Étape 1 — Bienvenue : </w:t>
      </w:r>
      <w:r>
        <w:rPr>
          <w:rFonts w:ascii="Calibri" w:hAnsi="Calibri"/>
          <w:b w:val="0"/>
          <w:i w:val="0"/>
          <w:color w:val="3C3C3C"/>
          <w:sz w:val="20"/>
        </w:rPr>
        <w:t>Choix de la langue, de la devise de référence et du fuseau horaire.</w:t>
      </w:r>
    </w:p>
    <w:p>
      <w:pPr>
        <w:pStyle w:val="ListBullet"/>
        <w:spacing w:after="60"/>
        <w:ind w:left="454"/>
      </w:pPr>
      <w:r>
        <w:rPr>
          <w:rFonts w:ascii="Calibri" w:hAnsi="Calibri"/>
          <w:b/>
          <w:i w:val="0"/>
          <w:color w:val="3C3C3C"/>
          <w:sz w:val="20"/>
        </w:rPr>
        <w:t xml:space="preserve">Étape 2 — Mon profil financier : </w:t>
      </w:r>
      <w:r>
        <w:rPr>
          <w:rFonts w:ascii="Calibri" w:hAnsi="Calibri"/>
          <w:b w:val="0"/>
          <w:i w:val="0"/>
          <w:color w:val="3C3C3C"/>
          <w:sz w:val="20"/>
        </w:rPr>
        <w:t>L'utilisateur indique son profil (salarié, freelance, étudiant…) pour personnaliser les catégories proposées.</w:t>
      </w:r>
    </w:p>
    <w:p>
      <w:pPr>
        <w:pStyle w:val="ListBullet"/>
        <w:spacing w:after="60"/>
        <w:ind w:left="454"/>
      </w:pPr>
      <w:r>
        <w:rPr>
          <w:rFonts w:ascii="Calibri" w:hAnsi="Calibri"/>
          <w:b/>
          <w:i w:val="0"/>
          <w:color w:val="3C3C3C"/>
          <w:sz w:val="20"/>
        </w:rPr>
        <w:t xml:space="preserve">Étape 3 — Mes comptes : </w:t>
      </w:r>
      <w:r>
        <w:rPr>
          <w:rFonts w:ascii="Calibri" w:hAnsi="Calibri"/>
          <w:b w:val="0"/>
          <w:i w:val="0"/>
          <w:color w:val="3C3C3C"/>
          <w:sz w:val="20"/>
        </w:rPr>
        <w:t>Création d'au moins un compte (espèces ou carte) avec son solde actuel.</w:t>
      </w:r>
    </w:p>
    <w:p>
      <w:pPr>
        <w:pStyle w:val="ListBullet"/>
        <w:spacing w:after="60"/>
        <w:ind w:left="454"/>
      </w:pPr>
      <w:r>
        <w:rPr>
          <w:rFonts w:ascii="Calibri" w:hAnsi="Calibri"/>
          <w:b/>
          <w:i w:val="0"/>
          <w:color w:val="3C3C3C"/>
          <w:sz w:val="20"/>
        </w:rPr>
        <w:t xml:space="preserve">Étape 4 — Mon premier budget : </w:t>
      </w:r>
      <w:r>
        <w:rPr>
          <w:rFonts w:ascii="Calibri" w:hAnsi="Calibri"/>
          <w:b w:val="0"/>
          <w:i w:val="0"/>
          <w:color w:val="3C3C3C"/>
          <w:sz w:val="20"/>
        </w:rPr>
        <w:t>Proposition automatique de 3 budgets basés sur le profil. L'utilisateur les valide ou les ajuste.</w:t>
      </w:r>
    </w:p>
    <w:p>
      <w:pPr>
        <w:pStyle w:val="ListBullet"/>
        <w:spacing w:after="60"/>
        <w:ind w:left="454"/>
      </w:pPr>
      <w:r>
        <w:rPr>
          <w:rFonts w:ascii="Calibri" w:hAnsi="Calibri"/>
          <w:b/>
          <w:i w:val="0"/>
          <w:color w:val="3C3C3C"/>
          <w:sz w:val="20"/>
        </w:rPr>
        <w:t xml:space="preserve">Étape 5 — Ma première dépense : </w:t>
      </w:r>
      <w:r>
        <w:rPr>
          <w:rFonts w:ascii="Calibri" w:hAnsi="Calibri"/>
          <w:b w:val="0"/>
          <w:i w:val="0"/>
          <w:color w:val="3C3C3C"/>
          <w:sz w:val="20"/>
        </w:rPr>
        <w:t>Saisie guidée d'une transaction réelle pour ancrer l'habitude. Débloque le premier achievement.</w:t>
      </w:r>
    </w:p>
    <w:p>
      <w:pPr>
        <w:spacing w:before="200" w:after="60"/>
      </w:pPr>
      <w:r>
        <w:rPr>
          <w:rFonts w:ascii="Calibri" w:hAnsi="Calibri"/>
          <w:b/>
          <w:i w:val="0"/>
          <w:color w:val="1A73E8"/>
          <w:sz w:val="22"/>
        </w:rPr>
        <w:t>3.2  Compte utilisateur &amp; sécurité</w:t>
      </w:r>
    </w:p>
    <w:p>
      <w:pPr>
        <w:pStyle w:val="ListBullet"/>
        <w:spacing w:after="60"/>
        <w:ind w:left="454"/>
      </w:pPr>
      <w:r>
        <w:rPr>
          <w:rFonts w:ascii="Calibri" w:hAnsi="Calibri"/>
          <w:b w:val="0"/>
          <w:i w:val="0"/>
          <w:color w:val="3C3C3C"/>
          <w:sz w:val="20"/>
        </w:rPr>
        <w:t>Inscription e-mail + mot de passe (min. 8 caractères, 1 majuscule, 1 chiffre). E-mail de confirmation requis.</w:t>
      </w:r>
    </w:p>
    <w:p>
      <w:pPr>
        <w:pStyle w:val="ListBullet"/>
        <w:spacing w:after="60"/>
        <w:ind w:left="454"/>
      </w:pPr>
      <w:r>
        <w:rPr>
          <w:rFonts w:ascii="Calibri" w:hAnsi="Calibri"/>
          <w:b w:val="0"/>
          <w:i w:val="0"/>
          <w:color w:val="3C3C3C"/>
          <w:sz w:val="20"/>
        </w:rPr>
        <w:t>2FA obligatoire proposé à J+7 si non activé. Supporte TOTP (Google Authenticator) et SMS.</w:t>
      </w:r>
    </w:p>
    <w:p>
      <w:pPr>
        <w:pStyle w:val="ListBullet"/>
        <w:spacing w:after="60"/>
        <w:ind w:left="454"/>
      </w:pPr>
      <w:r>
        <w:rPr>
          <w:rFonts w:ascii="Calibri" w:hAnsi="Calibri"/>
          <w:b w:val="0"/>
          <w:i w:val="0"/>
          <w:color w:val="3C3C3C"/>
          <w:sz w:val="20"/>
        </w:rPr>
        <w:t>Code PIN à 4-6 chiffres ou biométrie (empreinte / Face ID). Verrouillage automatique après 2 min d'inactivité.</w:t>
      </w:r>
    </w:p>
    <w:p>
      <w:pPr>
        <w:pStyle w:val="ListBullet"/>
        <w:spacing w:after="60"/>
        <w:ind w:left="454"/>
      </w:pPr>
      <w:r>
        <w:rPr>
          <w:rFonts w:ascii="Calibri" w:hAnsi="Calibri"/>
          <w:b w:val="0"/>
          <w:i w:val="0"/>
          <w:color w:val="3C3C3C"/>
          <w:sz w:val="20"/>
        </w:rPr>
        <w:t>Conformité RGPD : droit d'accès, de rectification, de suppression (« droit à l'oubli ») et de portabilité (export JSON complet). Délai de traitement : 72 h.</w:t>
      </w:r>
    </w:p>
    <w:p>
      <w:pPr>
        <w:pStyle w:val="ListBullet"/>
        <w:spacing w:after="60"/>
        <w:ind w:left="454"/>
      </w:pPr>
      <w:r>
        <w:rPr>
          <w:rFonts w:ascii="Calibri" w:hAnsi="Calibri"/>
          <w:b w:val="0"/>
          <w:i w:val="0"/>
          <w:color w:val="3C3C3C"/>
          <w:sz w:val="20"/>
        </w:rPr>
        <w:t>Données chiffrées au repos (AES-256) et en transit (TLS 1.3). Aucune revente de données à des tiers.</w:t>
      </w:r>
    </w:p>
    <w:p>
      <w:pPr>
        <w:spacing w:before="200" w:after="60"/>
      </w:pPr>
      <w:r>
        <w:rPr>
          <w:rFonts w:ascii="Calibri" w:hAnsi="Calibri"/>
          <w:b/>
          <w:i w:val="0"/>
          <w:color w:val="1A73E8"/>
          <w:sz w:val="22"/>
        </w:rPr>
        <w:t>3.3  Comptes financiers &amp; patrimoine net</w:t>
      </w:r>
    </w:p>
    <w:p>
      <w:pPr>
        <w:pStyle w:val="ListBullet"/>
        <w:spacing w:after="60"/>
        <w:ind w:left="454"/>
      </w:pPr>
      <w:r>
        <w:rPr>
          <w:rFonts w:ascii="Calibri" w:hAnsi="Calibri"/>
          <w:b w:val="0"/>
          <w:i w:val="0"/>
          <w:color w:val="3C3C3C"/>
          <w:sz w:val="20"/>
        </w:rPr>
        <w:t>Types disponibles : espèces, compte courant, carte de crédit, livret d'épargne, autre.</w:t>
      </w:r>
    </w:p>
    <w:p>
      <w:pPr>
        <w:pStyle w:val="ListBullet"/>
        <w:spacing w:after="60"/>
        <w:ind w:left="454"/>
      </w:pPr>
      <w:r>
        <w:rPr>
          <w:rFonts w:ascii="Calibri" w:hAnsi="Calibri"/>
          <w:b w:val="0"/>
          <w:i w:val="0"/>
          <w:color w:val="3C3C3C"/>
          <w:sz w:val="20"/>
        </w:rPr>
        <w:t>Solde calculé dynamiquement : solde initial ± toutes les transactions. Mise à jour en temps réel.</w:t>
      </w:r>
    </w:p>
    <w:p>
      <w:pPr>
        <w:pStyle w:val="ListBullet"/>
        <w:spacing w:after="60"/>
        <w:ind w:left="454"/>
      </w:pPr>
      <w:r>
        <w:rPr>
          <w:rFonts w:ascii="Calibri" w:hAnsi="Calibri"/>
          <w:b w:val="0"/>
          <w:i w:val="0"/>
          <w:color w:val="3C3C3C"/>
          <w:sz w:val="20"/>
        </w:rPr>
        <w:t>Virement entre comptes : génère une transaction débitrice + créditrice, neutre sur les budgets et le cash flow.</w:t>
      </w:r>
    </w:p>
    <w:p>
      <w:pPr>
        <w:pStyle w:val="ListBullet"/>
        <w:spacing w:after="60"/>
        <w:ind w:left="454"/>
      </w:pPr>
      <w:r>
        <w:rPr>
          <w:rFonts w:ascii="Calibri" w:hAnsi="Calibri"/>
          <w:b w:val="0"/>
          <w:i w:val="0"/>
          <w:color w:val="3C3C3C"/>
          <w:sz w:val="20"/>
        </w:rPr>
        <w:t>Vue patrimoine net (Premium) : agrège actifs (soldes positifs) et passifs (dettes, crédits) pour afficher la valeur nette globale.</w:t>
      </w:r>
    </w:p>
    <w:p>
      <w:pPr>
        <w:spacing w:before="200" w:after="60"/>
      </w:pPr>
      <w:r>
        <w:rPr>
          <w:rFonts w:ascii="Calibri" w:hAnsi="Calibri"/>
          <w:b/>
          <w:i w:val="0"/>
          <w:color w:val="1A73E8"/>
          <w:sz w:val="22"/>
        </w:rPr>
        <w:t>3.4  Saisie des transactions — Expérience zéro friction</w:t>
      </w:r>
    </w:p>
    <w:p>
      <w:pPr>
        <w:spacing w:before="0" w:after="100"/>
        <w:jc w:val="left"/>
      </w:pPr>
      <w:r>
        <w:rPr>
          <w:rFonts w:ascii="Calibri" w:hAnsi="Calibri"/>
          <w:b w:val="0"/>
          <w:i w:val="0"/>
          <w:color w:val="3C3C3C"/>
          <w:sz w:val="20"/>
        </w:rPr>
        <w:t>Objectif : saisir une dépense courante en moins de 10 secondes. L'interface privilégie :</w:t>
      </w:r>
    </w:p>
    <w:p>
      <w:pPr>
        <w:pStyle w:val="ListBullet"/>
        <w:spacing w:after="60"/>
        <w:ind w:left="454"/>
      </w:pPr>
      <w:r>
        <w:rPr>
          <w:rFonts w:ascii="Calibri" w:hAnsi="Calibri"/>
          <w:b w:val="0"/>
          <w:i w:val="0"/>
          <w:color w:val="3C3C3C"/>
          <w:sz w:val="20"/>
        </w:rPr>
        <w:t>Bouton d'ajout rapide accessible depuis toutes les pages (floating action button).</w:t>
      </w:r>
    </w:p>
    <w:p>
      <w:pPr>
        <w:pStyle w:val="ListBullet"/>
        <w:spacing w:after="60"/>
        <w:ind w:left="454"/>
      </w:pPr>
      <w:r>
        <w:rPr>
          <w:rFonts w:ascii="Calibri" w:hAnsi="Calibri"/>
          <w:b w:val="0"/>
          <w:i w:val="0"/>
          <w:color w:val="3C3C3C"/>
          <w:sz w:val="20"/>
        </w:rPr>
        <w:t>Calculatrice intégrée dans le champ montant — pas besoin de quitter l'app.</w:t>
      </w:r>
    </w:p>
    <w:p>
      <w:pPr>
        <w:pStyle w:val="ListBullet"/>
        <w:spacing w:after="60"/>
        <w:ind w:left="454"/>
      </w:pPr>
      <w:r>
        <w:rPr>
          <w:rFonts w:ascii="Calibri" w:hAnsi="Calibri"/>
          <w:b w:val="0"/>
          <w:i w:val="0"/>
          <w:color w:val="3C3C3C"/>
          <w:sz w:val="20"/>
        </w:rPr>
        <w:t>Mémorisation de la dernière catégorie et du dernier compte utilisés.</w:t>
      </w:r>
    </w:p>
    <w:p>
      <w:pPr>
        <w:pStyle w:val="ListBullet"/>
        <w:spacing w:after="60"/>
        <w:ind w:left="454"/>
      </w:pPr>
      <w:r>
        <w:rPr>
          <w:rFonts w:ascii="Calibri" w:hAnsi="Calibri"/>
          <w:b w:val="0"/>
          <w:i w:val="0"/>
          <w:color w:val="3C3C3C"/>
          <w:sz w:val="20"/>
        </w:rPr>
        <w:t>Photo du reçu : prise depuis la caméra ou galerie. Stockée localement ou en cloud (Premium).</w:t>
      </w:r>
    </w:p>
    <w:p>
      <w:pPr>
        <w:pStyle w:val="ListBullet"/>
        <w:spacing w:after="60"/>
        <w:ind w:left="454"/>
      </w:pPr>
      <w:r>
        <w:rPr>
          <w:rFonts w:ascii="Calibri" w:hAnsi="Calibri"/>
          <w:b w:val="0"/>
          <w:i w:val="0"/>
          <w:color w:val="3C3C3C"/>
          <w:sz w:val="20"/>
        </w:rPr>
        <w:t>Split de transaction (Premium) : ventiler un paiement sur plusieurs catégories (ex. : supermarché → Alimentation 60 % + Hygiène 40 %).</w:t>
      </w:r>
    </w:p>
    <w:p>
      <w:pPr>
        <w:pStyle w:val="ListBullet"/>
        <w:spacing w:after="60"/>
        <w:ind w:left="454"/>
      </w:pPr>
      <w:r>
        <w:rPr>
          <w:rFonts w:ascii="Calibri" w:hAnsi="Calibri"/>
          <w:b w:val="0"/>
          <w:i w:val="0"/>
          <w:color w:val="3C3C3C"/>
          <w:sz w:val="20"/>
        </w:rPr>
        <w:t>Tags libres (Premium) : mots-clés libres transversaux aux catégories (ex. : #voyage, #déductible).</w:t>
      </w:r>
    </w:p>
    <w:p>
      <w:pPr>
        <w:pStyle w:val="ListBullet"/>
        <w:spacing w:after="60"/>
        <w:ind w:left="454"/>
      </w:pPr>
      <w:r>
        <w:rPr>
          <w:rFonts w:ascii="Calibri" w:hAnsi="Calibri"/>
          <w:b w:val="0"/>
          <w:i w:val="0"/>
          <w:color w:val="3C3C3C"/>
          <w:sz w:val="20"/>
        </w:rPr>
        <w:t>Marquage fiscal (Premium) : déclarer une dépense comme professionnellement déductible pour l'inclure dans l'export fiscal.</w:t>
      </w:r>
    </w:p>
    <w:p>
      <w:pPr>
        <w:spacing w:before="200" w:after="60"/>
      </w:pPr>
      <w:r>
        <w:rPr>
          <w:rFonts w:ascii="Calibri" w:hAnsi="Calibri"/>
          <w:b/>
          <w:i w:val="0"/>
          <w:color w:val="1A73E8"/>
          <w:sz w:val="22"/>
        </w:rPr>
        <w:t>3.5  Détecteur automatique d'abonnements</w:t>
      </w:r>
    </w:p>
    <w:p>
      <w:pPr>
        <w:spacing w:before="0" w:after="100"/>
        <w:jc w:val="left"/>
      </w:pPr>
      <w:r>
        <w:rPr>
          <w:rFonts w:ascii="Calibri" w:hAnsi="Calibri"/>
          <w:b w:val="0"/>
          <w:i w:val="0"/>
          <w:color w:val="3C3C3C"/>
          <w:sz w:val="20"/>
        </w:rPr>
        <w:t>Après 2 mois d'utilisation, l'algorithme analyse les transactions récurrentes et identifie automatiquement les abonnements non déclarés (même commerçant, montant constant, périodicité régulière). L'utilisateur reçoit une suggestion : « Nous avons détecté 3 abonnements non catégorisés — voulez-vous les configurer ? »</w:t>
      </w:r>
    </w:p>
    <w:p>
      <w:pPr>
        <w:pStyle w:val="ListBullet"/>
        <w:spacing w:after="60"/>
        <w:ind w:left="454"/>
      </w:pPr>
      <w:r>
        <w:rPr>
          <w:rFonts w:ascii="Calibri" w:hAnsi="Calibri"/>
          <w:b w:val="0"/>
          <w:i w:val="0"/>
          <w:color w:val="3C3C3C"/>
          <w:sz w:val="20"/>
        </w:rPr>
        <w:t>Vue dédiée « Mes abonnements » : liste de tous les abonnements actifs avec montant mensuel et annuel cumulé.</w:t>
      </w:r>
    </w:p>
    <w:p>
      <w:pPr>
        <w:pStyle w:val="ListBullet"/>
        <w:spacing w:after="60"/>
        <w:ind w:left="454"/>
      </w:pPr>
      <w:r>
        <w:rPr>
          <w:rFonts w:ascii="Calibri" w:hAnsi="Calibri"/>
          <w:b w:val="0"/>
          <w:i w:val="0"/>
          <w:color w:val="3C3C3C"/>
          <w:sz w:val="20"/>
        </w:rPr>
        <w:t>Comparateur : affiche le coût total annuel de tous les abonnements pour prise de conscience.</w:t>
      </w:r>
    </w:p>
    <w:p>
      <w:pPr>
        <w:pStyle w:val="ListBullet"/>
        <w:spacing w:after="60"/>
        <w:ind w:left="454"/>
      </w:pPr>
      <w:r>
        <w:rPr>
          <w:rFonts w:ascii="Calibri" w:hAnsi="Calibri"/>
          <w:b w:val="0"/>
          <w:i w:val="0"/>
          <w:color w:val="3C3C3C"/>
          <w:sz w:val="20"/>
        </w:rPr>
        <w:t>Rappel si un abonnement dépasse le budget alloué à sa catégorie.</w:t>
      </w:r>
    </w:p>
    <w:p>
      <w:pPr>
        <w:spacing w:before="200" w:after="60"/>
      </w:pPr>
      <w:r>
        <w:rPr>
          <w:rFonts w:ascii="Calibri" w:hAnsi="Calibri"/>
          <w:b/>
          <w:i w:val="0"/>
          <w:color w:val="1A73E8"/>
          <w:sz w:val="22"/>
        </w:rPr>
        <w:t>3.6  Score de santé financière (Premium)</w:t>
      </w:r>
    </w:p>
    <w:p>
      <w:pPr>
        <w:spacing w:before="0" w:after="100"/>
        <w:jc w:val="left"/>
      </w:pPr>
      <w:r>
        <w:rPr>
          <w:rFonts w:ascii="Calibri" w:hAnsi="Calibri"/>
          <w:b w:val="0"/>
          <w:i w:val="0"/>
          <w:color w:val="3C3C3C"/>
          <w:sz w:val="20"/>
        </w:rPr>
        <w:t>Le score de santé financière est un indicateur de 0 à 100, recalculé chaque lundi, qui synthétise la situation financière globale de l'utilisateur en un chiffre compréhensible. Il est affiché en position centrale sur le dashboard Premium.</w:t>
      </w:r>
    </w:p>
    <w:p>
      <w:pPr>
        <w:pStyle w:val="ListBullet"/>
        <w:spacing w:after="60"/>
        <w:ind w:left="454"/>
      </w:pPr>
      <w:r>
        <w:rPr>
          <w:rFonts w:ascii="Calibri" w:hAnsi="Calibri"/>
          <w:b/>
          <w:i w:val="0"/>
          <w:color w:val="3C3C3C"/>
          <w:sz w:val="20"/>
        </w:rPr>
        <w:t xml:space="preserve">Taux d'épargne (30 pts) : </w:t>
      </w:r>
      <w:r>
        <w:rPr>
          <w:rFonts w:ascii="Calibri" w:hAnsi="Calibri"/>
          <w:b w:val="0"/>
          <w:i w:val="0"/>
          <w:color w:val="3C3C3C"/>
          <w:sz w:val="20"/>
        </w:rPr>
        <w:t>Ratio épargne / revenus du mois. Cible : ≥ 20 % = score max.</w:t>
      </w:r>
    </w:p>
    <w:p>
      <w:pPr>
        <w:pStyle w:val="ListBullet"/>
        <w:spacing w:after="60"/>
        <w:ind w:left="454"/>
      </w:pPr>
      <w:r>
        <w:rPr>
          <w:rFonts w:ascii="Calibri" w:hAnsi="Calibri"/>
          <w:b/>
          <w:i w:val="0"/>
          <w:color w:val="3C3C3C"/>
          <w:sz w:val="20"/>
        </w:rPr>
        <w:t xml:space="preserve">Respect des budgets (25 pts) : </w:t>
      </w:r>
      <w:r>
        <w:rPr>
          <w:rFonts w:ascii="Calibri" w:hAnsi="Calibri"/>
          <w:b w:val="0"/>
          <w:i w:val="0"/>
          <w:color w:val="3C3C3C"/>
          <w:sz w:val="20"/>
        </w:rPr>
        <w:t>Proportion de catégories sous leur plafond. 100 % = score max.</w:t>
      </w:r>
    </w:p>
    <w:p>
      <w:pPr>
        <w:pStyle w:val="ListBullet"/>
        <w:spacing w:after="60"/>
        <w:ind w:left="454"/>
      </w:pPr>
      <w:r>
        <w:rPr>
          <w:rFonts w:ascii="Calibri" w:hAnsi="Calibri"/>
          <w:b/>
          <w:i w:val="0"/>
          <w:color w:val="3C3C3C"/>
          <w:sz w:val="20"/>
        </w:rPr>
        <w:t xml:space="preserve">Régularité de saisie (20 pts) : </w:t>
      </w:r>
      <w:r>
        <w:rPr>
          <w:rFonts w:ascii="Calibri" w:hAnsi="Calibri"/>
          <w:b w:val="0"/>
          <w:i w:val="0"/>
          <w:color w:val="3C3C3C"/>
          <w:sz w:val="20"/>
        </w:rPr>
        <w:t>Streak de jours avec au moins une transaction saisie.</w:t>
      </w:r>
    </w:p>
    <w:p>
      <w:pPr>
        <w:pStyle w:val="ListBullet"/>
        <w:spacing w:after="60"/>
        <w:ind w:left="454"/>
      </w:pPr>
      <w:r>
        <w:rPr>
          <w:rFonts w:ascii="Calibri" w:hAnsi="Calibri"/>
          <w:b/>
          <w:i w:val="0"/>
          <w:color w:val="3C3C3C"/>
          <w:sz w:val="20"/>
        </w:rPr>
        <w:t xml:space="preserve">Couverture d'urgence (15 pts) : </w:t>
      </w:r>
      <w:r>
        <w:rPr>
          <w:rFonts w:ascii="Calibri" w:hAnsi="Calibri"/>
          <w:b w:val="0"/>
          <w:i w:val="0"/>
          <w:color w:val="3C3C3C"/>
          <w:sz w:val="20"/>
        </w:rPr>
        <w:t>Solde d'épargne vs 3 mois de dépenses courantes.</w:t>
      </w:r>
    </w:p>
    <w:p>
      <w:pPr>
        <w:pStyle w:val="ListBullet"/>
        <w:spacing w:after="60"/>
        <w:ind w:left="454"/>
      </w:pPr>
      <w:r>
        <w:rPr>
          <w:rFonts w:ascii="Calibri" w:hAnsi="Calibri"/>
          <w:b/>
          <w:i w:val="0"/>
          <w:color w:val="3C3C3C"/>
          <w:sz w:val="20"/>
        </w:rPr>
        <w:t xml:space="preserve">Progression des objectifs (10 pts) : </w:t>
      </w:r>
      <w:r>
        <w:rPr>
          <w:rFonts w:ascii="Calibri" w:hAnsi="Calibri"/>
          <w:b w:val="0"/>
          <w:i w:val="0"/>
          <w:color w:val="3C3C3C"/>
          <w:sz w:val="20"/>
        </w:rPr>
        <w:t>Avancement moyen vers les objectifs d'épargne actifs.</w:t>
      </w:r>
    </w:p>
    <w:p>
      <w:pPr>
        <w:spacing w:before="80" w:after="100"/>
        <w:jc w:val="left"/>
      </w:pPr>
      <w:r>
        <w:rPr>
          <w:rFonts w:ascii="Calibri" w:hAnsi="Calibri"/>
          <w:b w:val="0"/>
          <w:i w:val="0"/>
          <w:color w:val="3C3C3C"/>
          <w:sz w:val="20"/>
        </w:rPr>
        <w:t>L'app affiche l'historique du score sur 6 mois et indique les 2 actions prioritaires pour l'améliorer cette semaine.</w:t>
      </w:r>
    </w:p>
    <w:p>
      <w:pPr>
        <w:spacing w:before="200" w:after="60"/>
      </w:pPr>
      <w:r>
        <w:rPr>
          <w:rFonts w:ascii="Calibri" w:hAnsi="Calibri"/>
          <w:b/>
          <w:i w:val="0"/>
          <w:color w:val="1A73E8"/>
          <w:sz w:val="22"/>
        </w:rPr>
        <w:t>3.7  Insights intelligents &amp; détection d'anomalies (Premium)</w:t>
      </w:r>
    </w:p>
    <w:p>
      <w:pPr>
        <w:pStyle w:val="ListBullet"/>
        <w:spacing w:after="60"/>
        <w:ind w:left="454"/>
      </w:pPr>
      <w:r>
        <w:rPr>
          <w:rFonts w:ascii="Calibri" w:hAnsi="Calibri"/>
          <w:b w:val="0"/>
          <w:i w:val="0"/>
          <w:color w:val="3C3C3C"/>
          <w:sz w:val="20"/>
        </w:rPr>
        <w:t>Anomalie de dépense : une dépense ≥ 2× la moyenne habituelle dans la même catégorie déclenche une alerte douce (« Vous avez dépensé 3× plus que d'habitude en restauration cette semaine »).</w:t>
      </w:r>
    </w:p>
    <w:p>
      <w:pPr>
        <w:pStyle w:val="ListBullet"/>
        <w:spacing w:after="60"/>
        <w:ind w:left="454"/>
      </w:pPr>
      <w:r>
        <w:rPr>
          <w:rFonts w:ascii="Calibri" w:hAnsi="Calibri"/>
          <w:b w:val="0"/>
          <w:i w:val="0"/>
          <w:color w:val="3C3C3C"/>
          <w:sz w:val="20"/>
        </w:rPr>
        <w:t>Suggestions de budget : en début de mois, l'app propose des plafonds budgétaires basés sur la moyenne des 3 derniers mois (+10 % de marge).</w:t>
      </w:r>
    </w:p>
    <w:p>
      <w:pPr>
        <w:pStyle w:val="ListBullet"/>
        <w:spacing w:after="60"/>
        <w:ind w:left="454"/>
      </w:pPr>
      <w:r>
        <w:rPr>
          <w:rFonts w:ascii="Calibri" w:hAnsi="Calibri"/>
          <w:b w:val="0"/>
          <w:i w:val="0"/>
          <w:color w:val="3C3C3C"/>
          <w:sz w:val="20"/>
        </w:rPr>
        <w:t>Prévision de cash flow : en combinant le solde actuel, les dépenses récurrentes et les factures planifiées, l'app projette le solde estimé dans 30 jours.</w:t>
      </w:r>
    </w:p>
    <w:p>
      <w:pPr>
        <w:pStyle w:val="ListBullet"/>
        <w:spacing w:after="60"/>
        <w:ind w:left="454"/>
      </w:pPr>
      <w:r>
        <w:rPr>
          <w:rFonts w:ascii="Calibri" w:hAnsi="Calibri"/>
          <w:b w:val="0"/>
          <w:i w:val="0"/>
          <w:color w:val="3C3C3C"/>
          <w:sz w:val="20"/>
        </w:rPr>
        <w:t>Conseils contextuels : push hebdomadaire avec 1 à 3 conseils personnalisés basés sur le comportement réel de l'utilisateur.</w:t>
      </w:r>
    </w:p>
    <w:p>
      <w:pPr>
        <w:spacing w:before="200" w:after="60"/>
      </w:pPr>
      <w:r>
        <w:rPr>
          <w:rFonts w:ascii="Calibri" w:hAnsi="Calibri"/>
          <w:b/>
          <w:i w:val="0"/>
          <w:color w:val="1A73E8"/>
          <w:sz w:val="22"/>
        </w:rPr>
        <w:t>3.8  Digest hebdomadaire (Premium)</w:t>
      </w:r>
    </w:p>
    <w:p>
      <w:pPr>
        <w:spacing w:before="0" w:after="100"/>
        <w:jc w:val="left"/>
      </w:pPr>
      <w:r>
        <w:rPr>
          <w:rFonts w:ascii="Calibri" w:hAnsi="Calibri"/>
          <w:b w:val="0"/>
          <w:i w:val="0"/>
          <w:color w:val="3C3C3C"/>
          <w:sz w:val="20"/>
        </w:rPr>
        <w:t>Chaque lundi matin, l'utilisateur reçoit un e-mail résumant sa semaine financière. Ce digest est conçu pour être lu en 30 secondes et générer un retour régulier dans l'app.</w:t>
      </w:r>
    </w:p>
    <w:p>
      <w:pPr>
        <w:pStyle w:val="ListBullet"/>
        <w:spacing w:after="60"/>
        <w:ind w:left="454"/>
      </w:pPr>
      <w:r>
        <w:rPr>
          <w:rFonts w:ascii="Calibri" w:hAnsi="Calibri"/>
          <w:b w:val="0"/>
          <w:i w:val="0"/>
          <w:color w:val="3C3C3C"/>
          <w:sz w:val="20"/>
        </w:rPr>
        <w:t>Total dépensé la semaine vs la semaine précédente (variation en % et montant).</w:t>
      </w:r>
    </w:p>
    <w:p>
      <w:pPr>
        <w:pStyle w:val="ListBullet"/>
        <w:spacing w:after="60"/>
        <w:ind w:left="454"/>
      </w:pPr>
      <w:r>
        <w:rPr>
          <w:rFonts w:ascii="Calibri" w:hAnsi="Calibri"/>
          <w:b w:val="0"/>
          <w:i w:val="0"/>
          <w:color w:val="3C3C3C"/>
          <w:sz w:val="20"/>
        </w:rPr>
        <w:t>Top 3 des catégories de dépenses de la semaine.</w:t>
      </w:r>
    </w:p>
    <w:p>
      <w:pPr>
        <w:pStyle w:val="ListBullet"/>
        <w:spacing w:after="60"/>
        <w:ind w:left="454"/>
      </w:pPr>
      <w:r>
        <w:rPr>
          <w:rFonts w:ascii="Calibri" w:hAnsi="Calibri"/>
          <w:b w:val="0"/>
          <w:i w:val="0"/>
          <w:color w:val="3C3C3C"/>
          <w:sz w:val="20"/>
        </w:rPr>
        <w:t>Score de santé financière du moment + variation hebdomadaire.</w:t>
      </w:r>
    </w:p>
    <w:p>
      <w:pPr>
        <w:pStyle w:val="ListBullet"/>
        <w:spacing w:after="60"/>
        <w:ind w:left="454"/>
      </w:pPr>
      <w:r>
        <w:rPr>
          <w:rFonts w:ascii="Calibri" w:hAnsi="Calibri"/>
          <w:b w:val="0"/>
          <w:i w:val="0"/>
          <w:color w:val="3C3C3C"/>
          <w:sz w:val="20"/>
        </w:rPr>
        <w:t>Factures à venir dans les 7 prochains jours.</w:t>
      </w:r>
    </w:p>
    <w:p>
      <w:pPr>
        <w:pStyle w:val="ListBullet"/>
        <w:spacing w:after="60"/>
        <w:ind w:left="454"/>
      </w:pPr>
      <w:r>
        <w:rPr>
          <w:rFonts w:ascii="Calibri" w:hAnsi="Calibri"/>
          <w:b w:val="0"/>
          <w:i w:val="0"/>
          <w:color w:val="3C3C3C"/>
          <w:sz w:val="20"/>
        </w:rPr>
        <w:t>Conseil actionnable de la semaine.</w:t>
      </w:r>
    </w:p>
    <w:p>
      <w:pPr>
        <w:spacing w:before="200" w:after="60"/>
      </w:pPr>
      <w:r>
        <w:rPr>
          <w:rFonts w:ascii="Calibri" w:hAnsi="Calibri"/>
          <w:b/>
          <w:i w:val="0"/>
          <w:color w:val="1A73E8"/>
          <w:sz w:val="22"/>
        </w:rPr>
        <w:t>3.9  Système d'achievements et gamification</w:t>
      </w:r>
    </w:p>
    <w:p>
      <w:pPr>
        <w:spacing w:before="0" w:after="100"/>
        <w:jc w:val="left"/>
      </w:pPr>
      <w:r>
        <w:rPr>
          <w:rFonts w:ascii="Calibri" w:hAnsi="Calibri"/>
          <w:b w:val="0"/>
          <w:i w:val="0"/>
          <w:color w:val="3C3C3C"/>
          <w:sz w:val="20"/>
        </w:rPr>
        <w:t>Les achievements sont des jalons débloqués automatiquement pour récompenser les bonnes habitudes financières.</w:t>
      </w:r>
    </w:p>
    <w:p>
      <w:pPr>
        <w:pStyle w:val="ListBullet"/>
        <w:spacing w:after="60"/>
        <w:ind w:left="454"/>
      </w:pPr>
      <w:r>
        <w:rPr>
          <w:rFonts w:ascii="Calibri" w:hAnsi="Calibri"/>
          <w:b/>
          <w:i w:val="0"/>
          <w:color w:val="3C3C3C"/>
          <w:sz w:val="20"/>
        </w:rPr>
        <w:t xml:space="preserve">Premier pas : </w:t>
      </w:r>
      <w:r>
        <w:rPr>
          <w:rFonts w:ascii="Calibri" w:hAnsi="Calibri"/>
          <w:b w:val="0"/>
          <w:i w:val="0"/>
          <w:color w:val="3C3C3C"/>
          <w:sz w:val="20"/>
        </w:rPr>
        <w:t>Saisir sa première dépense.</w:t>
      </w:r>
    </w:p>
    <w:p>
      <w:pPr>
        <w:pStyle w:val="ListBullet"/>
        <w:spacing w:after="60"/>
        <w:ind w:left="454"/>
      </w:pPr>
      <w:r>
        <w:rPr>
          <w:rFonts w:ascii="Calibri" w:hAnsi="Calibri"/>
          <w:b/>
          <w:i w:val="0"/>
          <w:color w:val="3C3C3C"/>
          <w:sz w:val="20"/>
        </w:rPr>
        <w:t xml:space="preserve">Budget champion : </w:t>
      </w:r>
      <w:r>
        <w:rPr>
          <w:rFonts w:ascii="Calibri" w:hAnsi="Calibri"/>
          <w:b w:val="0"/>
          <w:i w:val="0"/>
          <w:color w:val="3C3C3C"/>
          <w:sz w:val="20"/>
        </w:rPr>
        <w:t>Terminer un mois complet sous tous ses plafonds budgétaires.</w:t>
      </w:r>
    </w:p>
    <w:p>
      <w:pPr>
        <w:pStyle w:val="ListBullet"/>
        <w:spacing w:after="60"/>
        <w:ind w:left="454"/>
      </w:pPr>
      <w:r>
        <w:rPr>
          <w:rFonts w:ascii="Calibri" w:hAnsi="Calibri"/>
          <w:b/>
          <w:i w:val="0"/>
          <w:color w:val="3C3C3C"/>
          <w:sz w:val="20"/>
        </w:rPr>
        <w:t xml:space="preserve">Épargnant régulier : </w:t>
      </w:r>
      <w:r>
        <w:rPr>
          <w:rFonts w:ascii="Calibri" w:hAnsi="Calibri"/>
          <w:b w:val="0"/>
          <w:i w:val="0"/>
          <w:color w:val="3C3C3C"/>
          <w:sz w:val="20"/>
        </w:rPr>
        <w:t>Alimenter un objectif d'épargne 4 semaines d'affilée.</w:t>
      </w:r>
    </w:p>
    <w:p>
      <w:pPr>
        <w:pStyle w:val="ListBullet"/>
        <w:spacing w:after="60"/>
        <w:ind w:left="454"/>
      </w:pPr>
      <w:r>
        <w:rPr>
          <w:rFonts w:ascii="Calibri" w:hAnsi="Calibri"/>
          <w:b/>
          <w:i w:val="0"/>
          <w:color w:val="3C3C3C"/>
          <w:sz w:val="20"/>
        </w:rPr>
        <w:t xml:space="preserve">Détective financier : </w:t>
      </w:r>
      <w:r>
        <w:rPr>
          <w:rFonts w:ascii="Calibri" w:hAnsi="Calibri"/>
          <w:b w:val="0"/>
          <w:i w:val="0"/>
          <w:color w:val="3C3C3C"/>
          <w:sz w:val="20"/>
        </w:rPr>
        <w:t>Identifier et catégoriser tous ses abonnements.</w:t>
      </w:r>
    </w:p>
    <w:p>
      <w:pPr>
        <w:pStyle w:val="ListBullet"/>
        <w:spacing w:after="60"/>
        <w:ind w:left="454"/>
      </w:pPr>
      <w:r>
        <w:rPr>
          <w:rFonts w:ascii="Calibri" w:hAnsi="Calibri"/>
          <w:b/>
          <w:i w:val="0"/>
          <w:color w:val="3C3C3C"/>
          <w:sz w:val="20"/>
        </w:rPr>
        <w:t xml:space="preserve">Score 80+ : </w:t>
      </w:r>
      <w:r>
        <w:rPr>
          <w:rFonts w:ascii="Calibri" w:hAnsi="Calibri"/>
          <w:b w:val="0"/>
          <w:i w:val="0"/>
          <w:color w:val="3C3C3C"/>
          <w:sz w:val="20"/>
        </w:rPr>
        <w:t>Atteindre un score de santé financière supérieur à 80 pour la première fois.</w:t>
      </w:r>
    </w:p>
    <w:p>
      <w:pPr>
        <w:pStyle w:val="ListBullet"/>
        <w:spacing w:after="60"/>
        <w:ind w:left="454"/>
      </w:pPr>
      <w:r>
        <w:rPr>
          <w:rFonts w:ascii="Calibri" w:hAnsi="Calibri"/>
          <w:b/>
          <w:i w:val="0"/>
          <w:color w:val="3C3C3C"/>
          <w:sz w:val="20"/>
        </w:rPr>
        <w:t xml:space="preserve">Streak 30 jours : </w:t>
      </w:r>
      <w:r>
        <w:rPr>
          <w:rFonts w:ascii="Calibri" w:hAnsi="Calibri"/>
          <w:b w:val="0"/>
          <w:i w:val="0"/>
          <w:color w:val="3C3C3C"/>
          <w:sz w:val="20"/>
        </w:rPr>
        <w:t>Saisir au moins une transaction par jour pendant 30 jours consécutifs.</w:t>
      </w:r>
    </w:p>
    <w:p>
      <w:pPr>
        <w:spacing w:before="200" w:after="60"/>
      </w:pPr>
      <w:r>
        <w:rPr>
          <w:rFonts w:ascii="Calibri" w:hAnsi="Calibri"/>
          <w:b/>
          <w:i w:val="0"/>
          <w:color w:val="1A73E8"/>
          <w:sz w:val="22"/>
        </w:rPr>
        <w:t>3.10  Objectifs d'épargne &amp; tracker de dettes (Premium)</w:t>
      </w:r>
    </w:p>
    <w:p>
      <w:pPr>
        <w:spacing w:before="120" w:after="40"/>
      </w:pPr>
      <w:r>
        <w:rPr>
          <w:rFonts w:ascii="Calibri" w:hAnsi="Calibri"/>
          <w:b/>
          <w:i w:val="0"/>
          <w:color w:val="00897B"/>
          <w:sz w:val="20"/>
        </w:rPr>
        <w:t>Objectifs d'épargne</w:t>
      </w:r>
    </w:p>
    <w:p>
      <w:pPr>
        <w:pStyle w:val="ListBullet"/>
        <w:spacing w:after="60"/>
        <w:ind w:left="454"/>
      </w:pPr>
      <w:r>
        <w:rPr>
          <w:rFonts w:ascii="Calibri" w:hAnsi="Calibri"/>
          <w:b w:val="0"/>
          <w:i w:val="0"/>
          <w:color w:val="3C3C3C"/>
          <w:sz w:val="20"/>
        </w:rPr>
        <w:t>Création d'un objectif : nom, montant cible, date souhaitée, compte associé (optionnel).</w:t>
      </w:r>
    </w:p>
    <w:p>
      <w:pPr>
        <w:pStyle w:val="ListBullet"/>
        <w:spacing w:after="60"/>
        <w:ind w:left="454"/>
      </w:pPr>
      <w:r>
        <w:rPr>
          <w:rFonts w:ascii="Calibri" w:hAnsi="Calibri"/>
          <w:b w:val="0"/>
          <w:i w:val="0"/>
          <w:color w:val="3C3C3C"/>
          <w:sz w:val="20"/>
        </w:rPr>
        <w:t>Suivi : barre de progression, montant restant, projection de date d'atteinte au rythme actuel.</w:t>
      </w:r>
    </w:p>
    <w:p>
      <w:pPr>
        <w:pStyle w:val="ListBullet"/>
        <w:spacing w:after="60"/>
        <w:ind w:left="454"/>
      </w:pPr>
      <w:r>
        <w:rPr>
          <w:rFonts w:ascii="Calibri" w:hAnsi="Calibri"/>
          <w:b w:val="0"/>
          <w:i w:val="0"/>
          <w:color w:val="3C3C3C"/>
          <w:sz w:val="20"/>
        </w:rPr>
        <w:t>Alimentation manuelle ou automatique (virer X € vers l'objectif chaque 1er du mois).</w:t>
      </w:r>
    </w:p>
    <w:p>
      <w:pPr>
        <w:pStyle w:val="ListBullet"/>
        <w:spacing w:after="60"/>
        <w:ind w:left="454"/>
      </w:pPr>
      <w:r>
        <w:rPr>
          <w:rFonts w:ascii="Calibri" w:hAnsi="Calibri"/>
          <w:b w:val="0"/>
          <w:i w:val="0"/>
          <w:color w:val="3C3C3C"/>
          <w:sz w:val="20"/>
        </w:rPr>
        <w:t>Multi-objectifs simultanés sans limite de nombre.</w:t>
      </w:r>
    </w:p>
    <w:p>
      <w:pPr>
        <w:spacing w:before="120" w:after="40"/>
      </w:pPr>
      <w:r>
        <w:rPr>
          <w:rFonts w:ascii="Calibri" w:hAnsi="Calibri"/>
          <w:b/>
          <w:i w:val="0"/>
          <w:color w:val="00897B"/>
          <w:sz w:val="20"/>
        </w:rPr>
        <w:t>Tracker de dettes</w:t>
      </w:r>
    </w:p>
    <w:p>
      <w:pPr>
        <w:pStyle w:val="ListBullet"/>
        <w:spacing w:after="60"/>
        <w:ind w:left="454"/>
      </w:pPr>
      <w:r>
        <w:rPr>
          <w:rFonts w:ascii="Calibri" w:hAnsi="Calibri"/>
          <w:b w:val="0"/>
          <w:i w:val="0"/>
          <w:color w:val="3C3C3C"/>
          <w:sz w:val="20"/>
        </w:rPr>
        <w:t>Enregistrement d'une dette : créancier, montant total, taux d'intérêt, mensualité, date de fin prévue.</w:t>
      </w:r>
    </w:p>
    <w:p>
      <w:pPr>
        <w:pStyle w:val="ListBullet"/>
        <w:spacing w:after="60"/>
        <w:ind w:left="454"/>
      </w:pPr>
      <w:r>
        <w:rPr>
          <w:rFonts w:ascii="Calibri" w:hAnsi="Calibri"/>
          <w:b w:val="0"/>
          <w:i w:val="0"/>
          <w:color w:val="3C3C3C"/>
          <w:sz w:val="20"/>
        </w:rPr>
        <w:t>Tableau de remboursement généré automatiquement (capital + intérêts).</w:t>
      </w:r>
    </w:p>
    <w:p>
      <w:pPr>
        <w:pStyle w:val="ListBullet"/>
        <w:spacing w:after="60"/>
        <w:ind w:left="454"/>
      </w:pPr>
      <w:r>
        <w:rPr>
          <w:rFonts w:ascii="Calibri" w:hAnsi="Calibri"/>
          <w:b w:val="0"/>
          <w:i w:val="0"/>
          <w:color w:val="3C3C3C"/>
          <w:sz w:val="20"/>
        </w:rPr>
        <w:t>Intégration dans la vue patrimoine net : les dettes apparaissent dans les passifs.</w:t>
      </w:r>
    </w:p>
    <w:p>
      <w:pPr>
        <w:pStyle w:val="ListBullet"/>
        <w:spacing w:after="60"/>
        <w:ind w:left="454"/>
      </w:pPr>
      <w:r>
        <w:rPr>
          <w:rFonts w:ascii="Calibri" w:hAnsi="Calibri"/>
          <w:b w:val="0"/>
          <w:i w:val="0"/>
          <w:color w:val="3C3C3C"/>
          <w:sz w:val="20"/>
        </w:rPr>
        <w:t>Alerte mensuelle de rappel d'échéance de remboursement.</w:t>
      </w:r>
    </w:p>
    <w:p>
      <w:pPr>
        <w:spacing w:before="200" w:after="60"/>
      </w:pPr>
      <w:r>
        <w:rPr>
          <w:rFonts w:ascii="Calibri" w:hAnsi="Calibri"/>
          <w:b/>
          <w:i w:val="0"/>
          <w:color w:val="1A73E8"/>
          <w:sz w:val="22"/>
        </w:rPr>
        <w:t>3.11  Export fiscal (Premium)</w:t>
      </w:r>
    </w:p>
    <w:p>
      <w:pPr>
        <w:spacing w:before="0" w:after="100"/>
        <w:jc w:val="left"/>
      </w:pPr>
      <w:r>
        <w:rPr>
          <w:rFonts w:ascii="Calibri" w:hAnsi="Calibri"/>
          <w:b w:val="0"/>
          <w:i w:val="0"/>
          <w:color w:val="3C3C3C"/>
          <w:sz w:val="20"/>
        </w:rPr>
        <w:t>Pour les utilisateurs freelances ou indépendants, l'app génère un rapport fiscal annuel listant toutes les dépenses marquées comme professionnellement déductibles.</w:t>
      </w:r>
    </w:p>
    <w:p>
      <w:pPr>
        <w:pStyle w:val="ListBullet"/>
        <w:spacing w:after="60"/>
        <w:ind w:left="454"/>
      </w:pPr>
      <w:r>
        <w:rPr>
          <w:rFonts w:ascii="Calibri" w:hAnsi="Calibri"/>
          <w:b w:val="0"/>
          <w:i w:val="0"/>
          <w:color w:val="3C3C3C"/>
          <w:sz w:val="20"/>
        </w:rPr>
        <w:t>Rapport PDF structuré : date, titre, montant, catégorie, compte, note.</w:t>
      </w:r>
    </w:p>
    <w:p>
      <w:pPr>
        <w:pStyle w:val="ListBullet"/>
        <w:spacing w:after="60"/>
        <w:ind w:left="454"/>
      </w:pPr>
      <w:r>
        <w:rPr>
          <w:rFonts w:ascii="Calibri" w:hAnsi="Calibri"/>
          <w:b w:val="0"/>
          <w:i w:val="0"/>
          <w:color w:val="3C3C3C"/>
          <w:sz w:val="20"/>
        </w:rPr>
        <w:t>Total annuel déductible calculé automatiquement.</w:t>
      </w:r>
    </w:p>
    <w:p>
      <w:pPr>
        <w:pStyle w:val="ListBullet"/>
        <w:spacing w:after="60"/>
        <w:ind w:left="454"/>
      </w:pPr>
      <w:r>
        <w:rPr>
          <w:rFonts w:ascii="Calibri" w:hAnsi="Calibri"/>
          <w:b w:val="0"/>
          <w:i w:val="0"/>
          <w:color w:val="3C3C3C"/>
          <w:sz w:val="20"/>
        </w:rPr>
        <w:t>Format adapté pour être joint à une déclaration fiscale ou transmis à un comptable.</w:t>
      </w:r>
    </w:p>
    <w:p>
      <w:pPr>
        <w:spacing w:before="200" w:after="60"/>
      </w:pPr>
      <w:r>
        <w:rPr>
          <w:rFonts w:ascii="Calibri" w:hAnsi="Calibri"/>
          <w:b/>
          <w:i w:val="0"/>
          <w:color w:val="1A73E8"/>
          <w:sz w:val="22"/>
        </w:rPr>
        <w:t>3.12  Tableau de bord &amp; prévision de cash flow</w:t>
      </w:r>
    </w:p>
    <w:p>
      <w:pPr>
        <w:pStyle w:val="ListBullet"/>
        <w:spacing w:after="60"/>
        <w:ind w:left="454"/>
      </w:pPr>
      <w:r>
        <w:rPr>
          <w:rFonts w:ascii="Calibri" w:hAnsi="Calibri"/>
          <w:b w:val="0"/>
          <w:i w:val="0"/>
          <w:color w:val="3C3C3C"/>
          <w:sz w:val="20"/>
        </w:rPr>
        <w:t>Solde net global (tous comptes) affiché en position dominante.</w:t>
      </w:r>
    </w:p>
    <w:p>
      <w:pPr>
        <w:pStyle w:val="ListBullet"/>
        <w:spacing w:after="60"/>
        <w:ind w:left="454"/>
      </w:pPr>
      <w:r>
        <w:rPr>
          <w:rFonts w:ascii="Calibri" w:hAnsi="Calibri"/>
          <w:b w:val="0"/>
          <w:i w:val="0"/>
          <w:color w:val="3C3C3C"/>
          <w:sz w:val="20"/>
        </w:rPr>
        <w:t>Résumé du mois : revenus / dépenses / taux d'épargne. Comparaison mois précédent.</w:t>
      </w:r>
    </w:p>
    <w:p>
      <w:pPr>
        <w:pStyle w:val="ListBullet"/>
        <w:spacing w:after="60"/>
        <w:ind w:left="454"/>
      </w:pPr>
      <w:r>
        <w:rPr>
          <w:rFonts w:ascii="Calibri" w:hAnsi="Calibri"/>
          <w:b w:val="0"/>
          <w:i w:val="0"/>
          <w:color w:val="3C3C3C"/>
          <w:sz w:val="20"/>
        </w:rPr>
        <w:t>Graphique de cash flow sur 6 mois.</w:t>
      </w:r>
    </w:p>
    <w:p>
      <w:pPr>
        <w:pStyle w:val="ListBullet"/>
        <w:spacing w:after="60"/>
        <w:ind w:left="454"/>
      </w:pPr>
      <w:r>
        <w:rPr>
          <w:rFonts w:ascii="Calibri" w:hAnsi="Calibri"/>
          <w:b w:val="0"/>
          <w:i w:val="0"/>
          <w:color w:val="3C3C3C"/>
          <w:sz w:val="20"/>
        </w:rPr>
        <w:t>Prévision 30 jours (Premium) : projection du solde futur tenant compte des récurrences et factures planifiées. Affichage d'une zone de risque si le solde prévu passe sous zéro.</w:t>
      </w:r>
    </w:p>
    <w:p>
      <w:pPr>
        <w:pStyle w:val="ListBullet"/>
        <w:spacing w:after="60"/>
        <w:ind w:left="454"/>
      </w:pPr>
      <w:r>
        <w:rPr>
          <w:rFonts w:ascii="Calibri" w:hAnsi="Calibri"/>
          <w:b w:val="0"/>
          <w:i w:val="0"/>
          <w:color w:val="3C3C3C"/>
          <w:sz w:val="20"/>
        </w:rPr>
        <w:t>Dashboard personnalisable (Premium) : l'utilisateur réordonne les widgets par glisser-déposer et masque ceux non pertinents.</w:t>
      </w:r>
    </w:p>
    <w:p>
      <w:pPr>
        <w:spacing w:before="200" w:after="60"/>
      </w:pPr>
      <w:r>
        <w:rPr>
          <w:rFonts w:ascii="Calibri" w:hAnsi="Calibri"/>
          <w:b/>
          <w:i w:val="0"/>
          <w:color w:val="1A73E8"/>
          <w:sz w:val="22"/>
        </w:rPr>
        <w:t>3.13  Application Progressive Web App (PWA)</w:t>
      </w:r>
    </w:p>
    <w:p>
      <w:pPr>
        <w:spacing w:before="0" w:after="100"/>
        <w:jc w:val="left"/>
      </w:pPr>
      <w:r>
        <w:rPr>
          <w:rFonts w:ascii="Calibri" w:hAnsi="Calibri"/>
          <w:b w:val="0"/>
          <w:i w:val="0"/>
          <w:color w:val="3C3C3C"/>
          <w:sz w:val="20"/>
        </w:rPr>
        <w:t>L'application est développée en tant que Progressive Web App (PWA). Ce choix technique a des implications fonctionnelles directes : l'utilisateur bénéficie d'une expérience proche d'une application native (installation, notifications, hors-ligne) sans passer par l'App Store ou le Google Play Store, sur mobile comme sur ordinateur.</w:t>
      </w:r>
    </w:p>
    <w:p>
      <w:pPr>
        <w:spacing w:before="120" w:after="40"/>
      </w:pPr>
      <w:r>
        <w:rPr>
          <w:rFonts w:ascii="Calibri" w:hAnsi="Calibri"/>
          <w:b/>
          <w:i w:val="0"/>
          <w:color w:val="00897B"/>
          <w:sz w:val="20"/>
        </w:rPr>
        <w:t>Installabilité</w:t>
      </w:r>
    </w:p>
    <w:p>
      <w:pPr>
        <w:pStyle w:val="ListBullet"/>
        <w:spacing w:after="60"/>
        <w:ind w:left="454"/>
      </w:pPr>
      <w:r>
        <w:rPr>
          <w:rFonts w:ascii="Calibri" w:hAnsi="Calibri"/>
          <w:b w:val="0"/>
          <w:i w:val="0"/>
          <w:color w:val="3C3C3C"/>
          <w:sz w:val="20"/>
        </w:rPr>
        <w:t>Sur Android (Chrome) et iOS (Safari 16.4+) : l'utilisateur reçoit une invite « Ajouter à l'écran d'accueil ». L'app apparaît ensuite comme une icône native, sans barre d'URL.</w:t>
      </w:r>
    </w:p>
    <w:p>
      <w:pPr>
        <w:pStyle w:val="ListBullet"/>
        <w:spacing w:after="60"/>
        <w:ind w:left="454"/>
      </w:pPr>
      <w:r>
        <w:rPr>
          <w:rFonts w:ascii="Calibri" w:hAnsi="Calibri"/>
          <w:b w:val="0"/>
          <w:i w:val="0"/>
          <w:color w:val="3C3C3C"/>
          <w:sz w:val="20"/>
        </w:rPr>
        <w:t>Sur desktop (Chrome, Edge) : l'app est installable depuis le navigateur et s'ouvre dans sa propre fenêtre sans interface de navigateur.</w:t>
      </w:r>
    </w:p>
    <w:p>
      <w:pPr>
        <w:pStyle w:val="ListBullet"/>
        <w:spacing w:after="60"/>
        <w:ind w:left="454"/>
      </w:pPr>
      <w:r>
        <w:rPr>
          <w:rFonts w:ascii="Calibri" w:hAnsi="Calibri"/>
          <w:b w:val="0"/>
          <w:i w:val="0"/>
          <w:color w:val="3C3C3C"/>
          <w:sz w:val="20"/>
        </w:rPr>
        <w:t>L'app se comporte comme une application autonome : plein écran, transitions fluides, navigation gestuelle.</w:t>
      </w:r>
    </w:p>
    <w:p>
      <w:pPr>
        <w:pStyle w:val="ListBullet"/>
        <w:spacing w:after="60"/>
        <w:ind w:left="454"/>
      </w:pPr>
      <w:r>
        <w:rPr>
          <w:rFonts w:ascii="Calibri" w:hAnsi="Calibri"/>
          <w:b w:val="0"/>
          <w:i w:val="0"/>
          <w:color w:val="3C3C3C"/>
          <w:sz w:val="20"/>
        </w:rPr>
        <w:t>Icône, splash screen, thème couleur et nom de l'app sont définis dans le fichier manifest.json.</w:t>
      </w:r>
    </w:p>
    <w:p>
      <w:pPr>
        <w:spacing w:before="120" w:after="40"/>
      </w:pPr>
      <w:r>
        <w:rPr>
          <w:rFonts w:ascii="Calibri" w:hAnsi="Calibri"/>
          <w:b/>
          <w:i w:val="0"/>
          <w:color w:val="00897B"/>
          <w:sz w:val="20"/>
        </w:rPr>
        <w:t>Mode hors-ligne</w:t>
      </w:r>
    </w:p>
    <w:p>
      <w:pPr>
        <w:pStyle w:val="ListBullet"/>
        <w:spacing w:after="60"/>
        <w:ind w:left="454"/>
      </w:pPr>
      <w:r>
        <w:rPr>
          <w:rFonts w:ascii="Calibri" w:hAnsi="Calibri"/>
          <w:b w:val="0"/>
          <w:i w:val="0"/>
          <w:color w:val="3C3C3C"/>
          <w:sz w:val="20"/>
        </w:rPr>
        <w:t>Le tableau de bord, le solde des comptes et l'historique des 30 derniers jours sont accessibles sans connexion grâce au cache Service Worker.</w:t>
      </w:r>
    </w:p>
    <w:p>
      <w:pPr>
        <w:pStyle w:val="ListBullet"/>
        <w:spacing w:after="60"/>
        <w:ind w:left="454"/>
      </w:pPr>
      <w:r>
        <w:rPr>
          <w:rFonts w:ascii="Calibri" w:hAnsi="Calibri"/>
          <w:b w:val="0"/>
          <w:i w:val="0"/>
          <w:color w:val="3C3C3C"/>
          <w:sz w:val="20"/>
        </w:rPr>
        <w:t>L'utilisateur peut saisir une dépense ou un revenu sans connexion. La transaction est stockée localement et synchronisée automatiquement dès que le réseau est rétabli (Background Sync).</w:t>
      </w:r>
    </w:p>
    <w:p>
      <w:pPr>
        <w:pStyle w:val="ListBullet"/>
        <w:spacing w:after="60"/>
        <w:ind w:left="454"/>
      </w:pPr>
      <w:r>
        <w:rPr>
          <w:rFonts w:ascii="Calibri" w:hAnsi="Calibri"/>
          <w:b w:val="0"/>
          <w:i w:val="0"/>
          <w:color w:val="3C3C3C"/>
          <w:sz w:val="20"/>
        </w:rPr>
        <w:t>Un indicateur visuel discret signale à l'utilisateur qu'il est en mode hors-ligne et que les données seront synchronisées à la reconnexion.</w:t>
      </w:r>
    </w:p>
    <w:p>
      <w:pPr>
        <w:pStyle w:val="ListBullet"/>
        <w:spacing w:after="60"/>
        <w:ind w:left="454"/>
      </w:pPr>
      <w:r>
        <w:rPr>
          <w:rFonts w:ascii="Calibri" w:hAnsi="Calibri"/>
          <w:b w:val="0"/>
          <w:i w:val="0"/>
          <w:color w:val="3C3C3C"/>
          <w:sz w:val="20"/>
        </w:rPr>
        <w:t>Les données des comptes bancaires liés (Open Banking) ne sont pas disponibles hors-ligne — elles nécessitent une connexion active pour la synchronisation.</w:t>
      </w:r>
    </w:p>
    <w:p>
      <w:pPr>
        <w:spacing w:before="120" w:after="40"/>
      </w:pPr>
      <w:r>
        <w:rPr>
          <w:rFonts w:ascii="Calibri" w:hAnsi="Calibri"/>
          <w:b/>
          <w:i w:val="0"/>
          <w:color w:val="00897B"/>
          <w:sz w:val="20"/>
        </w:rPr>
        <w:t>Push notifications natives</w:t>
      </w:r>
    </w:p>
    <w:p>
      <w:pPr>
        <w:pStyle w:val="ListBullet"/>
        <w:spacing w:after="60"/>
        <w:ind w:left="454"/>
      </w:pPr>
      <w:r>
        <w:rPr>
          <w:rFonts w:ascii="Calibri" w:hAnsi="Calibri"/>
          <w:b w:val="0"/>
          <w:i w:val="0"/>
          <w:color w:val="3C3C3C"/>
          <w:sz w:val="20"/>
        </w:rPr>
        <w:t>Les alertes budgétaires (80 % et 100 % du plafond), les rappels de factures (J-3 avant échéance) et le digest hebdomadaire sont envoyés comme notifications push natives via l'API Web Push.</w:t>
      </w:r>
    </w:p>
    <w:p>
      <w:pPr>
        <w:pStyle w:val="ListBullet"/>
        <w:spacing w:after="60"/>
        <w:ind w:left="454"/>
      </w:pPr>
      <w:r>
        <w:rPr>
          <w:rFonts w:ascii="Calibri" w:hAnsi="Calibri"/>
          <w:b w:val="0"/>
          <w:i w:val="0"/>
          <w:color w:val="3C3C3C"/>
          <w:sz w:val="20"/>
        </w:rPr>
        <w:t>L'utilisateur est invité à autoriser les notifications lors de l'onboarding (étape 5). Le refus ne bloque pas l'utilisation de l'app.</w:t>
      </w:r>
    </w:p>
    <w:p>
      <w:pPr>
        <w:pStyle w:val="ListBullet"/>
        <w:spacing w:after="60"/>
        <w:ind w:left="454"/>
      </w:pPr>
      <w:r>
        <w:rPr>
          <w:rFonts w:ascii="Calibri" w:hAnsi="Calibri"/>
          <w:b w:val="0"/>
          <w:i w:val="0"/>
          <w:color w:val="3C3C3C"/>
          <w:sz w:val="20"/>
        </w:rPr>
        <w:t>Les notifications arrivent même si l'app n'est pas ouverte dans le navigateur, grâce au Service Worker en arrière-plan.</w:t>
      </w:r>
    </w:p>
    <w:p>
      <w:pPr>
        <w:pStyle w:val="ListBullet"/>
        <w:spacing w:after="60"/>
        <w:ind w:left="454"/>
      </w:pPr>
      <w:r>
        <w:rPr>
          <w:rFonts w:ascii="Calibri" w:hAnsi="Calibri"/>
          <w:b w:val="0"/>
          <w:i w:val="0"/>
          <w:color w:val="3C3C3C"/>
          <w:sz w:val="20"/>
        </w:rPr>
        <w:t>L'utilisateur peut gérer les types de notifications reçues depuis les paramètres de l'app (activer/désactiver par catégorie).</w:t>
      </w:r>
    </w:p>
    <w:p>
      <w:pPr>
        <w:spacing w:before="120" w:after="40"/>
      </w:pPr>
      <w:r>
        <w:rPr>
          <w:rFonts w:ascii="Calibri" w:hAnsi="Calibri"/>
          <w:b/>
          <w:i w:val="0"/>
          <w:color w:val="00897B"/>
          <w:sz w:val="20"/>
        </w:rPr>
        <w:t>Performance &amp; compatibilité</w:t>
      </w:r>
    </w:p>
    <w:p>
      <w:pPr>
        <w:pStyle w:val="ListBullet"/>
        <w:spacing w:after="60"/>
        <w:ind w:left="454"/>
      </w:pPr>
      <w:r>
        <w:rPr>
          <w:rFonts w:ascii="Calibri" w:hAnsi="Calibri"/>
          <w:b w:val="0"/>
          <w:i w:val="0"/>
          <w:color w:val="3C3C3C"/>
          <w:sz w:val="20"/>
        </w:rPr>
        <w:t>Score Lighthouse ≥ 90 en performance mobile (First Contentful Paint &lt; 1,5 s sur 4G).</w:t>
      </w:r>
    </w:p>
    <w:p>
      <w:pPr>
        <w:pStyle w:val="ListBullet"/>
        <w:spacing w:after="60"/>
        <w:ind w:left="454"/>
      </w:pPr>
      <w:r>
        <w:rPr>
          <w:rFonts w:ascii="Calibri" w:hAnsi="Calibri"/>
          <w:b w:val="0"/>
          <w:i w:val="0"/>
          <w:color w:val="3C3C3C"/>
          <w:sz w:val="20"/>
        </w:rPr>
        <w:t>Compatibilité navigateurs : Chrome 90+, Safari 16.4+, Firefox 90+, Edge 90+.</w:t>
      </w:r>
    </w:p>
    <w:p>
      <w:pPr>
        <w:pStyle w:val="ListBullet"/>
        <w:spacing w:after="60"/>
        <w:ind w:left="454"/>
      </w:pPr>
      <w:r>
        <w:rPr>
          <w:rFonts w:ascii="Calibri" w:hAnsi="Calibri"/>
          <w:b w:val="0"/>
          <w:i w:val="0"/>
          <w:color w:val="3C3C3C"/>
          <w:sz w:val="20"/>
        </w:rPr>
        <w:t>Design responsive mobile-first : interface optimisée pour les écrans 375 px (iPhone SE) à 1920 px (desktop large). Points de rupture principaux : 375 px / 768 px / 1024 px / 1440 px.</w:t>
      </w:r>
    </w:p>
    <w:p>
      <w:pPr>
        <w:pStyle w:val="ListBullet"/>
        <w:spacing w:after="60"/>
        <w:ind w:left="454"/>
      </w:pPr>
      <w:r>
        <w:rPr>
          <w:rFonts w:ascii="Calibri" w:hAnsi="Calibri"/>
          <w:b w:val="0"/>
          <w:i w:val="0"/>
          <w:color w:val="3C3C3C"/>
          <w:sz w:val="20"/>
        </w:rPr>
        <w:t>Le HTTPS est obligatoire pour le fonctionnement du Service Worker et des push notifications — l'app est servie exclusivement en HTTPS.</w:t>
      </w:r>
    </w:p>
    <w:p>
      <w:pPr>
        <w:spacing w:before="200" w:after="60"/>
      </w:pPr>
      <w:r>
        <w:rPr>
          <w:rFonts w:ascii="Calibri" w:hAnsi="Calibri"/>
          <w:b/>
          <w:i w:val="0"/>
          <w:color w:val="1A73E8"/>
          <w:sz w:val="22"/>
        </w:rPr>
        <w:t>3.14  Gestion multi-devises</w:t>
      </w:r>
    </w:p>
    <w:p>
      <w:pPr>
        <w:spacing w:before="0" w:after="100"/>
        <w:jc w:val="left"/>
      </w:pPr>
      <w:r>
        <w:rPr>
          <w:rFonts w:ascii="Calibri" w:hAnsi="Calibri"/>
          <w:b w:val="0"/>
          <w:i w:val="0"/>
          <w:color w:val="3C3C3C"/>
          <w:sz w:val="20"/>
        </w:rPr>
        <w:t>L'application supporte nativement 30+ devises internationales afin de répondre aux besoins des utilisateurs francophones (Maroc, France, Belgique, Suisse, Afrique francophone) et des voyageurs ou expatriés. La devise de référence est celle dans laquelle tous les totaux, budgets et graphiques sont exprimés.</w:t>
      </w:r>
    </w:p>
    <w:p>
      <w:pPr>
        <w:spacing w:before="120" w:after="40"/>
      </w:pPr>
      <w:r>
        <w:rPr>
          <w:rFonts w:ascii="Calibri" w:hAnsi="Calibri"/>
          <w:b/>
          <w:i w:val="0"/>
          <w:color w:val="00897B"/>
          <w:sz w:val="20"/>
        </w:rPr>
        <w:t>Devises supportées au lancement</w:t>
      </w:r>
    </w:p>
    <w:p>
      <w:pPr>
        <w:spacing w:before="0" w:after="100"/>
        <w:jc w:val="left"/>
      </w:pPr>
      <w:r>
        <w:rPr>
          <w:rFonts w:ascii="Calibri" w:hAnsi="Calibri"/>
          <w:b/>
          <w:i w:val="0"/>
          <w:color w:val="0F2D52"/>
          <w:sz w:val="20"/>
        </w:rPr>
        <w:t>Devises prioritaires — affichées en tête de liste dans le sélecteur :</w:t>
      </w:r>
    </w:p>
    <w:tbl>
      <w:tblPr>
        <w:tblStyle w:val="TableGrid"/>
        <w:tblW w:type="auto" w:w="0"/>
        <w:tblLook w:firstColumn="1" w:firstRow="1" w:lastColumn="0" w:lastRow="0" w:noHBand="0" w:noVBand="1" w:val="04A0"/>
      </w:tblPr>
      <w:tblGrid>
        <w:gridCol w:w="2351"/>
        <w:gridCol w:w="2351"/>
        <w:gridCol w:w="2351"/>
        <w:gridCol w:w="2351"/>
      </w:tblGrid>
      <w:tr>
        <w:tc>
          <w:tcPr>
            <w:tcW w:type="dxa" w:w="850"/>
            <w:shd w:val="clear" w:color="auto" w:fill="0F2D52"/>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i w:val="0"/>
                <w:color w:val="FFFFFF"/>
                <w:sz w:val="16"/>
              </w:rPr>
              <w:t>Code</w:t>
            </w:r>
          </w:p>
        </w:tc>
        <w:tc>
          <w:tcPr>
            <w:tcW w:type="dxa" w:w="3118"/>
            <w:shd w:val="clear" w:color="auto" w:fill="0F2D52"/>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i w:val="0"/>
                <w:color w:val="FFFFFF"/>
                <w:sz w:val="16"/>
              </w:rPr>
              <w:t>Devise</w:t>
            </w:r>
          </w:p>
        </w:tc>
        <w:tc>
          <w:tcPr>
            <w:tcW w:type="dxa" w:w="850"/>
            <w:shd w:val="clear" w:color="auto" w:fill="0F2D52"/>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i w:val="0"/>
                <w:color w:val="FFFFFF"/>
                <w:sz w:val="16"/>
              </w:rPr>
              <w:t>Code</w:t>
            </w:r>
          </w:p>
        </w:tc>
        <w:tc>
          <w:tcPr>
            <w:tcW w:type="dxa" w:w="3118"/>
            <w:shd w:val="clear" w:color="auto" w:fill="0F2D52"/>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i w:val="0"/>
                <w:color w:val="FFFFFF"/>
                <w:sz w:val="16"/>
              </w:rPr>
              <w:t>Devise</w:t>
            </w:r>
          </w:p>
        </w:tc>
      </w:tr>
      <w:tr>
        <w:tc>
          <w:tcPr>
            <w:tcW w:type="dxa" w:w="850"/>
            <w:shd w:val="clear" w:color="auto" w:fill="F5F9FF"/>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i w:val="0"/>
                <w:color w:val="1A73E8"/>
                <w:sz w:val="18"/>
              </w:rPr>
              <w:t>MAD</w:t>
            </w:r>
          </w:p>
        </w:tc>
        <w:tc>
          <w:tcPr>
            <w:tcW w:type="dxa" w:w="3118"/>
            <w:shd w:val="clear" w:color="auto" w:fill="F5F9FF"/>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val="0"/>
                <w:i w:val="0"/>
                <w:color w:val="3C3C3C"/>
                <w:sz w:val="18"/>
              </w:rPr>
              <w:t>Dirham marocain 🇲🇦</w:t>
            </w:r>
          </w:p>
        </w:tc>
        <w:tc>
          <w:tcPr>
            <w:tcW w:type="dxa" w:w="850"/>
            <w:shd w:val="clear" w:color="auto" w:fill="F5F9FF"/>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i w:val="0"/>
                <w:color w:val="1A73E8"/>
                <w:sz w:val="18"/>
              </w:rPr>
              <w:t>EUR</w:t>
            </w:r>
          </w:p>
        </w:tc>
        <w:tc>
          <w:tcPr>
            <w:tcW w:type="dxa" w:w="3118"/>
            <w:shd w:val="clear" w:color="auto" w:fill="F5F9FF"/>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val="0"/>
                <w:i w:val="0"/>
                <w:color w:val="3C3C3C"/>
                <w:sz w:val="18"/>
              </w:rPr>
              <w:t>Euro 🇪🇺</w:t>
            </w:r>
          </w:p>
        </w:tc>
      </w:tr>
      <w:tr>
        <w:tc>
          <w:tcPr>
            <w:tcW w:type="dxa" w:w="850"/>
            <w:shd w:val="clear" w:color="auto" w:fill="FFFFFF"/>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i w:val="0"/>
                <w:color w:val="1A73E8"/>
                <w:sz w:val="18"/>
              </w:rPr>
              <w:t>USD</w:t>
            </w:r>
          </w:p>
        </w:tc>
        <w:tc>
          <w:tcPr>
            <w:tcW w:type="dxa" w:w="3118"/>
            <w:shd w:val="clear" w:color="auto" w:fill="FFFFFF"/>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val="0"/>
                <w:i w:val="0"/>
                <w:color w:val="3C3C3C"/>
                <w:sz w:val="18"/>
              </w:rPr>
              <w:t>Dollar américain 🇺🇸</w:t>
            </w:r>
          </w:p>
        </w:tc>
        <w:tc>
          <w:tcPr>
            <w:tcW w:type="dxa" w:w="850"/>
            <w:shd w:val="clear" w:color="auto" w:fill="FFFFFF"/>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i w:val="0"/>
                <w:color w:val="1A73E8"/>
                <w:sz w:val="18"/>
              </w:rPr>
              <w:t>GBP</w:t>
            </w:r>
          </w:p>
        </w:tc>
        <w:tc>
          <w:tcPr>
            <w:tcW w:type="dxa" w:w="3118"/>
            <w:shd w:val="clear" w:color="auto" w:fill="FFFFFF"/>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val="0"/>
                <w:i w:val="0"/>
                <w:color w:val="3C3C3C"/>
                <w:sz w:val="18"/>
              </w:rPr>
              <w:t>Livre sterling 🇬🇧</w:t>
            </w:r>
          </w:p>
        </w:tc>
      </w:tr>
      <w:tr>
        <w:tc>
          <w:tcPr>
            <w:tcW w:type="dxa" w:w="850"/>
            <w:shd w:val="clear" w:color="auto" w:fill="F5F9FF"/>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i w:val="0"/>
                <w:color w:val="1A73E8"/>
                <w:sz w:val="18"/>
              </w:rPr>
              <w:t>CHF</w:t>
            </w:r>
          </w:p>
        </w:tc>
        <w:tc>
          <w:tcPr>
            <w:tcW w:type="dxa" w:w="3118"/>
            <w:shd w:val="clear" w:color="auto" w:fill="F5F9FF"/>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val="0"/>
                <w:i w:val="0"/>
                <w:color w:val="3C3C3C"/>
                <w:sz w:val="18"/>
              </w:rPr>
              <w:t>Franc suisse 🇨🇭</w:t>
            </w:r>
          </w:p>
        </w:tc>
        <w:tc>
          <w:tcPr>
            <w:tcW w:type="dxa" w:w="850"/>
            <w:shd w:val="clear" w:color="auto" w:fill="F5F9FF"/>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i w:val="0"/>
                <w:color w:val="1A73E8"/>
                <w:sz w:val="18"/>
              </w:rPr>
              <w:t>CAD</w:t>
            </w:r>
          </w:p>
        </w:tc>
        <w:tc>
          <w:tcPr>
            <w:tcW w:type="dxa" w:w="3118"/>
            <w:shd w:val="clear" w:color="auto" w:fill="F5F9FF"/>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val="0"/>
                <w:i w:val="0"/>
                <w:color w:val="3C3C3C"/>
                <w:sz w:val="18"/>
              </w:rPr>
              <w:t>Dollar canadien 🇨🇦</w:t>
            </w:r>
          </w:p>
        </w:tc>
      </w:tr>
      <w:tr>
        <w:tc>
          <w:tcPr>
            <w:tcW w:type="dxa" w:w="850"/>
            <w:shd w:val="clear" w:color="auto" w:fill="FFFFFF"/>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i w:val="0"/>
                <w:color w:val="1A73E8"/>
                <w:sz w:val="18"/>
              </w:rPr>
              <w:t>AED</w:t>
            </w:r>
          </w:p>
        </w:tc>
        <w:tc>
          <w:tcPr>
            <w:tcW w:type="dxa" w:w="3118"/>
            <w:shd w:val="clear" w:color="auto" w:fill="FFFFFF"/>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val="0"/>
                <w:i w:val="0"/>
                <w:color w:val="3C3C3C"/>
                <w:sz w:val="18"/>
              </w:rPr>
              <w:t>Dirham des EAU 🇦🇪</w:t>
            </w:r>
          </w:p>
        </w:tc>
        <w:tc>
          <w:tcPr>
            <w:tcW w:type="dxa" w:w="850"/>
            <w:shd w:val="clear" w:color="auto" w:fill="FFFFFF"/>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i w:val="0"/>
                <w:color w:val="1A73E8"/>
                <w:sz w:val="18"/>
              </w:rPr>
              <w:t>SAR</w:t>
            </w:r>
          </w:p>
        </w:tc>
        <w:tc>
          <w:tcPr>
            <w:tcW w:type="dxa" w:w="3118"/>
            <w:shd w:val="clear" w:color="auto" w:fill="FFFFFF"/>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val="0"/>
                <w:i w:val="0"/>
                <w:color w:val="3C3C3C"/>
                <w:sz w:val="18"/>
              </w:rPr>
              <w:t>Riyal saoudien 🇸🇦</w:t>
            </w:r>
          </w:p>
        </w:tc>
      </w:tr>
      <w:tr>
        <w:tc>
          <w:tcPr>
            <w:tcW w:type="dxa" w:w="850"/>
            <w:shd w:val="clear" w:color="auto" w:fill="F5F9FF"/>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i w:val="0"/>
                <w:color w:val="1A73E8"/>
                <w:sz w:val="18"/>
              </w:rPr>
              <w:t>TND</w:t>
            </w:r>
          </w:p>
        </w:tc>
        <w:tc>
          <w:tcPr>
            <w:tcW w:type="dxa" w:w="3118"/>
            <w:shd w:val="clear" w:color="auto" w:fill="F5F9FF"/>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val="0"/>
                <w:i w:val="0"/>
                <w:color w:val="3C3C3C"/>
                <w:sz w:val="18"/>
              </w:rPr>
              <w:t>Dinar tunisien 🇹🇳</w:t>
            </w:r>
          </w:p>
        </w:tc>
        <w:tc>
          <w:tcPr>
            <w:tcW w:type="dxa" w:w="850"/>
            <w:shd w:val="clear" w:color="auto" w:fill="F5F9FF"/>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i w:val="0"/>
                <w:color w:val="1A73E8"/>
                <w:sz w:val="18"/>
              </w:rPr>
              <w:t>DZD</w:t>
            </w:r>
          </w:p>
        </w:tc>
        <w:tc>
          <w:tcPr>
            <w:tcW w:type="dxa" w:w="3118"/>
            <w:shd w:val="clear" w:color="auto" w:fill="F5F9FF"/>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val="0"/>
                <w:i w:val="0"/>
                <w:color w:val="3C3C3C"/>
                <w:sz w:val="18"/>
              </w:rPr>
              <w:t>Dinar algérien 🇩🇿</w:t>
            </w:r>
          </w:p>
        </w:tc>
      </w:tr>
      <w:tr>
        <w:tc>
          <w:tcPr>
            <w:tcW w:type="dxa" w:w="850"/>
            <w:shd w:val="clear" w:color="auto" w:fill="FFFFFF"/>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i w:val="0"/>
                <w:color w:val="1A73E8"/>
                <w:sz w:val="18"/>
              </w:rPr>
              <w:t>XOF</w:t>
            </w:r>
          </w:p>
        </w:tc>
        <w:tc>
          <w:tcPr>
            <w:tcW w:type="dxa" w:w="3118"/>
            <w:shd w:val="clear" w:color="auto" w:fill="FFFFFF"/>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val="0"/>
                <w:i w:val="0"/>
                <w:color w:val="3C3C3C"/>
                <w:sz w:val="18"/>
              </w:rPr>
              <w:t>Franc CFA Ouest 🌍</w:t>
            </w:r>
          </w:p>
        </w:tc>
        <w:tc>
          <w:tcPr>
            <w:tcW w:type="dxa" w:w="850"/>
            <w:shd w:val="clear" w:color="auto" w:fill="FFFFFF"/>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i w:val="0"/>
                <w:color w:val="1A73E8"/>
                <w:sz w:val="18"/>
              </w:rPr>
              <w:t>XAF</w:t>
            </w:r>
          </w:p>
        </w:tc>
        <w:tc>
          <w:tcPr>
            <w:tcW w:type="dxa" w:w="3118"/>
            <w:shd w:val="clear" w:color="auto" w:fill="FFFFFF"/>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val="0"/>
                <w:i w:val="0"/>
                <w:color w:val="3C3C3C"/>
                <w:sz w:val="18"/>
              </w:rPr>
              <w:t>Franc CFA Centre 🌍</w:t>
            </w:r>
          </w:p>
        </w:tc>
      </w:tr>
      <w:tr>
        <w:tc>
          <w:tcPr>
            <w:tcW w:type="dxa" w:w="850"/>
            <w:shd w:val="clear" w:color="auto" w:fill="F5F9FF"/>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i w:val="0"/>
                <w:color w:val="1A73E8"/>
                <w:sz w:val="18"/>
              </w:rPr>
              <w:t>JPY</w:t>
            </w:r>
          </w:p>
        </w:tc>
        <w:tc>
          <w:tcPr>
            <w:tcW w:type="dxa" w:w="3118"/>
            <w:shd w:val="clear" w:color="auto" w:fill="F5F9FF"/>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val="0"/>
                <w:i w:val="0"/>
                <w:color w:val="3C3C3C"/>
                <w:sz w:val="18"/>
              </w:rPr>
              <w:t>Yen japonais 🇯🇵</w:t>
            </w:r>
          </w:p>
        </w:tc>
        <w:tc>
          <w:tcPr>
            <w:tcW w:type="dxa" w:w="850"/>
            <w:shd w:val="clear" w:color="auto" w:fill="F5F9FF"/>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i w:val="0"/>
                <w:color w:val="1A73E8"/>
                <w:sz w:val="18"/>
              </w:rPr>
              <w:t>CNY</w:t>
            </w:r>
          </w:p>
        </w:tc>
        <w:tc>
          <w:tcPr>
            <w:tcW w:type="dxa" w:w="3118"/>
            <w:shd w:val="clear" w:color="auto" w:fill="F5F9FF"/>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val="0"/>
                <w:i w:val="0"/>
                <w:color w:val="3C3C3C"/>
                <w:sz w:val="18"/>
              </w:rPr>
              <w:t>Yuan chinois 🇨🇳</w:t>
            </w:r>
          </w:p>
        </w:tc>
      </w:tr>
      <w:tr>
        <w:tc>
          <w:tcPr>
            <w:tcW w:type="dxa" w:w="850"/>
            <w:shd w:val="clear" w:color="auto" w:fill="FFFFFF"/>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i w:val="0"/>
                <w:color w:val="1A73E8"/>
                <w:sz w:val="18"/>
              </w:rPr>
              <w:t>BRL</w:t>
            </w:r>
          </w:p>
        </w:tc>
        <w:tc>
          <w:tcPr>
            <w:tcW w:type="dxa" w:w="3118"/>
            <w:shd w:val="clear" w:color="auto" w:fill="FFFFFF"/>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val="0"/>
                <w:i w:val="0"/>
                <w:color w:val="3C3C3C"/>
                <w:sz w:val="18"/>
              </w:rPr>
              <w:t>Réal brésilien 🇧🇷</w:t>
            </w:r>
          </w:p>
        </w:tc>
        <w:tc>
          <w:tcPr>
            <w:tcW w:type="dxa" w:w="850"/>
            <w:shd w:val="clear" w:color="auto" w:fill="FFFFFF"/>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i w:val="0"/>
                <w:color w:val="1A73E8"/>
                <w:sz w:val="18"/>
              </w:rPr>
              <w:t>INR</w:t>
            </w:r>
          </w:p>
        </w:tc>
        <w:tc>
          <w:tcPr>
            <w:tcW w:type="dxa" w:w="3118"/>
            <w:shd w:val="clear" w:color="auto" w:fill="FFFFFF"/>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val="0"/>
                <w:i w:val="0"/>
                <w:color w:val="3C3C3C"/>
                <w:sz w:val="18"/>
              </w:rPr>
              <w:t>Roupie indienne 🇮🇳</w:t>
            </w:r>
          </w:p>
        </w:tc>
      </w:tr>
    </w:tbl>
    <w:p>
      <w:pPr>
        <w:spacing w:before="120" w:after="100"/>
        <w:jc w:val="left"/>
      </w:pPr>
      <w:r>
        <w:rPr>
          <w:rFonts w:ascii="Calibri" w:hAnsi="Calibri"/>
          <w:b w:val="0"/>
          <w:i/>
          <w:color w:val="757575"/>
          <w:sz w:val="18"/>
        </w:rPr>
        <w:t>Au-delà de ces 16 devises prioritaires, l'app supporte l'ensemble des devises ISO 4217 actives (environ 170 devises mondiales), accessibles via la recherche dans le sélecteur.</w:t>
      </w:r>
    </w:p>
    <w:p>
      <w:pPr>
        <w:spacing w:before="120" w:after="40"/>
      </w:pPr>
      <w:r>
        <w:rPr>
          <w:rFonts w:ascii="Calibri" w:hAnsi="Calibri"/>
          <w:b/>
          <w:i w:val="0"/>
          <w:color w:val="00897B"/>
          <w:sz w:val="20"/>
        </w:rPr>
        <w:t>Fonctionnement de la conversion</w:t>
      </w:r>
    </w:p>
    <w:p>
      <w:pPr>
        <w:pStyle w:val="ListBullet"/>
        <w:spacing w:after="60"/>
        <w:ind w:left="454"/>
      </w:pPr>
      <w:r>
        <w:rPr>
          <w:rFonts w:ascii="Calibri" w:hAnsi="Calibri"/>
          <w:b w:val="0"/>
          <w:i w:val="0"/>
          <w:color w:val="3C3C3C"/>
          <w:sz w:val="20"/>
        </w:rPr>
        <w:t>Devise de référence choisie à l'onboarding (MAD par défaut pour les utilisateurs détectés au Maroc, EUR pour la France/Belgique, CHF pour la Suisse).</w:t>
      </w:r>
    </w:p>
    <w:p>
      <w:pPr>
        <w:pStyle w:val="ListBullet"/>
        <w:spacing w:after="60"/>
        <w:ind w:left="454"/>
      </w:pPr>
      <w:r>
        <w:rPr>
          <w:rFonts w:ascii="Calibri" w:hAnsi="Calibri"/>
          <w:b w:val="0"/>
          <w:i w:val="0"/>
          <w:color w:val="3C3C3C"/>
          <w:sz w:val="20"/>
        </w:rPr>
        <w:t>Lors de la saisie d'une transaction, l'utilisateur peut sélectionner n'importe quelle devise dans la liste. Le montant est converti en temps réel vers la devise de référence au taux du jour.</w:t>
      </w:r>
    </w:p>
    <w:p>
      <w:pPr>
        <w:pStyle w:val="ListBullet"/>
        <w:spacing w:after="60"/>
        <w:ind w:left="454"/>
      </w:pPr>
      <w:r>
        <w:rPr>
          <w:rFonts w:ascii="Calibri" w:hAnsi="Calibri"/>
          <w:b w:val="0"/>
          <w:i w:val="0"/>
          <w:color w:val="3C3C3C"/>
          <w:sz w:val="20"/>
        </w:rPr>
        <w:t>Le taux de change appliqué est récupéré depuis une API financière (ex. : Open Exchange Rates, Fixer.io ou ECB selon le choix retenu — voir PO-05). La fraîcheur des taux est au maximum de 24 h.</w:t>
      </w:r>
    </w:p>
    <w:p>
      <w:pPr>
        <w:pStyle w:val="ListBullet"/>
        <w:spacing w:after="60"/>
        <w:ind w:left="454"/>
      </w:pPr>
      <w:r>
        <w:rPr>
          <w:rFonts w:ascii="Calibri" w:hAnsi="Calibri"/>
          <w:b w:val="0"/>
          <w:i w:val="0"/>
          <w:color w:val="3C3C3C"/>
          <w:sz w:val="20"/>
        </w:rPr>
        <w:t>Le taux exact utilisé est affiché à l'utilisateur au moment de la saisie (ex. : « 1 EUR = 10,87 MAD ») et est mémorisé de manière immuable avec la transaction pour assurer la traçabilité comptable.</w:t>
      </w:r>
    </w:p>
    <w:p>
      <w:pPr>
        <w:pStyle w:val="ListBullet"/>
        <w:spacing w:after="60"/>
        <w:ind w:left="454"/>
      </w:pPr>
      <w:r>
        <w:rPr>
          <w:rFonts w:ascii="Calibri" w:hAnsi="Calibri"/>
          <w:b w:val="0"/>
          <w:i w:val="0"/>
          <w:color w:val="3C3C3C"/>
          <w:sz w:val="20"/>
        </w:rPr>
        <w:t>Tous les agrégats du tableau de bord (total dépenses, budgets, cash flow) sont toujours exprimés dans la devise de référence, quelle que soit la devise de saisie des transactions individuelles.</w:t>
      </w:r>
    </w:p>
    <w:p>
      <w:pPr>
        <w:spacing w:before="120" w:after="40"/>
      </w:pPr>
      <w:r>
        <w:rPr>
          <w:rFonts w:ascii="Calibri" w:hAnsi="Calibri"/>
          <w:b/>
          <w:i w:val="0"/>
          <w:color w:val="00897B"/>
          <w:sz w:val="20"/>
        </w:rPr>
        <w:t>Comptes multi-devises</w:t>
      </w:r>
    </w:p>
    <w:p>
      <w:pPr>
        <w:pStyle w:val="ListBullet"/>
        <w:spacing w:after="60"/>
        <w:ind w:left="454"/>
      </w:pPr>
      <w:r>
        <w:rPr>
          <w:rFonts w:ascii="Calibri" w:hAnsi="Calibri"/>
          <w:b w:val="0"/>
          <w:i w:val="0"/>
          <w:color w:val="3C3C3C"/>
          <w:sz w:val="20"/>
        </w:rPr>
        <w:t>Chaque compte peut être libellé dans sa propre devise (ex. : compte courant en EUR, compte épargne en MAD, compte en dollars pour les revenus freelance).</w:t>
      </w:r>
    </w:p>
    <w:p>
      <w:pPr>
        <w:pStyle w:val="ListBullet"/>
        <w:spacing w:after="60"/>
        <w:ind w:left="454"/>
      </w:pPr>
      <w:r>
        <w:rPr>
          <w:rFonts w:ascii="Calibri" w:hAnsi="Calibri"/>
          <w:b w:val="0"/>
          <w:i w:val="0"/>
          <w:color w:val="3C3C3C"/>
          <w:sz w:val="20"/>
        </w:rPr>
        <w:t>Le solde de chaque compte est affiché dans sa devise native ET converti dans la devise de référence pour le cumul global.</w:t>
      </w:r>
    </w:p>
    <w:p>
      <w:pPr>
        <w:pStyle w:val="ListBullet"/>
        <w:spacing w:after="60"/>
        <w:ind w:left="454"/>
      </w:pPr>
      <w:r>
        <w:rPr>
          <w:rFonts w:ascii="Calibri" w:hAnsi="Calibri"/>
          <w:b w:val="0"/>
          <w:i w:val="0"/>
          <w:color w:val="3C3C3C"/>
          <w:sz w:val="20"/>
        </w:rPr>
        <w:t>Les virements entre comptes dans des devises différentes appliquent le taux du jour et mémorisent ce taux dans la transaction de virement (Premium).</w:t>
      </w:r>
    </w:p>
    <w:p>
      <w:pPr>
        <w:spacing w:before="120" w:after="40"/>
      </w:pPr>
      <w:r>
        <w:rPr>
          <w:rFonts w:ascii="Calibri" w:hAnsi="Calibri"/>
          <w:b/>
          <w:i w:val="0"/>
          <w:color w:val="00897B"/>
          <w:sz w:val="20"/>
        </w:rPr>
        <w:t>Changement de devise de référence</w:t>
      </w:r>
    </w:p>
    <w:p>
      <w:pPr>
        <w:pStyle w:val="ListBullet"/>
        <w:spacing w:after="60"/>
        <w:ind w:left="454"/>
      </w:pPr>
      <w:r>
        <w:rPr>
          <w:rFonts w:ascii="Calibri" w:hAnsi="Calibri"/>
          <w:b w:val="0"/>
          <w:i w:val="0"/>
          <w:color w:val="3C3C3C"/>
          <w:sz w:val="20"/>
        </w:rPr>
        <w:t>L'utilisateur peut modifier sa devise de référence à tout moment depuis les paramètres du compte.</w:t>
      </w:r>
    </w:p>
    <w:p>
      <w:pPr>
        <w:pStyle w:val="ListBullet"/>
        <w:spacing w:after="60"/>
        <w:ind w:left="454"/>
      </w:pPr>
      <w:r>
        <w:rPr>
          <w:rFonts w:ascii="Calibri" w:hAnsi="Calibri"/>
          <w:b w:val="0"/>
          <w:i w:val="0"/>
          <w:color w:val="3C3C3C"/>
          <w:sz w:val="20"/>
        </w:rPr>
        <w:t>Lors du changement, tous les montants historiques sont recalculés et affichés dans la nouvelle devise de référence avec un avertissement : les taux appliqués aux transactions passées restent ceux d'origine (pas de recalcul rétroactif des taux).</w:t>
      </w:r>
    </w:p>
    <w:p>
      <w:pPr>
        <w:spacing w:before="200" w:after="60"/>
      </w:pPr>
      <w:r>
        <w:rPr>
          <w:rFonts w:ascii="Calibri" w:hAnsi="Calibri"/>
          <w:b/>
          <w:i w:val="0"/>
          <w:color w:val="1A73E8"/>
          <w:sz w:val="22"/>
        </w:rPr>
        <w:t>3.15  Liaison bancaire Open Banking (Premium)</w:t>
      </w:r>
    </w:p>
    <w:p>
      <w:pPr>
        <w:spacing w:before="0" w:after="100"/>
        <w:jc w:val="left"/>
      </w:pPr>
      <w:r>
        <w:rPr>
          <w:rFonts w:ascii="Calibri" w:hAnsi="Calibri"/>
          <w:b w:val="0"/>
          <w:i w:val="0"/>
          <w:color w:val="3C3C3C"/>
          <w:sz w:val="20"/>
        </w:rPr>
        <w:t>La liaison bancaire permet à l'utilisateur de connecter ses comptes bancaires réels pour que les transactions soient importées automatiquement, sans saisie manuelle. Cette fonctionnalité est réservée aux abonnés Premium en raison des coûts d'API des agrégateurs Open Banking.</w:t>
      </w:r>
    </w:p>
    <w:p>
      <w:pPr>
        <w:spacing w:before="120" w:after="40"/>
      </w:pPr>
      <w:r>
        <w:rPr>
          <w:rFonts w:ascii="Calibri" w:hAnsi="Calibri"/>
          <w:b/>
          <w:i w:val="0"/>
          <w:color w:val="00897B"/>
          <w:sz w:val="20"/>
        </w:rPr>
        <w:t>Connexion à une banque</w:t>
      </w:r>
    </w:p>
    <w:p>
      <w:pPr>
        <w:pStyle w:val="ListBullet"/>
        <w:spacing w:after="60"/>
        <w:ind w:left="454"/>
      </w:pPr>
      <w:r>
        <w:rPr>
          <w:rFonts w:ascii="Calibri" w:hAnsi="Calibri"/>
          <w:b w:val="0"/>
          <w:i w:val="0"/>
          <w:color w:val="3C3C3C"/>
          <w:sz w:val="20"/>
        </w:rPr>
        <w:t>L'utilisateur initie la connexion depuis la section « Mes comptes » en cliquant sur « Connecter ma banque ».</w:t>
      </w:r>
    </w:p>
    <w:p>
      <w:pPr>
        <w:pStyle w:val="ListBullet"/>
        <w:spacing w:after="60"/>
        <w:ind w:left="454"/>
      </w:pPr>
      <w:r>
        <w:rPr>
          <w:rFonts w:ascii="Calibri" w:hAnsi="Calibri"/>
          <w:b w:val="0"/>
          <w:i w:val="0"/>
          <w:color w:val="3C3C3C"/>
          <w:sz w:val="20"/>
        </w:rPr>
        <w:t>L'app redirige vers le flux OAuth sécurisé de l'agrégateur Open Banking (ex. : Tink, Budget Insight/Powens). L'utilisateur s'authentifie directement sur l'interface de sa banque — l'app ne voit jamais les identifiants bancaires.</w:t>
      </w:r>
    </w:p>
    <w:p>
      <w:pPr>
        <w:pStyle w:val="ListBullet"/>
        <w:spacing w:after="60"/>
        <w:ind w:left="454"/>
      </w:pPr>
      <w:r>
        <w:rPr>
          <w:rFonts w:ascii="Calibri" w:hAnsi="Calibri"/>
          <w:b w:val="0"/>
          <w:i w:val="0"/>
          <w:color w:val="3C3C3C"/>
          <w:sz w:val="20"/>
        </w:rPr>
        <w:t>Le consentement est accordé pour un accès en lecture seule (Account Information Service — AIS). Aucune initiation de paiement n'est effectuée dans le MVP.</w:t>
      </w:r>
    </w:p>
    <w:p>
      <w:pPr>
        <w:pStyle w:val="ListBullet"/>
        <w:spacing w:after="60"/>
        <w:ind w:left="454"/>
      </w:pPr>
      <w:r>
        <w:rPr>
          <w:rFonts w:ascii="Calibri" w:hAnsi="Calibri"/>
          <w:b w:val="0"/>
          <w:i w:val="0"/>
          <w:color w:val="3C3C3C"/>
          <w:sz w:val="20"/>
        </w:rPr>
        <w:t>À la première connexion, l'app importe l'historique des 90 derniers jours et les associe aux catégories existantes.</w:t>
      </w:r>
    </w:p>
    <w:p>
      <w:pPr>
        <w:pStyle w:val="ListBullet"/>
        <w:spacing w:after="60"/>
        <w:ind w:left="454"/>
      </w:pPr>
      <w:r>
        <w:rPr>
          <w:rFonts w:ascii="Calibri" w:hAnsi="Calibri"/>
          <w:b w:val="0"/>
          <w:i w:val="0"/>
          <w:color w:val="3C3C3C"/>
          <w:sz w:val="20"/>
        </w:rPr>
        <w:t>L'utilisateur peut connecter jusqu'à 3 banques simultanément en Premium.</w:t>
      </w:r>
    </w:p>
    <w:p>
      <w:pPr>
        <w:spacing w:before="120" w:after="40"/>
      </w:pPr>
      <w:r>
        <w:rPr>
          <w:rFonts w:ascii="Calibri" w:hAnsi="Calibri"/>
          <w:b/>
          <w:i w:val="0"/>
          <w:color w:val="00897B"/>
          <w:sz w:val="20"/>
        </w:rPr>
        <w:t>Synchronisation automatique</w:t>
      </w:r>
    </w:p>
    <w:p>
      <w:pPr>
        <w:pStyle w:val="ListBullet"/>
        <w:spacing w:after="60"/>
        <w:ind w:left="454"/>
      </w:pPr>
      <w:r>
        <w:rPr>
          <w:rFonts w:ascii="Calibri" w:hAnsi="Calibri"/>
          <w:b w:val="0"/>
          <w:i w:val="0"/>
          <w:color w:val="3C3C3C"/>
          <w:sz w:val="20"/>
        </w:rPr>
        <w:t>Une synchronisation est déclenchée automatiquement une fois par jour (nuit). L'utilisateur peut en déclencher une manuellement à tout moment.</w:t>
      </w:r>
    </w:p>
    <w:p>
      <w:pPr>
        <w:pStyle w:val="ListBullet"/>
        <w:spacing w:after="60"/>
        <w:ind w:left="454"/>
      </w:pPr>
      <w:r>
        <w:rPr>
          <w:rFonts w:ascii="Calibri" w:hAnsi="Calibri"/>
          <w:b w:val="0"/>
          <w:i w:val="0"/>
          <w:color w:val="3C3C3C"/>
          <w:sz w:val="20"/>
        </w:rPr>
        <w:t>Seules les nouvelles transactions depuis la dernière synchronisation sont récupérées.</w:t>
      </w:r>
    </w:p>
    <w:p>
      <w:pPr>
        <w:pStyle w:val="ListBullet"/>
        <w:spacing w:after="60"/>
        <w:ind w:left="454"/>
      </w:pPr>
      <w:r>
        <w:rPr>
          <w:rFonts w:ascii="Calibri" w:hAnsi="Calibri"/>
          <w:b w:val="0"/>
          <w:i w:val="0"/>
          <w:color w:val="3C3C3C"/>
          <w:sz w:val="20"/>
        </w:rPr>
        <w:t>Chaque transaction importée est rapprochée automatiquement des transactions saisies manuellement (même montant ± 0.01, même date ± 1 jour, même compte) pour éviter les doublons.</w:t>
      </w:r>
    </w:p>
    <w:p>
      <w:pPr>
        <w:pStyle w:val="ListBullet"/>
        <w:spacing w:after="60"/>
        <w:ind w:left="454"/>
      </w:pPr>
      <w:r>
        <w:rPr>
          <w:rFonts w:ascii="Calibri" w:hAnsi="Calibri"/>
          <w:b w:val="0"/>
          <w:i w:val="0"/>
          <w:color w:val="3C3C3C"/>
          <w:sz w:val="20"/>
        </w:rPr>
        <w:t>En cas de doublon probable détecté, une alerte non bloquante est affichée : l'utilisateur choisit de fusionner, ignorer ou conserver les deux.</w:t>
      </w:r>
    </w:p>
    <w:p>
      <w:pPr>
        <w:spacing w:before="120" w:after="40"/>
      </w:pPr>
      <w:r>
        <w:rPr>
          <w:rFonts w:ascii="Calibri" w:hAnsi="Calibri"/>
          <w:b/>
          <w:i w:val="0"/>
          <w:color w:val="00897B"/>
          <w:sz w:val="20"/>
        </w:rPr>
        <w:t>Catégorisation automatique</w:t>
      </w:r>
    </w:p>
    <w:p>
      <w:pPr>
        <w:pStyle w:val="ListBullet"/>
        <w:spacing w:after="60"/>
        <w:ind w:left="454"/>
      </w:pPr>
      <w:r>
        <w:rPr>
          <w:rFonts w:ascii="Calibri" w:hAnsi="Calibri"/>
          <w:b w:val="0"/>
          <w:i w:val="0"/>
          <w:color w:val="3C3C3C"/>
          <w:sz w:val="20"/>
        </w:rPr>
        <w:t>Les transactions importées sont catégorisées automatiquement selon le nom du commerçant (règles basées sur le libellé bancaire + apprentissage des choix précédents de l'utilisateur).</w:t>
      </w:r>
    </w:p>
    <w:p>
      <w:pPr>
        <w:pStyle w:val="ListBullet"/>
        <w:spacing w:after="60"/>
        <w:ind w:left="454"/>
      </w:pPr>
      <w:r>
        <w:rPr>
          <w:rFonts w:ascii="Calibri" w:hAnsi="Calibri"/>
          <w:b w:val="0"/>
          <w:i w:val="0"/>
          <w:color w:val="3C3C3C"/>
          <w:sz w:val="20"/>
        </w:rPr>
        <w:t>L'utilisateur peut corriger la catégorie d'une transaction importée. L'app mémorise cette correction pour les prochaines transactions du même commerçant.</w:t>
      </w:r>
    </w:p>
    <w:p>
      <w:pPr>
        <w:pStyle w:val="ListBullet"/>
        <w:spacing w:after="60"/>
        <w:ind w:left="454"/>
      </w:pPr>
      <w:r>
        <w:rPr>
          <w:rFonts w:ascii="Calibri" w:hAnsi="Calibri"/>
          <w:b w:val="0"/>
          <w:i w:val="0"/>
          <w:color w:val="3C3C3C"/>
          <w:sz w:val="20"/>
        </w:rPr>
        <w:t>Les transactions importées non reconnues sont marquées « À catégoriser » et remontent en priorité sur le tableau de bord.</w:t>
      </w:r>
    </w:p>
    <w:p>
      <w:pPr>
        <w:spacing w:before="120" w:after="40"/>
      </w:pPr>
      <w:r>
        <w:rPr>
          <w:rFonts w:ascii="Calibri" w:hAnsi="Calibri"/>
          <w:b/>
          <w:i w:val="0"/>
          <w:color w:val="00897B"/>
          <w:sz w:val="20"/>
        </w:rPr>
        <w:t>Gestion des connexions</w:t>
      </w:r>
    </w:p>
    <w:p>
      <w:pPr>
        <w:pStyle w:val="ListBullet"/>
        <w:spacing w:after="60"/>
        <w:ind w:left="454"/>
      </w:pPr>
      <w:r>
        <w:rPr>
          <w:rFonts w:ascii="Calibri" w:hAnsi="Calibri"/>
          <w:b w:val="0"/>
          <w:i w:val="0"/>
          <w:color w:val="3C3C3C"/>
          <w:sz w:val="20"/>
        </w:rPr>
        <w:t>Un tableau de bord « Mes connexions bancaires » affiche l'état de chaque lien (actif, expiré, erreur), la date de la dernière synchronisation et le nombre de transactions importées.</w:t>
      </w:r>
    </w:p>
    <w:p>
      <w:pPr>
        <w:pStyle w:val="ListBullet"/>
        <w:spacing w:after="60"/>
        <w:ind w:left="454"/>
      </w:pPr>
      <w:r>
        <w:rPr>
          <w:rFonts w:ascii="Calibri" w:hAnsi="Calibri"/>
          <w:b w:val="0"/>
          <w:i w:val="0"/>
          <w:color w:val="3C3C3C"/>
          <w:sz w:val="20"/>
        </w:rPr>
        <w:t>En cas d'expiration du token OAuth (généralement 90 jours selon DSP2), l'utilisateur reçoit une notification in-app et par e-mail pour renouveler son consentement.</w:t>
      </w:r>
    </w:p>
    <w:p>
      <w:pPr>
        <w:pStyle w:val="ListBullet"/>
        <w:spacing w:after="60"/>
        <w:ind w:left="454"/>
      </w:pPr>
      <w:r>
        <w:rPr>
          <w:rFonts w:ascii="Calibri" w:hAnsi="Calibri"/>
          <w:b w:val="0"/>
          <w:i w:val="0"/>
          <w:color w:val="3C3C3C"/>
          <w:sz w:val="20"/>
        </w:rPr>
        <w:t>L'utilisateur peut déconnecter une banque à tout moment. Les transactions déjà importées sont conservées dans l'historique. Le token est révoqué auprès de l'agrégateur.</w:t>
      </w:r>
    </w:p>
    <w:p>
      <w:pPr>
        <w:pStyle w:val="ListBullet"/>
        <w:spacing w:after="60"/>
        <w:ind w:left="454"/>
      </w:pPr>
      <w:r>
        <w:rPr>
          <w:rFonts w:ascii="Calibri" w:hAnsi="Calibri"/>
          <w:b w:val="0"/>
          <w:i w:val="0"/>
          <w:color w:val="3C3C3C"/>
          <w:sz w:val="20"/>
        </w:rPr>
        <w:t>La suppression du compte utilisateur (RGPD) révoque automatiquement tous les tokens bancaires actifs.</w:t>
      </w:r>
    </w:p>
    <w:p>
      <w:pPr>
        <w:spacing w:before="120" w:after="40"/>
      </w:pPr>
      <w:r>
        <w:rPr>
          <w:rFonts w:ascii="Calibri" w:hAnsi="Calibri"/>
          <w:b/>
          <w:i w:val="0"/>
          <w:color w:val="00897B"/>
          <w:sz w:val="20"/>
        </w:rPr>
        <w:t>Sécurité &amp; conformité</w:t>
      </w:r>
    </w:p>
    <w:p>
      <w:pPr>
        <w:pStyle w:val="ListBullet"/>
        <w:spacing w:after="60"/>
        <w:ind w:left="454"/>
      </w:pPr>
      <w:r>
        <w:rPr>
          <w:rFonts w:ascii="Calibri" w:hAnsi="Calibri"/>
          <w:b w:val="0"/>
          <w:i w:val="0"/>
          <w:color w:val="3C3C3C"/>
          <w:sz w:val="20"/>
        </w:rPr>
        <w:t>Conformité DSP2 (Directive européenne sur les services de paiement) : accès AIS uniquement, consentement explicite, durée limitée.</w:t>
      </w:r>
    </w:p>
    <w:p>
      <w:pPr>
        <w:pStyle w:val="ListBullet"/>
        <w:spacing w:after="60"/>
        <w:ind w:left="454"/>
      </w:pPr>
      <w:r>
        <w:rPr>
          <w:rFonts w:ascii="Calibri" w:hAnsi="Calibri"/>
          <w:b w:val="0"/>
          <w:i w:val="0"/>
          <w:color w:val="3C3C3C"/>
          <w:sz w:val="20"/>
        </w:rPr>
        <w:t>Aucune donnée bancaire brute (RIB, IBAN complet, identifiants) n'est stockée par l'application.</w:t>
      </w:r>
    </w:p>
    <w:p>
      <w:pPr>
        <w:pStyle w:val="ListBullet"/>
        <w:spacing w:after="60"/>
        <w:ind w:left="454"/>
      </w:pPr>
      <w:r>
        <w:rPr>
          <w:rFonts w:ascii="Calibri" w:hAnsi="Calibri"/>
          <w:b w:val="0"/>
          <w:i w:val="0"/>
          <w:color w:val="3C3C3C"/>
          <w:sz w:val="20"/>
        </w:rPr>
        <w:t>Les tokens d'accès sont chiffrés au repos (AES-256) et stockés côté serveur, jamais côté client.</w:t>
      </w:r>
    </w:p>
    <w:p>
      <w:pPr>
        <w:pStyle w:val="ListBullet"/>
        <w:spacing w:after="60"/>
        <w:ind w:left="454"/>
      </w:pPr>
      <w:r>
        <w:rPr>
          <w:rFonts w:ascii="Calibri" w:hAnsi="Calibri"/>
          <w:b w:val="0"/>
          <w:i w:val="0"/>
          <w:color w:val="3C3C3C"/>
          <w:sz w:val="20"/>
        </w:rPr>
        <w:t>L'agrégateur Open Banking retenu (à définir — voir PO-11) est responsable de la certification AISP auprès de l'ACPR ou équivalent.</w:t>
      </w:r>
    </w:p>
    <w:p>
      <w:r>
        <w:br w:type="page"/>
      </w:r>
    </w:p>
    <w:p>
      <w:pPr>
        <w:spacing w:before="320" w:after="80"/>
        <w:pBdr>
          <w:bottom w:val="single" w:sz="8" w:space="4" w:color="0F2D52"/>
        </w:pBdr>
      </w:pPr>
      <w:r>
        <w:rPr>
          <w:rFonts w:ascii="Calibri" w:hAnsi="Calibri"/>
          <w:b/>
          <w:i w:val="0"/>
          <w:color w:val="0F2D52"/>
          <w:sz w:val="28"/>
        </w:rPr>
        <w:t>4. Règles métier</w:t>
      </w:r>
    </w:p>
    <w:tbl>
      <w:tblPr>
        <w:tblStyle w:val="TableGrid"/>
        <w:tblW w:type="auto" w:w="0"/>
        <w:tblLook w:firstColumn="1" w:firstRow="1" w:lastColumn="0" w:lastRow="0" w:noHBand="0" w:noVBand="1" w:val="04A0"/>
      </w:tblPr>
      <w:tblGrid>
        <w:gridCol w:w="4703"/>
        <w:gridCol w:w="4703"/>
      </w:tblGrid>
      <w:tr>
        <w:tc>
          <w:tcPr>
            <w:tcW w:type="dxa" w:w="1134"/>
            <w:shd w:val="clear" w:color="auto" w:fill="0F2D52"/>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i w:val="0"/>
                <w:color w:val="FFFFFF"/>
                <w:sz w:val="18"/>
              </w:rPr>
              <w:t>Réf.</w:t>
            </w:r>
          </w:p>
        </w:tc>
        <w:tc>
          <w:tcPr>
            <w:tcW w:type="dxa" w:w="8220"/>
            <w:shd w:val="clear" w:color="auto" w:fill="0F2D52"/>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i w:val="0"/>
                <w:color w:val="FFFFFF"/>
                <w:sz w:val="18"/>
              </w:rPr>
              <w:t>Règle</w:t>
            </w:r>
          </w:p>
        </w:tc>
      </w:tr>
      <w:tr>
        <w:tc>
          <w:tcPr>
            <w:tcW w:type="dxa" w:w="1134"/>
            <w:tcBorders>
              <w:top w:val="single" w:sz="4" w:space="0" w:color="D0DCE8"/>
              <w:left w:val="single" w:sz="4" w:space="0" w:color="D0DCE8"/>
              <w:bottom w:val="single" w:sz="4" w:space="0" w:color="D0DCE8"/>
              <w:right w:val="single" w:sz="4" w:space="0" w:color="D0DCE8"/>
            </w:tcBorders>
            <w:shd w:val="clear" w:color="auto" w:fill="F5F9FF"/>
          </w:tcPr>
          <w:p>
            <w:pPr>
              <w:spacing w:before="80" w:after="80"/>
            </w:pPr>
            <w:r/>
            <w:r>
              <w:rPr>
                <w:rFonts w:ascii="Calibri" w:hAnsi="Calibri"/>
                <w:b/>
                <w:i w:val="0"/>
                <w:color w:val="1A73E8"/>
                <w:sz w:val="18"/>
              </w:rPr>
              <w:t>RG-01</w:t>
            </w:r>
          </w:p>
        </w:tc>
        <w:tc>
          <w:tcPr>
            <w:tcW w:type="dxa" w:w="8220"/>
            <w:tcBorders>
              <w:top w:val="single" w:sz="4" w:space="0" w:color="D0DCE8"/>
              <w:left w:val="single" w:sz="4" w:space="0" w:color="D0DCE8"/>
              <w:bottom w:val="single" w:sz="4" w:space="0" w:color="D0DCE8"/>
              <w:right w:val="single" w:sz="4" w:space="0" w:color="D0DCE8"/>
            </w:tcBorders>
            <w:shd w:val="clear" w:color="auto" w:fill="F5F9FF"/>
          </w:tcPr>
          <w:p>
            <w:pPr>
              <w:spacing w:before="80" w:after="80"/>
            </w:pPr>
            <w:r/>
            <w:r>
              <w:rPr>
                <w:rFonts w:ascii="Calibri" w:hAnsi="Calibri"/>
                <w:b w:val="0"/>
                <w:i w:val="0"/>
                <w:color w:val="3C3C3C"/>
                <w:sz w:val="18"/>
              </w:rPr>
              <w:t>Une transaction doit avoir : titre, montant &gt; 0, date ≤ aujourd'hui, catégorie, compte.</w:t>
            </w:r>
          </w:p>
        </w:tc>
      </w:tr>
      <w:tr>
        <w:tc>
          <w:tcPr>
            <w:tcW w:type="dxa" w:w="1134"/>
            <w:tcBorders>
              <w:top w:val="single" w:sz="4" w:space="0" w:color="D0DCE8"/>
              <w:left w:val="single" w:sz="4" w:space="0" w:color="D0DCE8"/>
              <w:bottom w:val="single" w:sz="4" w:space="0" w:color="D0DCE8"/>
              <w:right w:val="single" w:sz="4" w:space="0" w:color="D0DCE8"/>
            </w:tcBorders>
            <w:shd w:val="clear" w:color="auto" w:fill="FFFFFF"/>
          </w:tcPr>
          <w:p>
            <w:pPr>
              <w:spacing w:before="80" w:after="80"/>
            </w:pPr>
            <w:r/>
            <w:r>
              <w:rPr>
                <w:rFonts w:ascii="Calibri" w:hAnsi="Calibri"/>
                <w:b/>
                <w:i w:val="0"/>
                <w:color w:val="1A73E8"/>
                <w:sz w:val="18"/>
              </w:rPr>
              <w:t>RG-02</w:t>
            </w:r>
          </w:p>
        </w:tc>
        <w:tc>
          <w:tcPr>
            <w:tcW w:type="dxa" w:w="8220"/>
            <w:tcBorders>
              <w:top w:val="single" w:sz="4" w:space="0" w:color="D0DCE8"/>
              <w:left w:val="single" w:sz="4" w:space="0" w:color="D0DCE8"/>
              <w:bottom w:val="single" w:sz="4" w:space="0" w:color="D0DCE8"/>
              <w:right w:val="single" w:sz="4" w:space="0" w:color="D0DCE8"/>
            </w:tcBorders>
            <w:shd w:val="clear" w:color="auto" w:fill="FFFFFF"/>
          </w:tcPr>
          <w:p>
            <w:pPr>
              <w:spacing w:before="80" w:after="80"/>
            </w:pPr>
            <w:r/>
            <w:r>
              <w:rPr>
                <w:rFonts w:ascii="Calibri" w:hAnsi="Calibri"/>
                <w:b w:val="0"/>
                <w:i w:val="0"/>
                <w:color w:val="3C3C3C"/>
                <w:sz w:val="18"/>
              </w:rPr>
              <w:t>Un virement entre comptes est comptabilisé comme neutre sur les budgets et le cash flow.</w:t>
            </w:r>
          </w:p>
        </w:tc>
      </w:tr>
      <w:tr>
        <w:tc>
          <w:tcPr>
            <w:tcW w:type="dxa" w:w="1134"/>
            <w:tcBorders>
              <w:top w:val="single" w:sz="4" w:space="0" w:color="D0DCE8"/>
              <w:left w:val="single" w:sz="4" w:space="0" w:color="D0DCE8"/>
              <w:bottom w:val="single" w:sz="4" w:space="0" w:color="D0DCE8"/>
              <w:right w:val="single" w:sz="4" w:space="0" w:color="D0DCE8"/>
            </w:tcBorders>
            <w:shd w:val="clear" w:color="auto" w:fill="F5F9FF"/>
          </w:tcPr>
          <w:p>
            <w:pPr>
              <w:spacing w:before="80" w:after="80"/>
            </w:pPr>
            <w:r/>
            <w:r>
              <w:rPr>
                <w:rFonts w:ascii="Calibri" w:hAnsi="Calibri"/>
                <w:b/>
                <w:i w:val="0"/>
                <w:color w:val="1A73E8"/>
                <w:sz w:val="18"/>
              </w:rPr>
              <w:t>RG-03</w:t>
            </w:r>
          </w:p>
        </w:tc>
        <w:tc>
          <w:tcPr>
            <w:tcW w:type="dxa" w:w="8220"/>
            <w:tcBorders>
              <w:top w:val="single" w:sz="4" w:space="0" w:color="D0DCE8"/>
              <w:left w:val="single" w:sz="4" w:space="0" w:color="D0DCE8"/>
              <w:bottom w:val="single" w:sz="4" w:space="0" w:color="D0DCE8"/>
              <w:right w:val="single" w:sz="4" w:space="0" w:color="D0DCE8"/>
            </w:tcBorders>
            <w:shd w:val="clear" w:color="auto" w:fill="F5F9FF"/>
          </w:tcPr>
          <w:p>
            <w:pPr>
              <w:spacing w:before="80" w:after="80"/>
            </w:pPr>
            <w:r/>
            <w:r>
              <w:rPr>
                <w:rFonts w:ascii="Calibri" w:hAnsi="Calibri"/>
                <w:b w:val="0"/>
                <w:i w:val="0"/>
                <w:color w:val="3C3C3C"/>
                <w:sz w:val="18"/>
              </w:rPr>
              <w:t>Lorsqu'une facture planifiée est validée comme payée, elle génère une dépense réelle sur le compte et la date indiqués.</w:t>
            </w:r>
          </w:p>
        </w:tc>
      </w:tr>
      <w:tr>
        <w:tc>
          <w:tcPr>
            <w:tcW w:type="dxa" w:w="1134"/>
            <w:tcBorders>
              <w:top w:val="single" w:sz="4" w:space="0" w:color="D0DCE8"/>
              <w:left w:val="single" w:sz="4" w:space="0" w:color="D0DCE8"/>
              <w:bottom w:val="single" w:sz="4" w:space="0" w:color="D0DCE8"/>
              <w:right w:val="single" w:sz="4" w:space="0" w:color="D0DCE8"/>
            </w:tcBorders>
            <w:shd w:val="clear" w:color="auto" w:fill="FFFFFF"/>
          </w:tcPr>
          <w:p>
            <w:pPr>
              <w:spacing w:before="80" w:after="80"/>
            </w:pPr>
            <w:r/>
            <w:r>
              <w:rPr>
                <w:rFonts w:ascii="Calibri" w:hAnsi="Calibri"/>
                <w:b/>
                <w:i w:val="0"/>
                <w:color w:val="1A73E8"/>
                <w:sz w:val="18"/>
              </w:rPr>
              <w:t>RG-04</w:t>
            </w:r>
          </w:p>
        </w:tc>
        <w:tc>
          <w:tcPr>
            <w:tcW w:type="dxa" w:w="8220"/>
            <w:tcBorders>
              <w:top w:val="single" w:sz="4" w:space="0" w:color="D0DCE8"/>
              <w:left w:val="single" w:sz="4" w:space="0" w:color="D0DCE8"/>
              <w:bottom w:val="single" w:sz="4" w:space="0" w:color="D0DCE8"/>
              <w:right w:val="single" w:sz="4" w:space="0" w:color="D0DCE8"/>
            </w:tcBorders>
            <w:shd w:val="clear" w:color="auto" w:fill="FFFFFF"/>
          </w:tcPr>
          <w:p>
            <w:pPr>
              <w:spacing w:before="80" w:after="80"/>
            </w:pPr>
            <w:r/>
            <w:r>
              <w:rPr>
                <w:rFonts w:ascii="Calibri" w:hAnsi="Calibri"/>
                <w:b w:val="0"/>
                <w:i w:val="0"/>
                <w:color w:val="3C3C3C"/>
                <w:sz w:val="18"/>
              </w:rPr>
              <w:t>Les récurrences passées sont conservées immuablement même après suppression de la règle de récurrence.</w:t>
            </w:r>
          </w:p>
        </w:tc>
      </w:tr>
      <w:tr>
        <w:tc>
          <w:tcPr>
            <w:tcW w:type="dxa" w:w="1134"/>
            <w:tcBorders>
              <w:top w:val="single" w:sz="4" w:space="0" w:color="D0DCE8"/>
              <w:left w:val="single" w:sz="4" w:space="0" w:color="D0DCE8"/>
              <w:bottom w:val="single" w:sz="4" w:space="0" w:color="D0DCE8"/>
              <w:right w:val="single" w:sz="4" w:space="0" w:color="D0DCE8"/>
            </w:tcBorders>
            <w:shd w:val="clear" w:color="auto" w:fill="F5F9FF"/>
          </w:tcPr>
          <w:p>
            <w:pPr>
              <w:spacing w:before="80" w:after="80"/>
            </w:pPr>
            <w:r/>
            <w:r>
              <w:rPr>
                <w:rFonts w:ascii="Calibri" w:hAnsi="Calibri"/>
                <w:b/>
                <w:i w:val="0"/>
                <w:color w:val="1A73E8"/>
                <w:sz w:val="18"/>
              </w:rPr>
              <w:t>RG-05</w:t>
            </w:r>
          </w:p>
        </w:tc>
        <w:tc>
          <w:tcPr>
            <w:tcW w:type="dxa" w:w="8220"/>
            <w:tcBorders>
              <w:top w:val="single" w:sz="4" w:space="0" w:color="D0DCE8"/>
              <w:left w:val="single" w:sz="4" w:space="0" w:color="D0DCE8"/>
              <w:bottom w:val="single" w:sz="4" w:space="0" w:color="D0DCE8"/>
              <w:right w:val="single" w:sz="4" w:space="0" w:color="D0DCE8"/>
            </w:tcBorders>
            <w:shd w:val="clear" w:color="auto" w:fill="F5F9FF"/>
          </w:tcPr>
          <w:p>
            <w:pPr>
              <w:spacing w:before="80" w:after="80"/>
            </w:pPr>
            <w:r/>
            <w:r>
              <w:rPr>
                <w:rFonts w:ascii="Calibri" w:hAnsi="Calibri"/>
                <w:b w:val="0"/>
                <w:i w:val="0"/>
                <w:color w:val="3C3C3C"/>
                <w:sz w:val="18"/>
              </w:rPr>
              <w:t>Le taux de change appliqué à une transaction en devises étrangères est figé à la date de saisie (fraîcheur max 24 h) et ne peut être modifié a posteriori. Il est affiché à l'utilisateur lors de la saisie.</w:t>
            </w:r>
          </w:p>
        </w:tc>
      </w:tr>
      <w:tr>
        <w:tc>
          <w:tcPr>
            <w:tcW w:type="dxa" w:w="1134"/>
            <w:tcBorders>
              <w:top w:val="single" w:sz="4" w:space="0" w:color="D0DCE8"/>
              <w:left w:val="single" w:sz="4" w:space="0" w:color="D0DCE8"/>
              <w:bottom w:val="single" w:sz="4" w:space="0" w:color="D0DCE8"/>
              <w:right w:val="single" w:sz="4" w:space="0" w:color="D0DCE8"/>
            </w:tcBorders>
            <w:shd w:val="clear" w:color="auto" w:fill="FFFFFF"/>
          </w:tcPr>
          <w:p>
            <w:pPr>
              <w:spacing w:before="80" w:after="80"/>
            </w:pPr>
            <w:r/>
            <w:r>
              <w:rPr>
                <w:rFonts w:ascii="Calibri" w:hAnsi="Calibri"/>
                <w:b/>
                <w:i w:val="0"/>
                <w:color w:val="1A73E8"/>
                <w:sz w:val="18"/>
              </w:rPr>
              <w:t>RG-06</w:t>
            </w:r>
          </w:p>
        </w:tc>
        <w:tc>
          <w:tcPr>
            <w:tcW w:type="dxa" w:w="8220"/>
            <w:tcBorders>
              <w:top w:val="single" w:sz="4" w:space="0" w:color="D0DCE8"/>
              <w:left w:val="single" w:sz="4" w:space="0" w:color="D0DCE8"/>
              <w:bottom w:val="single" w:sz="4" w:space="0" w:color="D0DCE8"/>
              <w:right w:val="single" w:sz="4" w:space="0" w:color="D0DCE8"/>
            </w:tcBorders>
            <w:shd w:val="clear" w:color="auto" w:fill="FFFFFF"/>
          </w:tcPr>
          <w:p>
            <w:pPr>
              <w:spacing w:before="80" w:after="80"/>
            </w:pPr>
            <w:r/>
            <w:r>
              <w:rPr>
                <w:rFonts w:ascii="Calibri" w:hAnsi="Calibri"/>
                <w:b w:val="0"/>
                <w:i w:val="0"/>
                <w:color w:val="3C3C3C"/>
                <w:sz w:val="18"/>
              </w:rPr>
              <w:t>La suppression d'une catégorie exige le reclassement de toutes ses transactions ; elle ne peut être supprimée tant que des transactions y sont rattachées.</w:t>
            </w:r>
          </w:p>
        </w:tc>
      </w:tr>
      <w:tr>
        <w:tc>
          <w:tcPr>
            <w:tcW w:type="dxa" w:w="1134"/>
            <w:tcBorders>
              <w:top w:val="single" w:sz="4" w:space="0" w:color="D0DCE8"/>
              <w:left w:val="single" w:sz="4" w:space="0" w:color="D0DCE8"/>
              <w:bottom w:val="single" w:sz="4" w:space="0" w:color="D0DCE8"/>
              <w:right w:val="single" w:sz="4" w:space="0" w:color="D0DCE8"/>
            </w:tcBorders>
            <w:shd w:val="clear" w:color="auto" w:fill="F5F9FF"/>
          </w:tcPr>
          <w:p>
            <w:pPr>
              <w:spacing w:before="80" w:after="80"/>
            </w:pPr>
            <w:r/>
            <w:r>
              <w:rPr>
                <w:rFonts w:ascii="Calibri" w:hAnsi="Calibri"/>
                <w:b/>
                <w:i w:val="0"/>
                <w:color w:val="1A73E8"/>
                <w:sz w:val="18"/>
              </w:rPr>
              <w:t>RG-07</w:t>
            </w:r>
          </w:p>
        </w:tc>
        <w:tc>
          <w:tcPr>
            <w:tcW w:type="dxa" w:w="8220"/>
            <w:tcBorders>
              <w:top w:val="single" w:sz="4" w:space="0" w:color="D0DCE8"/>
              <w:left w:val="single" w:sz="4" w:space="0" w:color="D0DCE8"/>
              <w:bottom w:val="single" w:sz="4" w:space="0" w:color="D0DCE8"/>
              <w:right w:val="single" w:sz="4" w:space="0" w:color="D0DCE8"/>
            </w:tcBorders>
            <w:shd w:val="clear" w:color="auto" w:fill="F5F9FF"/>
          </w:tcPr>
          <w:p>
            <w:pPr>
              <w:spacing w:before="80" w:after="80"/>
            </w:pPr>
            <w:r/>
            <w:r>
              <w:rPr>
                <w:rFonts w:ascii="Calibri" w:hAnsi="Calibri"/>
                <w:b w:val="0"/>
                <w:i w:val="0"/>
                <w:color w:val="3C3C3C"/>
                <w:sz w:val="18"/>
              </w:rPr>
              <w:t>Un budget mensuel ne peut pas être fixé en dessous du total déjà dépensé dans la catégorie pour le mois en cours (avertissement non bloquant affiché).</w:t>
            </w:r>
          </w:p>
        </w:tc>
      </w:tr>
      <w:tr>
        <w:tc>
          <w:tcPr>
            <w:tcW w:type="dxa" w:w="1134"/>
            <w:tcBorders>
              <w:top w:val="single" w:sz="4" w:space="0" w:color="D0DCE8"/>
              <w:left w:val="single" w:sz="4" w:space="0" w:color="D0DCE8"/>
              <w:bottom w:val="single" w:sz="4" w:space="0" w:color="D0DCE8"/>
              <w:right w:val="single" w:sz="4" w:space="0" w:color="D0DCE8"/>
            </w:tcBorders>
            <w:shd w:val="clear" w:color="auto" w:fill="FFFFFF"/>
          </w:tcPr>
          <w:p>
            <w:pPr>
              <w:spacing w:before="80" w:after="80"/>
            </w:pPr>
            <w:r/>
            <w:r>
              <w:rPr>
                <w:rFonts w:ascii="Calibri" w:hAnsi="Calibri"/>
                <w:b/>
                <w:i w:val="0"/>
                <w:color w:val="1A73E8"/>
                <w:sz w:val="18"/>
              </w:rPr>
              <w:t>RG-08</w:t>
            </w:r>
          </w:p>
        </w:tc>
        <w:tc>
          <w:tcPr>
            <w:tcW w:type="dxa" w:w="8220"/>
            <w:tcBorders>
              <w:top w:val="single" w:sz="4" w:space="0" w:color="D0DCE8"/>
              <w:left w:val="single" w:sz="4" w:space="0" w:color="D0DCE8"/>
              <w:bottom w:val="single" w:sz="4" w:space="0" w:color="D0DCE8"/>
              <w:right w:val="single" w:sz="4" w:space="0" w:color="D0DCE8"/>
            </w:tcBorders>
            <w:shd w:val="clear" w:color="auto" w:fill="FFFFFF"/>
          </w:tcPr>
          <w:p>
            <w:pPr>
              <w:spacing w:before="80" w:after="80"/>
            </w:pPr>
            <w:r/>
            <w:r>
              <w:rPr>
                <w:rFonts w:ascii="Calibri" w:hAnsi="Calibri"/>
                <w:b w:val="0"/>
                <w:i w:val="0"/>
                <w:color w:val="3C3C3C"/>
                <w:sz w:val="18"/>
              </w:rPr>
              <w:t>L'alerte prédictive est calculée quotidiennement : si (dépenses actuelles / jours écoulés) × jours restants &gt; budget − dépenses actuelles, l'alerte est déclenchée.</w:t>
            </w:r>
          </w:p>
        </w:tc>
      </w:tr>
      <w:tr>
        <w:tc>
          <w:tcPr>
            <w:tcW w:type="dxa" w:w="1134"/>
            <w:tcBorders>
              <w:top w:val="single" w:sz="4" w:space="0" w:color="D0DCE8"/>
              <w:left w:val="single" w:sz="4" w:space="0" w:color="D0DCE8"/>
              <w:bottom w:val="single" w:sz="4" w:space="0" w:color="D0DCE8"/>
              <w:right w:val="single" w:sz="4" w:space="0" w:color="D0DCE8"/>
            </w:tcBorders>
            <w:shd w:val="clear" w:color="auto" w:fill="F5F9FF"/>
          </w:tcPr>
          <w:p>
            <w:pPr>
              <w:spacing w:before="80" w:after="80"/>
            </w:pPr>
            <w:r/>
            <w:r>
              <w:rPr>
                <w:rFonts w:ascii="Calibri" w:hAnsi="Calibri"/>
                <w:b/>
                <w:i w:val="0"/>
                <w:color w:val="1A73E8"/>
                <w:sz w:val="18"/>
              </w:rPr>
              <w:t>RG-09</w:t>
            </w:r>
          </w:p>
        </w:tc>
        <w:tc>
          <w:tcPr>
            <w:tcW w:type="dxa" w:w="8220"/>
            <w:tcBorders>
              <w:top w:val="single" w:sz="4" w:space="0" w:color="D0DCE8"/>
              <w:left w:val="single" w:sz="4" w:space="0" w:color="D0DCE8"/>
              <w:bottom w:val="single" w:sz="4" w:space="0" w:color="D0DCE8"/>
              <w:right w:val="single" w:sz="4" w:space="0" w:color="D0DCE8"/>
            </w:tcBorders>
            <w:shd w:val="clear" w:color="auto" w:fill="F5F9FF"/>
          </w:tcPr>
          <w:p>
            <w:pPr>
              <w:spacing w:before="80" w:after="80"/>
            </w:pPr>
            <w:r/>
            <w:r>
              <w:rPr>
                <w:rFonts w:ascii="Calibri" w:hAnsi="Calibri"/>
                <w:b w:val="0"/>
                <w:i w:val="0"/>
                <w:color w:val="3C3C3C"/>
                <w:sz w:val="18"/>
              </w:rPr>
              <w:t>Un split de transaction doit toujours totaliser 100 % du montant de la transaction d'origine.</w:t>
            </w:r>
          </w:p>
        </w:tc>
      </w:tr>
      <w:tr>
        <w:tc>
          <w:tcPr>
            <w:tcW w:type="dxa" w:w="1134"/>
            <w:tcBorders>
              <w:top w:val="single" w:sz="4" w:space="0" w:color="D0DCE8"/>
              <w:left w:val="single" w:sz="4" w:space="0" w:color="D0DCE8"/>
              <w:bottom w:val="single" w:sz="4" w:space="0" w:color="D0DCE8"/>
              <w:right w:val="single" w:sz="4" w:space="0" w:color="D0DCE8"/>
            </w:tcBorders>
            <w:shd w:val="clear" w:color="auto" w:fill="FFFFFF"/>
          </w:tcPr>
          <w:p>
            <w:pPr>
              <w:spacing w:before="80" w:after="80"/>
            </w:pPr>
            <w:r/>
            <w:r>
              <w:rPr>
                <w:rFonts w:ascii="Calibri" w:hAnsi="Calibri"/>
                <w:b/>
                <w:i w:val="0"/>
                <w:color w:val="1A73E8"/>
                <w:sz w:val="18"/>
              </w:rPr>
              <w:t>RG-10</w:t>
            </w:r>
          </w:p>
        </w:tc>
        <w:tc>
          <w:tcPr>
            <w:tcW w:type="dxa" w:w="8220"/>
            <w:tcBorders>
              <w:top w:val="single" w:sz="4" w:space="0" w:color="D0DCE8"/>
              <w:left w:val="single" w:sz="4" w:space="0" w:color="D0DCE8"/>
              <w:bottom w:val="single" w:sz="4" w:space="0" w:color="D0DCE8"/>
              <w:right w:val="single" w:sz="4" w:space="0" w:color="D0DCE8"/>
            </w:tcBorders>
            <w:shd w:val="clear" w:color="auto" w:fill="FFFFFF"/>
          </w:tcPr>
          <w:p>
            <w:pPr>
              <w:spacing w:before="80" w:after="80"/>
            </w:pPr>
            <w:r/>
            <w:r>
              <w:rPr>
                <w:rFonts w:ascii="Calibri" w:hAnsi="Calibri"/>
                <w:b w:val="0"/>
                <w:i w:val="0"/>
                <w:color w:val="3C3C3C"/>
                <w:sz w:val="18"/>
              </w:rPr>
              <w:t>L'import CSV ne crée pas de doublon si une transaction avec même date, montant, titre et compte existe déjà ; l'utilisateur est consulté avant toute création.</w:t>
            </w:r>
          </w:p>
        </w:tc>
      </w:tr>
      <w:tr>
        <w:tc>
          <w:tcPr>
            <w:tcW w:type="dxa" w:w="1134"/>
            <w:tcBorders>
              <w:top w:val="single" w:sz="4" w:space="0" w:color="D0DCE8"/>
              <w:left w:val="single" w:sz="4" w:space="0" w:color="D0DCE8"/>
              <w:bottom w:val="single" w:sz="4" w:space="0" w:color="D0DCE8"/>
              <w:right w:val="single" w:sz="4" w:space="0" w:color="D0DCE8"/>
            </w:tcBorders>
            <w:shd w:val="clear" w:color="auto" w:fill="F5F9FF"/>
          </w:tcPr>
          <w:p>
            <w:pPr>
              <w:spacing w:before="80" w:after="80"/>
            </w:pPr>
            <w:r/>
            <w:r>
              <w:rPr>
                <w:rFonts w:ascii="Calibri" w:hAnsi="Calibri"/>
                <w:b/>
                <w:i w:val="0"/>
                <w:color w:val="1A73E8"/>
                <w:sz w:val="18"/>
              </w:rPr>
              <w:t>RG-11</w:t>
            </w:r>
          </w:p>
        </w:tc>
        <w:tc>
          <w:tcPr>
            <w:tcW w:type="dxa" w:w="8220"/>
            <w:tcBorders>
              <w:top w:val="single" w:sz="4" w:space="0" w:color="D0DCE8"/>
              <w:left w:val="single" w:sz="4" w:space="0" w:color="D0DCE8"/>
              <w:bottom w:val="single" w:sz="4" w:space="0" w:color="D0DCE8"/>
              <w:right w:val="single" w:sz="4" w:space="0" w:color="D0DCE8"/>
            </w:tcBorders>
            <w:shd w:val="clear" w:color="auto" w:fill="F5F9FF"/>
          </w:tcPr>
          <w:p>
            <w:pPr>
              <w:spacing w:before="80" w:after="80"/>
            </w:pPr>
            <w:r/>
            <w:r>
              <w:rPr>
                <w:rFonts w:ascii="Calibri" w:hAnsi="Calibri"/>
                <w:b w:val="0"/>
                <w:i w:val="0"/>
                <w:color w:val="3C3C3C"/>
                <w:sz w:val="18"/>
              </w:rPr>
              <w:t>Le verrouillage PIN/biométrie s'active automatiquement après 2 minutes d'inactivité si l'option est activée par l'utilisateur.</w:t>
            </w:r>
          </w:p>
        </w:tc>
      </w:tr>
      <w:tr>
        <w:tc>
          <w:tcPr>
            <w:tcW w:type="dxa" w:w="1134"/>
            <w:tcBorders>
              <w:top w:val="single" w:sz="4" w:space="0" w:color="D0DCE8"/>
              <w:left w:val="single" w:sz="4" w:space="0" w:color="D0DCE8"/>
              <w:bottom w:val="single" w:sz="4" w:space="0" w:color="D0DCE8"/>
              <w:right w:val="single" w:sz="4" w:space="0" w:color="D0DCE8"/>
            </w:tcBorders>
            <w:shd w:val="clear" w:color="auto" w:fill="FFFFFF"/>
          </w:tcPr>
          <w:p>
            <w:pPr>
              <w:spacing w:before="80" w:after="80"/>
            </w:pPr>
            <w:r/>
            <w:r>
              <w:rPr>
                <w:rFonts w:ascii="Calibri" w:hAnsi="Calibri"/>
                <w:b/>
                <w:i w:val="0"/>
                <w:color w:val="1A73E8"/>
                <w:sz w:val="18"/>
              </w:rPr>
              <w:t>RG-12</w:t>
            </w:r>
          </w:p>
        </w:tc>
        <w:tc>
          <w:tcPr>
            <w:tcW w:type="dxa" w:w="8220"/>
            <w:tcBorders>
              <w:top w:val="single" w:sz="4" w:space="0" w:color="D0DCE8"/>
              <w:left w:val="single" w:sz="4" w:space="0" w:color="D0DCE8"/>
              <w:bottom w:val="single" w:sz="4" w:space="0" w:color="D0DCE8"/>
              <w:right w:val="single" w:sz="4" w:space="0" w:color="D0DCE8"/>
            </w:tcBorders>
            <w:shd w:val="clear" w:color="auto" w:fill="FFFFFF"/>
          </w:tcPr>
          <w:p>
            <w:pPr>
              <w:spacing w:before="80" w:after="80"/>
            </w:pPr>
            <w:r/>
            <w:r>
              <w:rPr>
                <w:rFonts w:ascii="Calibri" w:hAnsi="Calibri"/>
                <w:b w:val="0"/>
                <w:i w:val="0"/>
                <w:color w:val="3C3C3C"/>
                <w:sz w:val="18"/>
              </w:rPr>
              <w:t>La suppression du compte utilisateur (droit à l'oubli RGPD) efface définitivement toutes les données sous 72 h, révoque tous les tokens bancaires actifs et propose un export JSON complet préalable.</w:t>
            </w:r>
          </w:p>
        </w:tc>
      </w:tr>
      <w:tr>
        <w:tc>
          <w:tcPr>
            <w:tcW w:type="dxa" w:w="1134"/>
            <w:tcBorders>
              <w:top w:val="single" w:sz="4" w:space="0" w:color="D0DCE8"/>
              <w:left w:val="single" w:sz="4" w:space="0" w:color="D0DCE8"/>
              <w:bottom w:val="single" w:sz="4" w:space="0" w:color="D0DCE8"/>
              <w:right w:val="single" w:sz="4" w:space="0" w:color="D0DCE8"/>
            </w:tcBorders>
            <w:shd w:val="clear" w:color="auto" w:fill="F5F9FF"/>
          </w:tcPr>
          <w:p>
            <w:pPr>
              <w:spacing w:before="80" w:after="80"/>
            </w:pPr>
            <w:r/>
            <w:r>
              <w:rPr>
                <w:rFonts w:ascii="Calibri" w:hAnsi="Calibri"/>
                <w:b/>
                <w:i w:val="0"/>
                <w:color w:val="1A73E8"/>
                <w:sz w:val="18"/>
              </w:rPr>
              <w:t>RG-13</w:t>
            </w:r>
          </w:p>
        </w:tc>
        <w:tc>
          <w:tcPr>
            <w:tcW w:type="dxa" w:w="8220"/>
            <w:tcBorders>
              <w:top w:val="single" w:sz="4" w:space="0" w:color="D0DCE8"/>
              <w:left w:val="single" w:sz="4" w:space="0" w:color="D0DCE8"/>
              <w:bottom w:val="single" w:sz="4" w:space="0" w:color="D0DCE8"/>
              <w:right w:val="single" w:sz="4" w:space="0" w:color="D0DCE8"/>
            </w:tcBorders>
            <w:shd w:val="clear" w:color="auto" w:fill="F5F9FF"/>
          </w:tcPr>
          <w:p>
            <w:pPr>
              <w:spacing w:before="80" w:after="80"/>
            </w:pPr>
            <w:r/>
            <w:r>
              <w:rPr>
                <w:rFonts w:ascii="Calibri" w:hAnsi="Calibri"/>
                <w:b w:val="0"/>
                <w:i w:val="0"/>
                <w:color w:val="3C3C3C"/>
                <w:sz w:val="18"/>
              </w:rPr>
              <w:t>Le score de santé financière est recalculé chaque lundi à minuit sur la base des 30 derniers jours glissants.</w:t>
            </w:r>
          </w:p>
        </w:tc>
      </w:tr>
      <w:tr>
        <w:tc>
          <w:tcPr>
            <w:tcW w:type="dxa" w:w="1134"/>
            <w:tcBorders>
              <w:top w:val="single" w:sz="4" w:space="0" w:color="D0DCE8"/>
              <w:left w:val="single" w:sz="4" w:space="0" w:color="D0DCE8"/>
              <w:bottom w:val="single" w:sz="4" w:space="0" w:color="D0DCE8"/>
              <w:right w:val="single" w:sz="4" w:space="0" w:color="D0DCE8"/>
            </w:tcBorders>
            <w:shd w:val="clear" w:color="auto" w:fill="FFFFFF"/>
          </w:tcPr>
          <w:p>
            <w:pPr>
              <w:spacing w:before="80" w:after="80"/>
            </w:pPr>
            <w:r/>
            <w:r>
              <w:rPr>
                <w:rFonts w:ascii="Calibri" w:hAnsi="Calibri"/>
                <w:b/>
                <w:i w:val="0"/>
                <w:color w:val="1A73E8"/>
                <w:sz w:val="18"/>
              </w:rPr>
              <w:t>RG-14</w:t>
            </w:r>
          </w:p>
        </w:tc>
        <w:tc>
          <w:tcPr>
            <w:tcW w:type="dxa" w:w="8220"/>
            <w:tcBorders>
              <w:top w:val="single" w:sz="4" w:space="0" w:color="D0DCE8"/>
              <w:left w:val="single" w:sz="4" w:space="0" w:color="D0DCE8"/>
              <w:bottom w:val="single" w:sz="4" w:space="0" w:color="D0DCE8"/>
              <w:right w:val="single" w:sz="4" w:space="0" w:color="D0DCE8"/>
            </w:tcBorders>
            <w:shd w:val="clear" w:color="auto" w:fill="FFFFFF"/>
          </w:tcPr>
          <w:p>
            <w:pPr>
              <w:spacing w:before="80" w:after="80"/>
            </w:pPr>
            <w:r/>
            <w:r>
              <w:rPr>
                <w:rFonts w:ascii="Calibri" w:hAnsi="Calibri"/>
                <w:b w:val="0"/>
                <w:i w:val="0"/>
                <w:color w:val="3C3C3C"/>
                <w:sz w:val="18"/>
              </w:rPr>
              <w:t>Le digest hebdomadaire n'est envoyé que si l'utilisateur a saisi ou importé au moins une transaction dans la semaine écoulée.</w:t>
            </w:r>
          </w:p>
        </w:tc>
      </w:tr>
      <w:tr>
        <w:tc>
          <w:tcPr>
            <w:tcW w:type="dxa" w:w="1134"/>
            <w:tcBorders>
              <w:top w:val="single" w:sz="4" w:space="0" w:color="D0DCE8"/>
              <w:left w:val="single" w:sz="4" w:space="0" w:color="D0DCE8"/>
              <w:bottom w:val="single" w:sz="4" w:space="0" w:color="D0DCE8"/>
              <w:right w:val="single" w:sz="4" w:space="0" w:color="D0DCE8"/>
            </w:tcBorders>
            <w:shd w:val="clear" w:color="auto" w:fill="F5F9FF"/>
          </w:tcPr>
          <w:p>
            <w:pPr>
              <w:spacing w:before="80" w:after="80"/>
            </w:pPr>
            <w:r/>
            <w:r>
              <w:rPr>
                <w:rFonts w:ascii="Calibri" w:hAnsi="Calibri"/>
                <w:b/>
                <w:i w:val="0"/>
                <w:color w:val="1A73E8"/>
                <w:sz w:val="18"/>
              </w:rPr>
              <w:t>RG-15</w:t>
            </w:r>
          </w:p>
        </w:tc>
        <w:tc>
          <w:tcPr>
            <w:tcW w:type="dxa" w:w="8220"/>
            <w:tcBorders>
              <w:top w:val="single" w:sz="4" w:space="0" w:color="D0DCE8"/>
              <w:left w:val="single" w:sz="4" w:space="0" w:color="D0DCE8"/>
              <w:bottom w:val="single" w:sz="4" w:space="0" w:color="D0DCE8"/>
              <w:right w:val="single" w:sz="4" w:space="0" w:color="D0DCE8"/>
            </w:tcBorders>
            <w:shd w:val="clear" w:color="auto" w:fill="F5F9FF"/>
          </w:tcPr>
          <w:p>
            <w:pPr>
              <w:spacing w:before="80" w:after="80"/>
            </w:pPr>
            <w:r/>
            <w:r>
              <w:rPr>
                <w:rFonts w:ascii="Calibri" w:hAnsi="Calibri"/>
                <w:b w:val="0"/>
                <w:i w:val="0"/>
                <w:color w:val="3C3C3C"/>
                <w:sz w:val="18"/>
              </w:rPr>
              <w:t>Un achievement débloqué n'est jamais retiré, même si la condition n'est plus remplie ultérieurement.</w:t>
            </w:r>
          </w:p>
        </w:tc>
      </w:tr>
      <w:tr>
        <w:tc>
          <w:tcPr>
            <w:tcW w:type="dxa" w:w="1134"/>
            <w:tcBorders>
              <w:top w:val="single" w:sz="4" w:space="0" w:color="D0DCE8"/>
              <w:left w:val="single" w:sz="4" w:space="0" w:color="D0DCE8"/>
              <w:bottom w:val="single" w:sz="4" w:space="0" w:color="D0DCE8"/>
              <w:right w:val="single" w:sz="4" w:space="0" w:color="D0DCE8"/>
            </w:tcBorders>
            <w:shd w:val="clear" w:color="auto" w:fill="FFFFFF"/>
          </w:tcPr>
          <w:p>
            <w:pPr>
              <w:spacing w:before="80" w:after="80"/>
            </w:pPr>
            <w:r/>
            <w:r>
              <w:rPr>
                <w:rFonts w:ascii="Calibri" w:hAnsi="Calibri"/>
                <w:b/>
                <w:i w:val="0"/>
                <w:color w:val="1A73E8"/>
                <w:sz w:val="18"/>
              </w:rPr>
              <w:t>RG-16</w:t>
            </w:r>
          </w:p>
        </w:tc>
        <w:tc>
          <w:tcPr>
            <w:tcW w:type="dxa" w:w="8220"/>
            <w:tcBorders>
              <w:top w:val="single" w:sz="4" w:space="0" w:color="D0DCE8"/>
              <w:left w:val="single" w:sz="4" w:space="0" w:color="D0DCE8"/>
              <w:bottom w:val="single" w:sz="4" w:space="0" w:color="D0DCE8"/>
              <w:right w:val="single" w:sz="4" w:space="0" w:color="D0DCE8"/>
            </w:tcBorders>
            <w:shd w:val="clear" w:color="auto" w:fill="FFFFFF"/>
          </w:tcPr>
          <w:p>
            <w:pPr>
              <w:spacing w:before="80" w:after="80"/>
            </w:pPr>
            <w:r/>
            <w:r>
              <w:rPr>
                <w:rFonts w:ascii="Calibri" w:hAnsi="Calibri"/>
                <w:b w:val="0"/>
                <w:i w:val="0"/>
                <w:color w:val="3C3C3C"/>
                <w:sz w:val="18"/>
              </w:rPr>
              <w:t>Les données de l'utilisateur ne sont jamais partagées avec des tiers à des fins publicitaires.</w:t>
            </w:r>
          </w:p>
        </w:tc>
      </w:tr>
      <w:tr>
        <w:tc>
          <w:tcPr>
            <w:tcW w:type="dxa" w:w="1134"/>
            <w:tcBorders>
              <w:top w:val="single" w:sz="4" w:space="0" w:color="D0DCE8"/>
              <w:left w:val="single" w:sz="4" w:space="0" w:color="D0DCE8"/>
              <w:bottom w:val="single" w:sz="4" w:space="0" w:color="D0DCE8"/>
              <w:right w:val="single" w:sz="4" w:space="0" w:color="D0DCE8"/>
            </w:tcBorders>
            <w:shd w:val="clear" w:color="auto" w:fill="F5F9FF"/>
          </w:tcPr>
          <w:p>
            <w:pPr>
              <w:spacing w:before="80" w:after="80"/>
            </w:pPr>
            <w:r/>
            <w:r>
              <w:rPr>
                <w:rFonts w:ascii="Calibri" w:hAnsi="Calibri"/>
                <w:b/>
                <w:i w:val="0"/>
                <w:color w:val="1A73E8"/>
                <w:sz w:val="18"/>
              </w:rPr>
              <w:t>RG-17</w:t>
            </w:r>
          </w:p>
        </w:tc>
        <w:tc>
          <w:tcPr>
            <w:tcW w:type="dxa" w:w="8220"/>
            <w:tcBorders>
              <w:top w:val="single" w:sz="4" w:space="0" w:color="D0DCE8"/>
              <w:left w:val="single" w:sz="4" w:space="0" w:color="D0DCE8"/>
              <w:bottom w:val="single" w:sz="4" w:space="0" w:color="D0DCE8"/>
              <w:right w:val="single" w:sz="4" w:space="0" w:color="D0DCE8"/>
            </w:tcBorders>
            <w:shd w:val="clear" w:color="auto" w:fill="F5F9FF"/>
          </w:tcPr>
          <w:p>
            <w:pPr>
              <w:spacing w:before="80" w:after="80"/>
            </w:pPr>
            <w:r/>
            <w:r>
              <w:rPr>
                <w:rFonts w:ascii="Calibri" w:hAnsi="Calibri"/>
                <w:b w:val="0"/>
                <w:i w:val="0"/>
                <w:color w:val="3C3C3C"/>
                <w:sz w:val="18"/>
              </w:rPr>
              <w:t>La liaison bancaire est un accès en lecture seule (AIS). Aucune initiation de paiement (PIS) n'est autorisée dans la version MVP.</w:t>
            </w:r>
          </w:p>
        </w:tc>
      </w:tr>
      <w:tr>
        <w:tc>
          <w:tcPr>
            <w:tcW w:type="dxa" w:w="1134"/>
            <w:tcBorders>
              <w:top w:val="single" w:sz="4" w:space="0" w:color="D0DCE8"/>
              <w:left w:val="single" w:sz="4" w:space="0" w:color="D0DCE8"/>
              <w:bottom w:val="single" w:sz="4" w:space="0" w:color="D0DCE8"/>
              <w:right w:val="single" w:sz="4" w:space="0" w:color="D0DCE8"/>
            </w:tcBorders>
            <w:shd w:val="clear" w:color="auto" w:fill="FFFFFF"/>
          </w:tcPr>
          <w:p>
            <w:pPr>
              <w:spacing w:before="80" w:after="80"/>
            </w:pPr>
            <w:r/>
            <w:r>
              <w:rPr>
                <w:rFonts w:ascii="Calibri" w:hAnsi="Calibri"/>
                <w:b/>
                <w:i w:val="0"/>
                <w:color w:val="1A73E8"/>
                <w:sz w:val="18"/>
              </w:rPr>
              <w:t>RG-18</w:t>
            </w:r>
          </w:p>
        </w:tc>
        <w:tc>
          <w:tcPr>
            <w:tcW w:type="dxa" w:w="8220"/>
            <w:tcBorders>
              <w:top w:val="single" w:sz="4" w:space="0" w:color="D0DCE8"/>
              <w:left w:val="single" w:sz="4" w:space="0" w:color="D0DCE8"/>
              <w:bottom w:val="single" w:sz="4" w:space="0" w:color="D0DCE8"/>
              <w:right w:val="single" w:sz="4" w:space="0" w:color="D0DCE8"/>
            </w:tcBorders>
            <w:shd w:val="clear" w:color="auto" w:fill="FFFFFF"/>
          </w:tcPr>
          <w:p>
            <w:pPr>
              <w:spacing w:before="80" w:after="80"/>
            </w:pPr>
            <w:r/>
            <w:r>
              <w:rPr>
                <w:rFonts w:ascii="Calibri" w:hAnsi="Calibri"/>
                <w:b w:val="0"/>
                <w:i w:val="0"/>
                <w:color w:val="3C3C3C"/>
                <w:sz w:val="18"/>
              </w:rPr>
              <w:t>La déduplication des transactions bancaires importées s'effectue sur la combinaison : compte + montant (± 0,01) + date (± 1 jour). En cas de doute, l'utilisateur est consulté — jamais de fusion automatique silencieuse.</w:t>
            </w:r>
          </w:p>
        </w:tc>
      </w:tr>
      <w:tr>
        <w:tc>
          <w:tcPr>
            <w:tcW w:type="dxa" w:w="1134"/>
            <w:tcBorders>
              <w:top w:val="single" w:sz="4" w:space="0" w:color="D0DCE8"/>
              <w:left w:val="single" w:sz="4" w:space="0" w:color="D0DCE8"/>
              <w:bottom w:val="single" w:sz="4" w:space="0" w:color="D0DCE8"/>
              <w:right w:val="single" w:sz="4" w:space="0" w:color="D0DCE8"/>
            </w:tcBorders>
            <w:shd w:val="clear" w:color="auto" w:fill="F5F9FF"/>
          </w:tcPr>
          <w:p>
            <w:pPr>
              <w:spacing w:before="80" w:after="80"/>
            </w:pPr>
            <w:r/>
            <w:r>
              <w:rPr>
                <w:rFonts w:ascii="Calibri" w:hAnsi="Calibri"/>
                <w:b/>
                <w:i w:val="0"/>
                <w:color w:val="1A73E8"/>
                <w:sz w:val="18"/>
              </w:rPr>
              <w:t>RG-19</w:t>
            </w:r>
          </w:p>
        </w:tc>
        <w:tc>
          <w:tcPr>
            <w:tcW w:type="dxa" w:w="8220"/>
            <w:tcBorders>
              <w:top w:val="single" w:sz="4" w:space="0" w:color="D0DCE8"/>
              <w:left w:val="single" w:sz="4" w:space="0" w:color="D0DCE8"/>
              <w:bottom w:val="single" w:sz="4" w:space="0" w:color="D0DCE8"/>
              <w:right w:val="single" w:sz="4" w:space="0" w:color="D0DCE8"/>
            </w:tcBorders>
            <w:shd w:val="clear" w:color="auto" w:fill="F5F9FF"/>
          </w:tcPr>
          <w:p>
            <w:pPr>
              <w:spacing w:before="80" w:after="80"/>
            </w:pPr>
            <w:r/>
            <w:r>
              <w:rPr>
                <w:rFonts w:ascii="Calibri" w:hAnsi="Calibri"/>
                <w:b w:val="0"/>
                <w:i w:val="0"/>
                <w:color w:val="3C3C3C"/>
                <w:sz w:val="18"/>
              </w:rPr>
              <w:t>Le token OAuth bancaire est révoqué immédiatement lors de la déconnexion d'une banque par l'utilisateur. Les transactions déjà importées sont conservées dans l'historique.</w:t>
            </w:r>
          </w:p>
        </w:tc>
      </w:tr>
      <w:tr>
        <w:tc>
          <w:tcPr>
            <w:tcW w:type="dxa" w:w="1134"/>
            <w:tcBorders>
              <w:top w:val="single" w:sz="4" w:space="0" w:color="D0DCE8"/>
              <w:left w:val="single" w:sz="4" w:space="0" w:color="D0DCE8"/>
              <w:bottom w:val="single" w:sz="4" w:space="0" w:color="D0DCE8"/>
              <w:right w:val="single" w:sz="4" w:space="0" w:color="D0DCE8"/>
            </w:tcBorders>
            <w:shd w:val="clear" w:color="auto" w:fill="FFFFFF"/>
          </w:tcPr>
          <w:p>
            <w:pPr>
              <w:spacing w:before="80" w:after="80"/>
            </w:pPr>
            <w:r/>
            <w:r>
              <w:rPr>
                <w:rFonts w:ascii="Calibri" w:hAnsi="Calibri"/>
                <w:b/>
                <w:i w:val="0"/>
                <w:color w:val="1A73E8"/>
                <w:sz w:val="18"/>
              </w:rPr>
              <w:t>RG-20</w:t>
            </w:r>
          </w:p>
        </w:tc>
        <w:tc>
          <w:tcPr>
            <w:tcW w:type="dxa" w:w="8220"/>
            <w:tcBorders>
              <w:top w:val="single" w:sz="4" w:space="0" w:color="D0DCE8"/>
              <w:left w:val="single" w:sz="4" w:space="0" w:color="D0DCE8"/>
              <w:bottom w:val="single" w:sz="4" w:space="0" w:color="D0DCE8"/>
              <w:right w:val="single" w:sz="4" w:space="0" w:color="D0DCE8"/>
            </w:tcBorders>
            <w:shd w:val="clear" w:color="auto" w:fill="FFFFFF"/>
          </w:tcPr>
          <w:p>
            <w:pPr>
              <w:spacing w:before="80" w:after="80"/>
            </w:pPr>
            <w:r/>
            <w:r>
              <w:rPr>
                <w:rFonts w:ascii="Calibri" w:hAnsi="Calibri"/>
                <w:b w:val="0"/>
                <w:i w:val="0"/>
                <w:color w:val="3C3C3C"/>
                <w:sz w:val="18"/>
              </w:rPr>
              <w:t>La correction de catégorie sur une transaction importée est mémorisée comme règle d'apprentissage : toute future transaction du même commerçant (libellé identique) reçoit automatiquement la même catégorie, sauf correction ultérieure.</w:t>
            </w:r>
          </w:p>
        </w:tc>
      </w:tr>
      <w:tr>
        <w:tc>
          <w:tcPr>
            <w:tcW w:type="dxa" w:w="1134"/>
            <w:tcBorders>
              <w:top w:val="single" w:sz="4" w:space="0" w:color="D0DCE8"/>
              <w:left w:val="single" w:sz="4" w:space="0" w:color="D0DCE8"/>
              <w:bottom w:val="single" w:sz="4" w:space="0" w:color="D0DCE8"/>
              <w:right w:val="single" w:sz="4" w:space="0" w:color="D0DCE8"/>
            </w:tcBorders>
            <w:shd w:val="clear" w:color="auto" w:fill="F5F9FF"/>
          </w:tcPr>
          <w:p>
            <w:pPr>
              <w:spacing w:before="80" w:after="80"/>
            </w:pPr>
            <w:r/>
            <w:r>
              <w:rPr>
                <w:rFonts w:ascii="Calibri" w:hAnsi="Calibri"/>
                <w:b/>
                <w:i w:val="0"/>
                <w:color w:val="1A73E8"/>
                <w:sz w:val="18"/>
              </w:rPr>
              <w:t>RG-21</w:t>
            </w:r>
          </w:p>
        </w:tc>
        <w:tc>
          <w:tcPr>
            <w:tcW w:type="dxa" w:w="8220"/>
            <w:tcBorders>
              <w:top w:val="single" w:sz="4" w:space="0" w:color="D0DCE8"/>
              <w:left w:val="single" w:sz="4" w:space="0" w:color="D0DCE8"/>
              <w:bottom w:val="single" w:sz="4" w:space="0" w:color="D0DCE8"/>
              <w:right w:val="single" w:sz="4" w:space="0" w:color="D0DCE8"/>
            </w:tcBorders>
            <w:shd w:val="clear" w:color="auto" w:fill="F5F9FF"/>
          </w:tcPr>
          <w:p>
            <w:pPr>
              <w:spacing w:before="80" w:after="80"/>
            </w:pPr>
            <w:r/>
            <w:r>
              <w:rPr>
                <w:rFonts w:ascii="Calibri" w:hAnsi="Calibri"/>
                <w:b w:val="0"/>
                <w:i w:val="0"/>
                <w:color w:val="3C3C3C"/>
                <w:sz w:val="18"/>
              </w:rPr>
              <w:t>Le changement de devise de référence par l'utilisateur n'affecte pas les taux de change mémorisés sur les transactions passées. Seul l'affichage change ; les montants convertis d'origine sont conservés tels quels.</w:t>
            </w:r>
          </w:p>
        </w:tc>
      </w:tr>
      <w:tr>
        <w:tc>
          <w:tcPr>
            <w:tcW w:type="dxa" w:w="1134"/>
            <w:tcBorders>
              <w:top w:val="single" w:sz="4" w:space="0" w:color="D0DCE8"/>
              <w:left w:val="single" w:sz="4" w:space="0" w:color="D0DCE8"/>
              <w:bottom w:val="single" w:sz="4" w:space="0" w:color="D0DCE8"/>
              <w:right w:val="single" w:sz="4" w:space="0" w:color="D0DCE8"/>
            </w:tcBorders>
            <w:shd w:val="clear" w:color="auto" w:fill="FFFFFF"/>
          </w:tcPr>
          <w:p>
            <w:pPr>
              <w:spacing w:before="80" w:after="80"/>
            </w:pPr>
            <w:r/>
            <w:r>
              <w:rPr>
                <w:rFonts w:ascii="Calibri" w:hAnsi="Calibri"/>
                <w:b/>
                <w:i w:val="0"/>
                <w:color w:val="1A73E8"/>
                <w:sz w:val="18"/>
              </w:rPr>
              <w:t>RG-22</w:t>
            </w:r>
          </w:p>
        </w:tc>
        <w:tc>
          <w:tcPr>
            <w:tcW w:type="dxa" w:w="8220"/>
            <w:tcBorders>
              <w:top w:val="single" w:sz="4" w:space="0" w:color="D0DCE8"/>
              <w:left w:val="single" w:sz="4" w:space="0" w:color="D0DCE8"/>
              <w:bottom w:val="single" w:sz="4" w:space="0" w:color="D0DCE8"/>
              <w:right w:val="single" w:sz="4" w:space="0" w:color="D0DCE8"/>
            </w:tcBorders>
            <w:shd w:val="clear" w:color="auto" w:fill="FFFFFF"/>
          </w:tcPr>
          <w:p>
            <w:pPr>
              <w:spacing w:before="80" w:after="80"/>
            </w:pPr>
            <w:r/>
            <w:r>
              <w:rPr>
                <w:rFonts w:ascii="Calibri" w:hAnsi="Calibri"/>
                <w:b w:val="0"/>
                <w:i w:val="0"/>
                <w:color w:val="3C3C3C"/>
                <w:sz w:val="18"/>
              </w:rPr>
              <w:t>La devise de référence par défaut est déterminée par la géolocalisation à l'onboarding : MAD pour le Maroc, EUR pour la France/Belgique/Luxembourg, CHF pour la Suisse. L'utilisateur peut la modifier librement.</w:t>
            </w:r>
          </w:p>
        </w:tc>
      </w:tr>
      <w:tr>
        <w:tc>
          <w:tcPr>
            <w:tcW w:type="dxa" w:w="1134"/>
            <w:tcBorders>
              <w:top w:val="single" w:sz="4" w:space="0" w:color="D0DCE8"/>
              <w:left w:val="single" w:sz="4" w:space="0" w:color="D0DCE8"/>
              <w:bottom w:val="single" w:sz="4" w:space="0" w:color="D0DCE8"/>
              <w:right w:val="single" w:sz="4" w:space="0" w:color="D0DCE8"/>
            </w:tcBorders>
            <w:shd w:val="clear" w:color="auto" w:fill="F5F9FF"/>
          </w:tcPr>
          <w:p>
            <w:pPr>
              <w:spacing w:before="80" w:after="80"/>
            </w:pPr>
            <w:r/>
            <w:r>
              <w:rPr>
                <w:rFonts w:ascii="Calibri" w:hAnsi="Calibri"/>
                <w:b/>
                <w:i w:val="0"/>
                <w:color w:val="1A73E8"/>
                <w:sz w:val="18"/>
              </w:rPr>
              <w:t>RG-23</w:t>
            </w:r>
          </w:p>
        </w:tc>
        <w:tc>
          <w:tcPr>
            <w:tcW w:type="dxa" w:w="8220"/>
            <w:tcBorders>
              <w:top w:val="single" w:sz="4" w:space="0" w:color="D0DCE8"/>
              <w:left w:val="single" w:sz="4" w:space="0" w:color="D0DCE8"/>
              <w:bottom w:val="single" w:sz="4" w:space="0" w:color="D0DCE8"/>
              <w:right w:val="single" w:sz="4" w:space="0" w:color="D0DCE8"/>
            </w:tcBorders>
            <w:shd w:val="clear" w:color="auto" w:fill="F5F9FF"/>
          </w:tcPr>
          <w:p>
            <w:pPr>
              <w:spacing w:before="80" w:after="80"/>
            </w:pPr>
            <w:r/>
            <w:r>
              <w:rPr>
                <w:rFonts w:ascii="Calibri" w:hAnsi="Calibri"/>
                <w:b w:val="0"/>
                <w:i w:val="0"/>
                <w:color w:val="3C3C3C"/>
                <w:sz w:val="18"/>
              </w:rPr>
              <w:t>Les transactions saisies hors-ligne sont horodatées localement (date et heure de l'appareil de l'utilisateur) et synchronisées dans l'ordre chronologique dès le retour réseau. En cas de conflit (même transaction saisie sur deux appareils), la version la plus récente est conservée et l'utilisateur est notifié.</w:t>
            </w:r>
          </w:p>
        </w:tc>
      </w:tr>
      <w:tr>
        <w:tc>
          <w:tcPr>
            <w:tcW w:type="dxa" w:w="1134"/>
            <w:tcBorders>
              <w:top w:val="single" w:sz="4" w:space="0" w:color="D0DCE8"/>
              <w:left w:val="single" w:sz="4" w:space="0" w:color="D0DCE8"/>
              <w:bottom w:val="single" w:sz="4" w:space="0" w:color="D0DCE8"/>
              <w:right w:val="single" w:sz="4" w:space="0" w:color="D0DCE8"/>
            </w:tcBorders>
            <w:shd w:val="clear" w:color="auto" w:fill="FFFFFF"/>
          </w:tcPr>
          <w:p>
            <w:pPr>
              <w:spacing w:before="80" w:after="80"/>
            </w:pPr>
            <w:r/>
            <w:r>
              <w:rPr>
                <w:rFonts w:ascii="Calibri" w:hAnsi="Calibri"/>
                <w:b/>
                <w:i w:val="0"/>
                <w:color w:val="1A73E8"/>
                <w:sz w:val="18"/>
              </w:rPr>
              <w:t>RG-24</w:t>
            </w:r>
          </w:p>
        </w:tc>
        <w:tc>
          <w:tcPr>
            <w:tcW w:type="dxa" w:w="8220"/>
            <w:tcBorders>
              <w:top w:val="single" w:sz="4" w:space="0" w:color="D0DCE8"/>
              <w:left w:val="single" w:sz="4" w:space="0" w:color="D0DCE8"/>
              <w:bottom w:val="single" w:sz="4" w:space="0" w:color="D0DCE8"/>
              <w:right w:val="single" w:sz="4" w:space="0" w:color="D0DCE8"/>
            </w:tcBorders>
            <w:shd w:val="clear" w:color="auto" w:fill="FFFFFF"/>
          </w:tcPr>
          <w:p>
            <w:pPr>
              <w:spacing w:before="80" w:after="80"/>
            </w:pPr>
            <w:r/>
            <w:r>
              <w:rPr>
                <w:rFonts w:ascii="Calibri" w:hAnsi="Calibri"/>
                <w:b w:val="0"/>
                <w:i w:val="0"/>
                <w:color w:val="3C3C3C"/>
                <w:sz w:val="18"/>
              </w:rPr>
              <w:t>L'autorisation de push notification est demandée une seule fois lors de l'onboarding. Si l'utilisateur refuse, aucune re-sollicitation automatique n'est effectuée. Les alertes sont disponibles en fallback in-app dans tous les cas.</w:t>
            </w:r>
          </w:p>
        </w:tc>
      </w:tr>
    </w:tbl>
    <w:p>
      <w:pPr>
        <w:spacing w:before="240" w:after="100"/>
        <w:jc w:val="left"/>
      </w:pPr>
    </w:p>
    <w:p>
      <w:pPr>
        <w:spacing w:before="320" w:after="80"/>
        <w:pBdr>
          <w:bottom w:val="single" w:sz="8" w:space="4" w:color="0F2D52"/>
        </w:pBdr>
      </w:pPr>
      <w:r>
        <w:rPr>
          <w:rFonts w:ascii="Calibri" w:hAnsi="Calibri"/>
          <w:b/>
          <w:i w:val="0"/>
          <w:color w:val="0F2D52"/>
          <w:sz w:val="28"/>
        </w:rPr>
        <w:t>5. Hors périmètre MVP et points ouverts</w:t>
      </w:r>
    </w:p>
    <w:p>
      <w:pPr>
        <w:spacing w:before="200" w:after="60"/>
      </w:pPr>
      <w:r>
        <w:rPr>
          <w:rFonts w:ascii="Calibri" w:hAnsi="Calibri"/>
          <w:b/>
          <w:i w:val="0"/>
          <w:color w:val="1A73E8"/>
          <w:sz w:val="22"/>
        </w:rPr>
        <w:t>Hors périmètre — V1</w:t>
      </w:r>
    </w:p>
    <w:p>
      <w:pPr>
        <w:pStyle w:val="ListBullet"/>
        <w:spacing w:after="60"/>
        <w:ind w:left="454"/>
      </w:pPr>
      <w:r>
        <w:rPr>
          <w:rFonts w:ascii="Calibri" w:hAnsi="Calibri"/>
          <w:b w:val="0"/>
          <w:i w:val="0"/>
          <w:color w:val="3C3C3C"/>
          <w:sz w:val="20"/>
        </w:rPr>
        <w:t>Application mobile native iOS / Android — la PWA couvre intégralement le besoin sur mobile et laptop sans passer par les stores.</w:t>
      </w:r>
    </w:p>
    <w:p>
      <w:pPr>
        <w:pStyle w:val="ListBullet"/>
        <w:spacing w:after="60"/>
        <w:ind w:left="454"/>
      </w:pPr>
      <w:r>
        <w:rPr>
          <w:rFonts w:ascii="Calibri" w:hAnsi="Calibri"/>
          <w:b w:val="0"/>
          <w:i w:val="0"/>
          <w:color w:val="3C3C3C"/>
          <w:sz w:val="20"/>
        </w:rPr>
        <w:t>Connexion bancaire automatique (Open Banking / DSP2) — envisageable en V3 après validation du marché.</w:t>
      </w:r>
    </w:p>
    <w:p>
      <w:pPr>
        <w:pStyle w:val="ListBullet"/>
        <w:spacing w:after="60"/>
        <w:ind w:left="454"/>
      </w:pPr>
      <w:r>
        <w:rPr>
          <w:rFonts w:ascii="Calibri" w:hAnsi="Calibri"/>
          <w:b w:val="0"/>
          <w:i w:val="0"/>
          <w:color w:val="3C3C3C"/>
          <w:sz w:val="20"/>
        </w:rPr>
        <w:t>Suivi de portefeuille boursier, cryptomonnaies ou actifs immobiliers.</w:t>
      </w:r>
    </w:p>
    <w:p>
      <w:pPr>
        <w:pStyle w:val="ListBullet"/>
        <w:spacing w:after="60"/>
        <w:ind w:left="454"/>
      </w:pPr>
      <w:r>
        <w:rPr>
          <w:rFonts w:ascii="Calibri" w:hAnsi="Calibri"/>
          <w:b w:val="0"/>
          <w:i w:val="0"/>
          <w:color w:val="3C3C3C"/>
          <w:sz w:val="20"/>
        </w:rPr>
        <w:t>Mode collaboratif (partage de compte entre utilisateurs — couple, famille, coloc).</w:t>
      </w:r>
    </w:p>
    <w:p>
      <w:pPr>
        <w:pStyle w:val="ListBullet"/>
        <w:spacing w:after="60"/>
        <w:ind w:left="454"/>
      </w:pPr>
      <w:r>
        <w:rPr>
          <w:rFonts w:ascii="Calibri" w:hAnsi="Calibri"/>
          <w:b w:val="0"/>
          <w:i w:val="0"/>
          <w:color w:val="3C3C3C"/>
          <w:sz w:val="20"/>
        </w:rPr>
        <w:t>Marketplace de conseils financiers ou d'offres partenaires.</w:t>
      </w:r>
    </w:p>
    <w:p>
      <w:pPr>
        <w:pStyle w:val="ListBullet"/>
        <w:spacing w:after="60"/>
        <w:ind w:left="454"/>
      </w:pPr>
      <w:r>
        <w:rPr>
          <w:rFonts w:ascii="Calibri" w:hAnsi="Calibri"/>
          <w:b w:val="0"/>
          <w:i w:val="0"/>
          <w:color w:val="3C3C3C"/>
          <w:sz w:val="20"/>
        </w:rPr>
        <w:t>Chatbot ou assistant financier conversationnel.</w:t>
      </w:r>
    </w:p>
    <w:p>
      <w:pPr>
        <w:pStyle w:val="ListBullet"/>
        <w:spacing w:after="60"/>
        <w:ind w:left="454"/>
      </w:pPr>
      <w:r>
        <w:rPr>
          <w:rFonts w:ascii="Calibri" w:hAnsi="Calibri"/>
          <w:b w:val="0"/>
          <w:i w:val="0"/>
          <w:color w:val="3C3C3C"/>
          <w:sz w:val="20"/>
        </w:rPr>
        <w:t>Scan OCR automatique de reçus par intelligence artificielle.</w:t>
      </w:r>
    </w:p>
    <w:p>
      <w:pPr>
        <w:pStyle w:val="ListBullet"/>
        <w:spacing w:after="60"/>
        <w:ind w:left="454"/>
      </w:pPr>
      <w:r>
        <w:rPr>
          <w:rFonts w:ascii="Calibri" w:hAnsi="Calibri"/>
          <w:b w:val="0"/>
          <w:i w:val="0"/>
          <w:color w:val="3C3C3C"/>
          <w:sz w:val="20"/>
        </w:rPr>
        <w:t>Intégrations tierces (Zapier, webhooks, API publique).</w:t>
      </w:r>
    </w:p>
    <w:p>
      <w:pPr>
        <w:spacing w:before="200" w:after="60"/>
      </w:pPr>
      <w:r>
        <w:rPr>
          <w:rFonts w:ascii="Calibri" w:hAnsi="Calibri"/>
          <w:b/>
          <w:i w:val="0"/>
          <w:color w:val="1A73E8"/>
          <w:sz w:val="22"/>
        </w:rPr>
        <w:t>Points ouverts à arbitrer avant specs techniques</w:t>
      </w:r>
    </w:p>
    <w:tbl>
      <w:tblPr>
        <w:tblStyle w:val="TableGrid"/>
        <w:tblW w:type="auto" w:w="0"/>
        <w:tblLook w:firstColumn="1" w:firstRow="1" w:lastColumn="0" w:lastRow="0" w:noHBand="0" w:noVBand="1" w:val="04A0"/>
      </w:tblPr>
      <w:tblGrid>
        <w:gridCol w:w="4703"/>
        <w:gridCol w:w="4703"/>
      </w:tblGrid>
      <w:tr>
        <w:tc>
          <w:tcPr>
            <w:tcW w:type="dxa" w:w="1134"/>
            <w:shd w:val="clear" w:color="auto" w:fill="F57C00"/>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i w:val="0"/>
                <w:color w:val="FFFFFF"/>
                <w:sz w:val="18"/>
              </w:rPr>
              <w:t>Réf.</w:t>
            </w:r>
          </w:p>
        </w:tc>
        <w:tc>
          <w:tcPr>
            <w:tcW w:type="dxa" w:w="8220"/>
            <w:shd w:val="clear" w:color="auto" w:fill="F57C00"/>
            <w:tcBorders>
              <w:top w:val="single" w:sz="4" w:space="0" w:color="D0DCE8"/>
              <w:left w:val="single" w:sz="4" w:space="0" w:color="D0DCE8"/>
              <w:bottom w:val="single" w:sz="4" w:space="0" w:color="D0DCE8"/>
              <w:right w:val="single" w:sz="4" w:space="0" w:color="D0DCE8"/>
            </w:tcBorders>
          </w:tcPr>
          <w:p>
            <w:pPr>
              <w:spacing w:before="80" w:after="80"/>
            </w:pPr>
            <w:r/>
            <w:r>
              <w:rPr>
                <w:rFonts w:ascii="Calibri" w:hAnsi="Calibri"/>
                <w:b/>
                <w:i w:val="0"/>
                <w:color w:val="FFFFFF"/>
                <w:sz w:val="18"/>
              </w:rPr>
              <w:t>Question ouverte</w:t>
            </w:r>
          </w:p>
        </w:tc>
      </w:tr>
      <w:tr>
        <w:tc>
          <w:tcPr>
            <w:tcW w:type="dxa" w:w="1134"/>
            <w:tcBorders>
              <w:top w:val="single" w:sz="4" w:space="0" w:color="D0DCE8"/>
              <w:left w:val="single" w:sz="4" w:space="0" w:color="D0DCE8"/>
              <w:bottom w:val="single" w:sz="4" w:space="0" w:color="D0DCE8"/>
              <w:right w:val="single" w:sz="4" w:space="0" w:color="D0DCE8"/>
            </w:tcBorders>
            <w:shd w:val="clear" w:color="auto" w:fill="FFFDF5"/>
          </w:tcPr>
          <w:p>
            <w:pPr>
              <w:spacing w:before="80" w:after="80"/>
            </w:pPr>
            <w:r/>
            <w:r>
              <w:rPr>
                <w:rFonts w:ascii="Calibri" w:hAnsi="Calibri"/>
                <w:b/>
                <w:i w:val="0"/>
                <w:color w:val="F57C00"/>
                <w:sz w:val="18"/>
              </w:rPr>
              <w:t>PO-01</w:t>
            </w:r>
          </w:p>
        </w:tc>
        <w:tc>
          <w:tcPr>
            <w:tcW w:type="dxa" w:w="8220"/>
            <w:tcBorders>
              <w:top w:val="single" w:sz="4" w:space="0" w:color="D0DCE8"/>
              <w:left w:val="single" w:sz="4" w:space="0" w:color="D0DCE8"/>
              <w:bottom w:val="single" w:sz="4" w:space="0" w:color="D0DCE8"/>
              <w:right w:val="single" w:sz="4" w:space="0" w:color="D0DCE8"/>
            </w:tcBorders>
            <w:shd w:val="clear" w:color="auto" w:fill="FFFDF5"/>
          </w:tcPr>
          <w:p>
            <w:pPr>
              <w:spacing w:before="80" w:after="80"/>
            </w:pPr>
            <w:r/>
            <w:r>
              <w:rPr>
                <w:rFonts w:ascii="Calibri" w:hAnsi="Calibri"/>
                <w:b w:val="0"/>
                <w:i w:val="0"/>
                <w:color w:val="3C3C3C"/>
                <w:sz w:val="18"/>
              </w:rPr>
              <w:t>Scope géographique prioritaire : Maroc (MAD) + France/Belgique (EUR) dès le lancement ? Ou cibler d'abord un seul marché ? Impact sur le support des API bancaires et les catégories fiscales.</w:t>
            </w:r>
          </w:p>
        </w:tc>
      </w:tr>
      <w:tr>
        <w:tc>
          <w:tcPr>
            <w:tcW w:type="dxa" w:w="1134"/>
            <w:tcBorders>
              <w:top w:val="single" w:sz="4" w:space="0" w:color="D0DCE8"/>
              <w:left w:val="single" w:sz="4" w:space="0" w:color="D0DCE8"/>
              <w:bottom w:val="single" w:sz="4" w:space="0" w:color="D0DCE8"/>
              <w:right w:val="single" w:sz="4" w:space="0" w:color="D0DCE8"/>
            </w:tcBorders>
            <w:shd w:val="clear" w:color="auto" w:fill="FFFFFF"/>
          </w:tcPr>
          <w:p>
            <w:pPr>
              <w:spacing w:before="80" w:after="80"/>
            </w:pPr>
            <w:r/>
            <w:r>
              <w:rPr>
                <w:rFonts w:ascii="Calibri" w:hAnsi="Calibri"/>
                <w:b/>
                <w:i w:val="0"/>
                <w:color w:val="F57C00"/>
                <w:sz w:val="18"/>
              </w:rPr>
              <w:t>PO-02</w:t>
            </w:r>
          </w:p>
        </w:tc>
        <w:tc>
          <w:tcPr>
            <w:tcW w:type="dxa" w:w="8220"/>
            <w:tcBorders>
              <w:top w:val="single" w:sz="4" w:space="0" w:color="D0DCE8"/>
              <w:left w:val="single" w:sz="4" w:space="0" w:color="D0DCE8"/>
              <w:bottom w:val="single" w:sz="4" w:space="0" w:color="D0DCE8"/>
              <w:right w:val="single" w:sz="4" w:space="0" w:color="D0DCE8"/>
            </w:tcBorders>
            <w:shd w:val="clear" w:color="auto" w:fill="FFFFFF"/>
          </w:tcPr>
          <w:p>
            <w:pPr>
              <w:spacing w:before="80" w:after="80"/>
            </w:pPr>
            <w:r/>
            <w:r>
              <w:rPr>
                <w:rFonts w:ascii="Calibri" w:hAnsi="Calibri"/>
                <w:b w:val="0"/>
                <w:i w:val="0"/>
                <w:color w:val="3C3C3C"/>
                <w:sz w:val="18"/>
              </w:rPr>
              <w:t>Liste définitive des catégories prédéfinies à la création de compte — à valider avec le client.</w:t>
            </w:r>
          </w:p>
        </w:tc>
      </w:tr>
      <w:tr>
        <w:tc>
          <w:tcPr>
            <w:tcW w:type="dxa" w:w="1134"/>
            <w:tcBorders>
              <w:top w:val="single" w:sz="4" w:space="0" w:color="D0DCE8"/>
              <w:left w:val="single" w:sz="4" w:space="0" w:color="D0DCE8"/>
              <w:bottom w:val="single" w:sz="4" w:space="0" w:color="D0DCE8"/>
              <w:right w:val="single" w:sz="4" w:space="0" w:color="D0DCE8"/>
            </w:tcBorders>
            <w:shd w:val="clear" w:color="auto" w:fill="FFFDF5"/>
          </w:tcPr>
          <w:p>
            <w:pPr>
              <w:spacing w:before="80" w:after="80"/>
            </w:pPr>
            <w:r/>
            <w:r>
              <w:rPr>
                <w:rFonts w:ascii="Calibri" w:hAnsi="Calibri"/>
                <w:b/>
                <w:i w:val="0"/>
                <w:color w:val="F57C00"/>
                <w:sz w:val="18"/>
              </w:rPr>
              <w:t>PO-03</w:t>
            </w:r>
          </w:p>
        </w:tc>
        <w:tc>
          <w:tcPr>
            <w:tcW w:type="dxa" w:w="8220"/>
            <w:tcBorders>
              <w:top w:val="single" w:sz="4" w:space="0" w:color="D0DCE8"/>
              <w:left w:val="single" w:sz="4" w:space="0" w:color="D0DCE8"/>
              <w:bottom w:val="single" w:sz="4" w:space="0" w:color="D0DCE8"/>
              <w:right w:val="single" w:sz="4" w:space="0" w:color="D0DCE8"/>
            </w:tcBorders>
            <w:shd w:val="clear" w:color="auto" w:fill="FFFDF5"/>
          </w:tcPr>
          <w:p>
            <w:pPr>
              <w:spacing w:before="80" w:after="80"/>
            </w:pPr>
            <w:r/>
            <w:r>
              <w:rPr>
                <w:rFonts w:ascii="Calibri" w:hAnsi="Calibri"/>
                <w:b w:val="0"/>
                <w:i w:val="0"/>
                <w:color w:val="3C3C3C"/>
                <w:sz w:val="18"/>
              </w:rPr>
              <w:t>Fréquences de récurrence supportées au MVP : uniquement mensuelle + annuelle, ou aussi hebdomadaire et personnalisée (ex. : tous les 15 du mois) ?</w:t>
            </w:r>
          </w:p>
        </w:tc>
      </w:tr>
      <w:tr>
        <w:tc>
          <w:tcPr>
            <w:tcW w:type="dxa" w:w="1134"/>
            <w:tcBorders>
              <w:top w:val="single" w:sz="4" w:space="0" w:color="D0DCE8"/>
              <w:left w:val="single" w:sz="4" w:space="0" w:color="D0DCE8"/>
              <w:bottom w:val="single" w:sz="4" w:space="0" w:color="D0DCE8"/>
              <w:right w:val="single" w:sz="4" w:space="0" w:color="D0DCE8"/>
            </w:tcBorders>
            <w:shd w:val="clear" w:color="auto" w:fill="FFFFFF"/>
          </w:tcPr>
          <w:p>
            <w:pPr>
              <w:spacing w:before="80" w:after="80"/>
            </w:pPr>
            <w:r/>
            <w:r>
              <w:rPr>
                <w:rFonts w:ascii="Calibri" w:hAnsi="Calibri"/>
                <w:b/>
                <w:i w:val="0"/>
                <w:color w:val="F57C00"/>
                <w:sz w:val="18"/>
              </w:rPr>
              <w:t>PO-04</w:t>
            </w:r>
          </w:p>
        </w:tc>
        <w:tc>
          <w:tcPr>
            <w:tcW w:type="dxa" w:w="8220"/>
            <w:tcBorders>
              <w:top w:val="single" w:sz="4" w:space="0" w:color="D0DCE8"/>
              <w:left w:val="single" w:sz="4" w:space="0" w:color="D0DCE8"/>
              <w:bottom w:val="single" w:sz="4" w:space="0" w:color="D0DCE8"/>
              <w:right w:val="single" w:sz="4" w:space="0" w:color="D0DCE8"/>
            </w:tcBorders>
            <w:shd w:val="clear" w:color="auto" w:fill="FFFFFF"/>
          </w:tcPr>
          <w:p>
            <w:pPr>
              <w:spacing w:before="80" w:after="80"/>
            </w:pPr>
            <w:r/>
            <w:r>
              <w:rPr>
                <w:rFonts w:ascii="Calibri" w:hAnsi="Calibri"/>
                <w:b w:val="0"/>
                <w:i w:val="0"/>
                <w:color w:val="3C3C3C"/>
                <w:sz w:val="18"/>
              </w:rPr>
              <w:t>Canal des alertes : les push notifications PWA sont retenues comme canal principal. Faut-il également un fallback e-mail transactionnel pour les utilisateurs n'ayant pas autorisé les push ?</w:t>
            </w:r>
          </w:p>
        </w:tc>
      </w:tr>
      <w:tr>
        <w:tc>
          <w:tcPr>
            <w:tcW w:type="dxa" w:w="1134"/>
            <w:tcBorders>
              <w:top w:val="single" w:sz="4" w:space="0" w:color="D0DCE8"/>
              <w:left w:val="single" w:sz="4" w:space="0" w:color="D0DCE8"/>
              <w:bottom w:val="single" w:sz="4" w:space="0" w:color="D0DCE8"/>
              <w:right w:val="single" w:sz="4" w:space="0" w:color="D0DCE8"/>
            </w:tcBorders>
            <w:shd w:val="clear" w:color="auto" w:fill="FFFDF5"/>
          </w:tcPr>
          <w:p>
            <w:pPr>
              <w:spacing w:before="80" w:after="80"/>
            </w:pPr>
            <w:r/>
            <w:r>
              <w:rPr>
                <w:rFonts w:ascii="Calibri" w:hAnsi="Calibri"/>
                <w:b/>
                <w:i w:val="0"/>
                <w:color w:val="F57C00"/>
                <w:sz w:val="18"/>
              </w:rPr>
              <w:t>PO-05</w:t>
            </w:r>
          </w:p>
        </w:tc>
        <w:tc>
          <w:tcPr>
            <w:tcW w:type="dxa" w:w="8220"/>
            <w:tcBorders>
              <w:top w:val="single" w:sz="4" w:space="0" w:color="D0DCE8"/>
              <w:left w:val="single" w:sz="4" w:space="0" w:color="D0DCE8"/>
              <w:bottom w:val="single" w:sz="4" w:space="0" w:color="D0DCE8"/>
              <w:right w:val="single" w:sz="4" w:space="0" w:color="D0DCE8"/>
            </w:tcBorders>
            <w:shd w:val="clear" w:color="auto" w:fill="FFFDF5"/>
          </w:tcPr>
          <w:p>
            <w:pPr>
              <w:spacing w:before="80" w:after="80"/>
            </w:pPr>
            <w:r/>
            <w:r>
              <w:rPr>
                <w:rFonts w:ascii="Calibri" w:hAnsi="Calibri"/>
                <w:b w:val="0"/>
                <w:i w:val="0"/>
                <w:color w:val="3C3C3C"/>
                <w:sz w:val="18"/>
              </w:rPr>
              <w:t>API de taux de change : quelle source retenir ? (ex. : Open Exchange Rates, Fixer.io, ECB) — impact sur coût et fraîcheur des taux.</w:t>
            </w:r>
          </w:p>
        </w:tc>
      </w:tr>
      <w:tr>
        <w:tc>
          <w:tcPr>
            <w:tcW w:type="dxa" w:w="1134"/>
            <w:tcBorders>
              <w:top w:val="single" w:sz="4" w:space="0" w:color="D0DCE8"/>
              <w:left w:val="single" w:sz="4" w:space="0" w:color="D0DCE8"/>
              <w:bottom w:val="single" w:sz="4" w:space="0" w:color="D0DCE8"/>
              <w:right w:val="single" w:sz="4" w:space="0" w:color="D0DCE8"/>
            </w:tcBorders>
            <w:shd w:val="clear" w:color="auto" w:fill="FFFFFF"/>
          </w:tcPr>
          <w:p>
            <w:pPr>
              <w:spacing w:before="80" w:after="80"/>
            </w:pPr>
            <w:r/>
            <w:r>
              <w:rPr>
                <w:rFonts w:ascii="Calibri" w:hAnsi="Calibri"/>
                <w:b/>
                <w:i w:val="0"/>
                <w:color w:val="F57C00"/>
                <w:sz w:val="18"/>
              </w:rPr>
              <w:t>PO-06</w:t>
            </w:r>
          </w:p>
        </w:tc>
        <w:tc>
          <w:tcPr>
            <w:tcW w:type="dxa" w:w="8220"/>
            <w:tcBorders>
              <w:top w:val="single" w:sz="4" w:space="0" w:color="D0DCE8"/>
              <w:left w:val="single" w:sz="4" w:space="0" w:color="D0DCE8"/>
              <w:bottom w:val="single" w:sz="4" w:space="0" w:color="D0DCE8"/>
              <w:right w:val="single" w:sz="4" w:space="0" w:color="D0DCE8"/>
            </w:tcBorders>
            <w:shd w:val="clear" w:color="auto" w:fill="FFFFFF"/>
          </w:tcPr>
          <w:p>
            <w:pPr>
              <w:spacing w:before="80" w:after="80"/>
            </w:pPr>
            <w:r/>
            <w:r>
              <w:rPr>
                <w:rFonts w:ascii="Calibri" w:hAnsi="Calibri"/>
                <w:b w:val="0"/>
                <w:i w:val="0"/>
                <w:color w:val="3C3C3C"/>
                <w:sz w:val="18"/>
              </w:rPr>
              <w:t>Politique de rétention des données supprimées : corbeille (30 j) ou suppression immédiate avec export préalable ?</w:t>
            </w:r>
          </w:p>
        </w:tc>
      </w:tr>
      <w:tr>
        <w:tc>
          <w:tcPr>
            <w:tcW w:type="dxa" w:w="1134"/>
            <w:tcBorders>
              <w:top w:val="single" w:sz="4" w:space="0" w:color="D0DCE8"/>
              <w:left w:val="single" w:sz="4" w:space="0" w:color="D0DCE8"/>
              <w:bottom w:val="single" w:sz="4" w:space="0" w:color="D0DCE8"/>
              <w:right w:val="single" w:sz="4" w:space="0" w:color="D0DCE8"/>
            </w:tcBorders>
            <w:shd w:val="clear" w:color="auto" w:fill="FFFDF5"/>
          </w:tcPr>
          <w:p>
            <w:pPr>
              <w:spacing w:before="80" w:after="80"/>
            </w:pPr>
            <w:r/>
            <w:r>
              <w:rPr>
                <w:rFonts w:ascii="Calibri" w:hAnsi="Calibri"/>
                <w:b/>
                <w:i w:val="0"/>
                <w:color w:val="F57C00"/>
                <w:sz w:val="18"/>
              </w:rPr>
              <w:t>PO-07</w:t>
            </w:r>
          </w:p>
        </w:tc>
        <w:tc>
          <w:tcPr>
            <w:tcW w:type="dxa" w:w="8220"/>
            <w:tcBorders>
              <w:top w:val="single" w:sz="4" w:space="0" w:color="D0DCE8"/>
              <w:left w:val="single" w:sz="4" w:space="0" w:color="D0DCE8"/>
              <w:bottom w:val="single" w:sz="4" w:space="0" w:color="D0DCE8"/>
              <w:right w:val="single" w:sz="4" w:space="0" w:color="D0DCE8"/>
            </w:tcBorders>
            <w:shd w:val="clear" w:color="auto" w:fill="FFFDF5"/>
          </w:tcPr>
          <w:p>
            <w:pPr>
              <w:spacing w:before="80" w:after="80"/>
            </w:pPr>
            <w:r/>
            <w:r>
              <w:rPr>
                <w:rFonts w:ascii="Calibri" w:hAnsi="Calibri"/>
                <w:b w:val="0"/>
                <w:i w:val="0"/>
                <w:color w:val="3C3C3C"/>
                <w:sz w:val="18"/>
              </w:rPr>
              <w:t>Format(s) CSV d'import supportés au lancement : template propriétaire imposé ou reconnaissance de formats courants (Wallet, Spendee, Excel) ?</w:t>
            </w:r>
          </w:p>
        </w:tc>
      </w:tr>
      <w:tr>
        <w:tc>
          <w:tcPr>
            <w:tcW w:type="dxa" w:w="1134"/>
            <w:tcBorders>
              <w:top w:val="single" w:sz="4" w:space="0" w:color="D0DCE8"/>
              <w:left w:val="single" w:sz="4" w:space="0" w:color="D0DCE8"/>
              <w:bottom w:val="single" w:sz="4" w:space="0" w:color="D0DCE8"/>
              <w:right w:val="single" w:sz="4" w:space="0" w:color="D0DCE8"/>
            </w:tcBorders>
            <w:shd w:val="clear" w:color="auto" w:fill="FFFFFF"/>
          </w:tcPr>
          <w:p>
            <w:pPr>
              <w:spacing w:before="80" w:after="80"/>
            </w:pPr>
            <w:r/>
            <w:r>
              <w:rPr>
                <w:rFonts w:ascii="Calibri" w:hAnsi="Calibri"/>
                <w:b/>
                <w:i w:val="0"/>
                <w:color w:val="F57C00"/>
                <w:sz w:val="18"/>
              </w:rPr>
              <w:t>PO-08</w:t>
            </w:r>
          </w:p>
        </w:tc>
        <w:tc>
          <w:tcPr>
            <w:tcW w:type="dxa" w:w="8220"/>
            <w:tcBorders>
              <w:top w:val="single" w:sz="4" w:space="0" w:color="D0DCE8"/>
              <w:left w:val="single" w:sz="4" w:space="0" w:color="D0DCE8"/>
              <w:bottom w:val="single" w:sz="4" w:space="0" w:color="D0DCE8"/>
              <w:right w:val="single" w:sz="4" w:space="0" w:color="D0DCE8"/>
            </w:tcBorders>
            <w:shd w:val="clear" w:color="auto" w:fill="FFFFFF"/>
          </w:tcPr>
          <w:p>
            <w:pPr>
              <w:spacing w:before="80" w:after="80"/>
            </w:pPr>
            <w:r/>
            <w:r>
              <w:rPr>
                <w:rFonts w:ascii="Calibri" w:hAnsi="Calibri"/>
                <w:b w:val="0"/>
                <w:i w:val="0"/>
                <w:color w:val="3C3C3C"/>
                <w:sz w:val="18"/>
              </w:rPr>
              <w:t>Tarification Premium : mensuelle uniquement, ou annuelle avec réduction ? Période d'essai gratuite (7 ou 30 jours) ?</w:t>
            </w:r>
          </w:p>
        </w:tc>
      </w:tr>
      <w:tr>
        <w:tc>
          <w:tcPr>
            <w:tcW w:type="dxa" w:w="1134"/>
            <w:tcBorders>
              <w:top w:val="single" w:sz="4" w:space="0" w:color="D0DCE8"/>
              <w:left w:val="single" w:sz="4" w:space="0" w:color="D0DCE8"/>
              <w:bottom w:val="single" w:sz="4" w:space="0" w:color="D0DCE8"/>
              <w:right w:val="single" w:sz="4" w:space="0" w:color="D0DCE8"/>
            </w:tcBorders>
            <w:shd w:val="clear" w:color="auto" w:fill="FFFDF5"/>
          </w:tcPr>
          <w:p>
            <w:pPr>
              <w:spacing w:before="80" w:after="80"/>
            </w:pPr>
            <w:r/>
            <w:r>
              <w:rPr>
                <w:rFonts w:ascii="Calibri" w:hAnsi="Calibri"/>
                <w:b/>
                <w:i w:val="0"/>
                <w:color w:val="F57C00"/>
                <w:sz w:val="18"/>
              </w:rPr>
              <w:t>PO-09</w:t>
            </w:r>
          </w:p>
        </w:tc>
        <w:tc>
          <w:tcPr>
            <w:tcW w:type="dxa" w:w="8220"/>
            <w:tcBorders>
              <w:top w:val="single" w:sz="4" w:space="0" w:color="D0DCE8"/>
              <w:left w:val="single" w:sz="4" w:space="0" w:color="D0DCE8"/>
              <w:bottom w:val="single" w:sz="4" w:space="0" w:color="D0DCE8"/>
              <w:right w:val="single" w:sz="4" w:space="0" w:color="D0DCE8"/>
            </w:tcBorders>
            <w:shd w:val="clear" w:color="auto" w:fill="FFFDF5"/>
          </w:tcPr>
          <w:p>
            <w:pPr>
              <w:spacing w:before="80" w:after="80"/>
            </w:pPr>
            <w:r/>
            <w:r>
              <w:rPr>
                <w:rFonts w:ascii="Calibri" w:hAnsi="Calibri"/>
                <w:b w:val="0"/>
                <w:i w:val="0"/>
                <w:color w:val="3C3C3C"/>
                <w:sz w:val="18"/>
              </w:rPr>
              <w:t>Délai de rappel avant facture : J-3 fixe ou configurable par l'utilisateur (J-1 à J-7) ?</w:t>
            </w:r>
          </w:p>
        </w:tc>
      </w:tr>
      <w:tr>
        <w:tc>
          <w:tcPr>
            <w:tcW w:type="dxa" w:w="1134"/>
            <w:tcBorders>
              <w:top w:val="single" w:sz="4" w:space="0" w:color="D0DCE8"/>
              <w:left w:val="single" w:sz="4" w:space="0" w:color="D0DCE8"/>
              <w:bottom w:val="single" w:sz="4" w:space="0" w:color="D0DCE8"/>
              <w:right w:val="single" w:sz="4" w:space="0" w:color="D0DCE8"/>
            </w:tcBorders>
            <w:shd w:val="clear" w:color="auto" w:fill="FFFFFF"/>
          </w:tcPr>
          <w:p>
            <w:pPr>
              <w:spacing w:before="80" w:after="80"/>
            </w:pPr>
            <w:r/>
            <w:r>
              <w:rPr>
                <w:rFonts w:ascii="Calibri" w:hAnsi="Calibri"/>
                <w:b/>
                <w:i w:val="0"/>
                <w:color w:val="F57C00"/>
                <w:sz w:val="18"/>
              </w:rPr>
              <w:t>PO-10</w:t>
            </w:r>
          </w:p>
        </w:tc>
        <w:tc>
          <w:tcPr>
            <w:tcW w:type="dxa" w:w="8220"/>
            <w:tcBorders>
              <w:top w:val="single" w:sz="4" w:space="0" w:color="D0DCE8"/>
              <w:left w:val="single" w:sz="4" w:space="0" w:color="D0DCE8"/>
              <w:bottom w:val="single" w:sz="4" w:space="0" w:color="D0DCE8"/>
              <w:right w:val="single" w:sz="4" w:space="0" w:color="D0DCE8"/>
            </w:tcBorders>
            <w:shd w:val="clear" w:color="auto" w:fill="FFFFFF"/>
          </w:tcPr>
          <w:p>
            <w:pPr>
              <w:spacing w:before="80" w:after="80"/>
            </w:pPr>
            <w:r/>
            <w:r>
              <w:rPr>
                <w:rFonts w:ascii="Calibri" w:hAnsi="Calibri"/>
                <w:b w:val="0"/>
                <w:i w:val="0"/>
                <w:color w:val="3C3C3C"/>
                <w:sz w:val="18"/>
              </w:rPr>
              <w:t>La 2FA est-elle obligatoire pour les comptes Premium ou optionnelle pour tous ?</w:t>
            </w:r>
          </w:p>
        </w:tc>
      </w:tr>
      <w:tr>
        <w:tc>
          <w:tcPr>
            <w:tcW w:type="dxa" w:w="1134"/>
            <w:tcBorders>
              <w:top w:val="single" w:sz="4" w:space="0" w:color="D0DCE8"/>
              <w:left w:val="single" w:sz="4" w:space="0" w:color="D0DCE8"/>
              <w:bottom w:val="single" w:sz="4" w:space="0" w:color="D0DCE8"/>
              <w:right w:val="single" w:sz="4" w:space="0" w:color="D0DCE8"/>
            </w:tcBorders>
            <w:shd w:val="clear" w:color="auto" w:fill="FFFDF5"/>
          </w:tcPr>
          <w:p>
            <w:pPr>
              <w:spacing w:before="80" w:after="80"/>
            </w:pPr>
            <w:r/>
            <w:r>
              <w:rPr>
                <w:rFonts w:ascii="Calibri" w:hAnsi="Calibri"/>
                <w:b/>
                <w:i w:val="0"/>
                <w:color w:val="F57C00"/>
                <w:sz w:val="18"/>
              </w:rPr>
              <w:t>PO-11</w:t>
            </w:r>
          </w:p>
        </w:tc>
        <w:tc>
          <w:tcPr>
            <w:tcW w:type="dxa" w:w="8220"/>
            <w:tcBorders>
              <w:top w:val="single" w:sz="4" w:space="0" w:color="D0DCE8"/>
              <w:left w:val="single" w:sz="4" w:space="0" w:color="D0DCE8"/>
              <w:bottom w:val="single" w:sz="4" w:space="0" w:color="D0DCE8"/>
              <w:right w:val="single" w:sz="4" w:space="0" w:color="D0DCE8"/>
            </w:tcBorders>
            <w:shd w:val="clear" w:color="auto" w:fill="FFFDF5"/>
          </w:tcPr>
          <w:p>
            <w:pPr>
              <w:spacing w:before="80" w:after="80"/>
            </w:pPr>
            <w:r/>
            <w:r>
              <w:rPr>
                <w:rFonts w:ascii="Calibri" w:hAnsi="Calibri"/>
                <w:b w:val="0"/>
                <w:i w:val="0"/>
                <w:color w:val="3C3C3C"/>
                <w:sz w:val="18"/>
              </w:rPr>
              <w:t>Agrégateur Open Banking : quel prestataire retenir ? Options principales selon le marché cible :</w:t>
              <w:br/>
              <w:t xml:space="preserve">  • Tink (Visa) — Europe 30+ pays, 3 400+ banques, robuste, pricing entreprise</w:t>
              <w:br/>
              <w:t xml:space="preserve">  • Budget Insight / Powens — Spécialiste France/Maroc, bien intégré en francophonie</w:t>
              <w:br/>
              <w:t xml:space="preserve">  • Plaid — Fort aux USA, Europe en expansion, 100 % DSP2</w:t>
              <w:br/>
              <w:t xml:space="preserve">  • Salt Edge — Europe + APAC, enrichissement de données inclus</w:t>
              <w:br/>
              <w:t xml:space="preserve">  Critères de choix : couverture géographique cible, coût par connexion/mois, certification AISP, délai d'intégration.</w:t>
            </w:r>
          </w:p>
        </w:tc>
      </w:tr>
      <w:tr>
        <w:tc>
          <w:tcPr>
            <w:tcW w:type="dxa" w:w="1134"/>
            <w:tcBorders>
              <w:top w:val="single" w:sz="4" w:space="0" w:color="D0DCE8"/>
              <w:left w:val="single" w:sz="4" w:space="0" w:color="D0DCE8"/>
              <w:bottom w:val="single" w:sz="4" w:space="0" w:color="D0DCE8"/>
              <w:right w:val="single" w:sz="4" w:space="0" w:color="D0DCE8"/>
            </w:tcBorders>
            <w:shd w:val="clear" w:color="auto" w:fill="FFFFFF"/>
          </w:tcPr>
          <w:p>
            <w:pPr>
              <w:spacing w:before="80" w:after="80"/>
            </w:pPr>
            <w:r/>
            <w:r>
              <w:rPr>
                <w:rFonts w:ascii="Calibri" w:hAnsi="Calibri"/>
                <w:b/>
                <w:i w:val="0"/>
                <w:color w:val="F57C00"/>
                <w:sz w:val="18"/>
              </w:rPr>
              <w:t>PO-12</w:t>
            </w:r>
          </w:p>
        </w:tc>
        <w:tc>
          <w:tcPr>
            <w:tcW w:type="dxa" w:w="8220"/>
            <w:tcBorders>
              <w:top w:val="single" w:sz="4" w:space="0" w:color="D0DCE8"/>
              <w:left w:val="single" w:sz="4" w:space="0" w:color="D0DCE8"/>
              <w:bottom w:val="single" w:sz="4" w:space="0" w:color="D0DCE8"/>
              <w:right w:val="single" w:sz="4" w:space="0" w:color="D0DCE8"/>
            </w:tcBorders>
            <w:shd w:val="clear" w:color="auto" w:fill="FFFFFF"/>
          </w:tcPr>
          <w:p>
            <w:pPr>
              <w:spacing w:before="80" w:after="80"/>
            </w:pPr>
            <w:r/>
            <w:r>
              <w:rPr>
                <w:rFonts w:ascii="Calibri" w:hAnsi="Calibri"/>
                <w:b w:val="0"/>
                <w:i w:val="0"/>
                <w:color w:val="3C3C3C"/>
                <w:sz w:val="18"/>
              </w:rPr>
              <w:t>Faut-il que l'app obtienne elle-même la certification AISP (agrément ACPR en France) ou passe-t-elle uniquement par un agrégateur certifié en tant que sous-traitant technique ?</w:t>
            </w:r>
          </w:p>
        </w:tc>
      </w:tr>
      <w:tr>
        <w:tc>
          <w:tcPr>
            <w:tcW w:type="dxa" w:w="1134"/>
            <w:tcBorders>
              <w:top w:val="single" w:sz="4" w:space="0" w:color="D0DCE8"/>
              <w:left w:val="single" w:sz="4" w:space="0" w:color="D0DCE8"/>
              <w:bottom w:val="single" w:sz="4" w:space="0" w:color="D0DCE8"/>
              <w:right w:val="single" w:sz="4" w:space="0" w:color="D0DCE8"/>
            </w:tcBorders>
            <w:shd w:val="clear" w:color="auto" w:fill="FFFDF5"/>
          </w:tcPr>
          <w:p>
            <w:pPr>
              <w:spacing w:before="80" w:after="80"/>
            </w:pPr>
            <w:r/>
            <w:r>
              <w:rPr>
                <w:rFonts w:ascii="Calibri" w:hAnsi="Calibri"/>
                <w:b/>
                <w:i w:val="0"/>
                <w:color w:val="F57C00"/>
                <w:sz w:val="18"/>
              </w:rPr>
              <w:t>PO-13</w:t>
            </w:r>
          </w:p>
        </w:tc>
        <w:tc>
          <w:tcPr>
            <w:tcW w:type="dxa" w:w="8220"/>
            <w:tcBorders>
              <w:top w:val="single" w:sz="4" w:space="0" w:color="D0DCE8"/>
              <w:left w:val="single" w:sz="4" w:space="0" w:color="D0DCE8"/>
              <w:bottom w:val="single" w:sz="4" w:space="0" w:color="D0DCE8"/>
              <w:right w:val="single" w:sz="4" w:space="0" w:color="D0DCE8"/>
            </w:tcBorders>
            <w:shd w:val="clear" w:color="auto" w:fill="FFFDF5"/>
          </w:tcPr>
          <w:p>
            <w:pPr>
              <w:spacing w:before="80" w:after="80"/>
            </w:pPr>
            <w:r/>
            <w:r>
              <w:rPr>
                <w:rFonts w:ascii="Calibri" w:hAnsi="Calibri"/>
                <w:b w:val="0"/>
                <w:i w:val="0"/>
                <w:color w:val="3C3C3C"/>
                <w:sz w:val="18"/>
              </w:rPr>
              <w:t>Nombre maximum de banques connectables en Premium : 3 au lancement ou illimité ? Impact sur le coût API à prévoir.</w:t>
            </w:r>
          </w:p>
        </w:tc>
      </w:tr>
    </w:tbl>
    <w:p>
      <w:pPr>
        <w:spacing w:before="240" w:after="100"/>
        <w:jc w:val="left"/>
      </w:pPr>
    </w:p>
    <w:p>
      <w:pPr>
        <w:spacing w:before="200" w:after="60"/>
      </w:pPr>
      <w:r>
        <w:rPr>
          <w:rFonts w:ascii="Calibri" w:hAnsi="Calibri"/>
          <w:b/>
          <w:i w:val="0"/>
          <w:color w:val="1A73E8"/>
          <w:sz w:val="22"/>
        </w:rPr>
        <w:t>Prochaines étapes</w:t>
      </w:r>
    </w:p>
    <w:p>
      <w:pPr>
        <w:spacing w:after="80"/>
        <w:ind w:left="454"/>
      </w:pPr>
      <w:r>
        <w:rPr>
          <w:rFonts w:ascii="Calibri" w:hAnsi="Calibri"/>
          <w:b w:val="0"/>
          <w:i w:val="0"/>
          <w:color w:val="3C3C3C"/>
          <w:sz w:val="20"/>
        </w:rPr>
        <w:t>1.  Validation du présent document par le client (arbitrage des 10 points ouverts).</w:t>
      </w:r>
    </w:p>
    <w:p>
      <w:pPr>
        <w:spacing w:after="80"/>
        <w:ind w:left="454"/>
      </w:pPr>
      <w:r>
        <w:rPr>
          <w:rFonts w:ascii="Calibri" w:hAnsi="Calibri"/>
          <w:b w:val="0"/>
          <w:i w:val="0"/>
          <w:color w:val="3C3C3C"/>
          <w:sz w:val="20"/>
        </w:rPr>
        <w:t>2.  Maquettage UX/UI : wireframes des 6 écrans principaux (dashboard, saisie, budgets, insights, épargne, réglages).</w:t>
      </w:r>
    </w:p>
    <w:p>
      <w:pPr>
        <w:spacing w:after="80"/>
        <w:ind w:left="454"/>
      </w:pPr>
      <w:r>
        <w:rPr>
          <w:rFonts w:ascii="Calibri" w:hAnsi="Calibri"/>
          <w:b w:val="0"/>
          <w:i w:val="0"/>
          <w:color w:val="3C3C3C"/>
          <w:sz w:val="20"/>
        </w:rPr>
        <w:t>3.  Définition de l'architecture technique et choix de la stack.</w:t>
      </w:r>
    </w:p>
    <w:p>
      <w:pPr>
        <w:spacing w:after="80"/>
        <w:ind w:left="454"/>
      </w:pPr>
      <w:r>
        <w:rPr>
          <w:rFonts w:ascii="Calibri" w:hAnsi="Calibri"/>
          <w:b w:val="0"/>
          <w:i w:val="0"/>
          <w:color w:val="3C3C3C"/>
          <w:sz w:val="20"/>
        </w:rPr>
        <w:t>4.  Chiffrage et découpage en sprints (MVP 12 semaines proposé).</w:t>
      </w:r>
    </w:p>
    <w:p>
      <w:pPr>
        <w:spacing w:after="80"/>
        <w:ind w:left="454"/>
      </w:pPr>
      <w:r>
        <w:rPr>
          <w:rFonts w:ascii="Calibri" w:hAnsi="Calibri"/>
          <w:b w:val="0"/>
          <w:i w:val="0"/>
          <w:color w:val="3C3C3C"/>
          <w:sz w:val="20"/>
        </w:rPr>
        <w:t>5.  Mise en place des KPIs de succès produit : taux d'activation J+7, taux de conversion Free → Premium à M+3, rétention M+1.</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