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Shamrock Oil Spill that occurred at the Victoria Texas Barge Canal on January 6th, 2024, has caused me numerous health issues, particularly related to my vision and overall well-being. Since the oil spill, my right eye has been releasing uncontrollable periodic tears, and the gland is always inflamed, red, and itchy. It releases excessive eye mucus, leading to persistent eye redness, discomfort, and uncontrollable vision problems such as blurry vision and difficulty focusing on objects. Both my left and right eyes become blurry and unfocused periodically throughout the day due to this oil spill event, significantly damaging my quality of life.</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I suffer from never-ending periodic migraines that seem to occur each week, further affecting my well-being in the long term. I have sought medical attention from Advanced Vision Care and Citizens Hospital Center, but their staff and doctors have been unable to fully analyze, explain, or understand all the long-term medical issues arising from Shamrock's oil spill's impact on the Victoria, Texas, community. The healthcare providers I have visited include:</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Citizens Hospital Center, 2701 Hospital Drive, Victoria, Texas 77901.</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Advanced Vision Care: 2710 East Airline Road, Victoria, Texas 77901.</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Walmart Pharmacy: 4001 Houston Highway, Victoria, Texas 77901 (Phone: 361-827-7275)</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Advanced Vision Care (Phone: 361-485-9421)</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Citizens Medical Center (Phone: 361-573-9181)</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around the date of the oil spill, I attempted to work at Advanced Drainage Systems as a downstream technician, located at 801 Hickey Street, Yoakum, Texas 77995. However, due to the blurry vision issues in both my eyes caused by the Diamond Shamrock Products Oil Spill, I could not make the one-hour drive anymore and had to stop working.</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Shamrock Oil Spill has led to numerous health issues such as vision problems, migraines, and overall discomfort, significantly impacting my quality of life and ability to work. Despite seeking medical attention from several healthcare providers, these problems persist, and I continue to experience significant difficulties in my daily life due to these health concerns.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