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9240B9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9240B9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9240B9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58C689DF" w:rsidR="001000DF" w:rsidRPr="00100237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/>
          <w:b/>
        </w:rPr>
        <w:t>ПРОТОКОЛ №В-636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73873D1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____________________202</w:t>
      </w:r>
      <w:r w:rsidR="00472D8B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45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289"/>
        <w:gridCol w:w="2115"/>
        <w:gridCol w:w="2832"/>
        <w:gridCol w:w="2159"/>
        <w:gridCol w:w="2537"/>
        <w:gridCol w:w="1556"/>
        <w:gridCol w:w="1845"/>
      </w:tblGrid>
      <w:tr w:rsidR="00C069AE" w:rsidRPr="006B7759" w14:paraId="794CFC80" w14:textId="77777777" w:rsidTr="00C14E62">
        <w:trPr>
          <w:trHeight w:val="442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BDE2" w14:textId="77777777" w:rsidR="00C069AE" w:rsidRPr="006B7759" w:rsidRDefault="00C069AE" w:rsidP="00CC7820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r w:rsidRPr="006B7759">
              <w:rPr>
                <w:b/>
                <w:sz w:val="20"/>
                <w:szCs w:val="20"/>
              </w:rPr>
              <w:t>N</w:t>
            </w:r>
          </w:p>
          <w:p w14:paraId="24397792" w14:textId="77777777" w:rsidR="00C069AE" w:rsidRPr="006B7759" w:rsidRDefault="00C069AE" w:rsidP="00CC7820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82A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43538214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5B2058A" w14:textId="77777777" w:rsidR="00C069AE" w:rsidRPr="006B7759" w:rsidRDefault="00C069AE" w:rsidP="00CC7820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7BE3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71C9DF1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E4B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13D3E8D9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7B36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D55" w14:textId="77777777" w:rsidR="00C069AE" w:rsidRPr="006B7759" w:rsidRDefault="00C069AE" w:rsidP="00CC782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275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A31B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</w:tbl>
    <w:p w14:paraId="415D72D4" w14:textId="77777777" w:rsidR="00204C93" w:rsidRDefault="00204C93"/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1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E11D2B" w:rsidRPr="006B7759" w14:paraId="66CB49E9" w14:textId="77777777" w:rsidTr="00204C9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204C9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204C9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5B4AD" w14:textId="77777777" w:rsidR="00CB61DE" w:rsidRDefault="00CB61DE" w:rsidP="00645CF9">
      <w:r>
        <w:separator/>
      </w:r>
    </w:p>
  </w:endnote>
  <w:endnote w:type="continuationSeparator" w:id="0">
    <w:p w14:paraId="4B037DE6" w14:textId="77777777" w:rsidR="00CB61DE" w:rsidRDefault="00CB61DE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D0C06" w14:textId="77777777" w:rsidR="00CB61DE" w:rsidRDefault="00CB61DE" w:rsidP="00645CF9">
      <w:r>
        <w:separator/>
      </w:r>
    </w:p>
  </w:footnote>
  <w:footnote w:type="continuationSeparator" w:id="0">
    <w:p w14:paraId="407AC1A1" w14:textId="77777777" w:rsidR="00CB61DE" w:rsidRDefault="00CB61DE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694109631">
    <w:abstractNumId w:val="1"/>
  </w:num>
  <w:num w:numId="2" w16cid:durableId="36949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EFA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720E3"/>
    <w:rsid w:val="00187F29"/>
    <w:rsid w:val="00194DE8"/>
    <w:rsid w:val="00195EFD"/>
    <w:rsid w:val="001A0572"/>
    <w:rsid w:val="001A0BDB"/>
    <w:rsid w:val="001A1181"/>
    <w:rsid w:val="001B02CE"/>
    <w:rsid w:val="001D50BB"/>
    <w:rsid w:val="001E643E"/>
    <w:rsid w:val="001F1CEF"/>
    <w:rsid w:val="00204C93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15BFF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13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13620"/>
    <w:rsid w:val="00A22745"/>
    <w:rsid w:val="00A316DB"/>
    <w:rsid w:val="00A3289E"/>
    <w:rsid w:val="00A355E6"/>
    <w:rsid w:val="00A451C5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54909"/>
    <w:rsid w:val="00B57901"/>
    <w:rsid w:val="00B60AED"/>
    <w:rsid w:val="00B67FAC"/>
    <w:rsid w:val="00B746E0"/>
    <w:rsid w:val="00B75EA1"/>
    <w:rsid w:val="00B777AD"/>
    <w:rsid w:val="00B77C6F"/>
    <w:rsid w:val="00B9012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2102F"/>
    <w:rsid w:val="00C2658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B61DE"/>
    <w:rsid w:val="00CC2F87"/>
    <w:rsid w:val="00CC7820"/>
    <w:rsid w:val="00CE0278"/>
    <w:rsid w:val="00CE6E14"/>
    <w:rsid w:val="00CF5FFE"/>
    <w:rsid w:val="00CF68E7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1A27"/>
    <w:rsid w:val="00D92F4F"/>
    <w:rsid w:val="00DA115E"/>
    <w:rsid w:val="00DA3A6F"/>
    <w:rsid w:val="00DA3C7C"/>
    <w:rsid w:val="00DA7469"/>
    <w:rsid w:val="00DB78C9"/>
    <w:rsid w:val="00DC59CF"/>
    <w:rsid w:val="00DD62BD"/>
    <w:rsid w:val="00DE7552"/>
    <w:rsid w:val="00DF0E19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55</cp:revision>
  <cp:lastPrinted>2024-10-25T07:29:00Z</cp:lastPrinted>
  <dcterms:created xsi:type="dcterms:W3CDTF">2023-09-14T16:27:00Z</dcterms:created>
  <dcterms:modified xsi:type="dcterms:W3CDTF">2025-07-18T10:59:00Z</dcterms:modified>
</cp:coreProperties>
</file>