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2463" w:rsidRPr="003C155D" w:rsidRDefault="009869B6" w:rsidP="00EA0581">
      <w:pPr>
        <w:jc w:val="both"/>
        <w:rPr>
          <w:rFonts w:asciiTheme="majorHAnsi" w:hAnsiTheme="majorHAnsi" w:cstheme="majorHAnsi"/>
          <w:b/>
          <w:color w:val="1F497D" w:themeColor="text2"/>
          <w:sz w:val="28"/>
        </w:rPr>
      </w:pPr>
      <w:r w:rsidRPr="003C155D">
        <w:rPr>
          <w:rFonts w:asciiTheme="majorHAnsi" w:hAnsiTheme="majorHAnsi" w:cstheme="majorHAnsi"/>
          <w:b/>
          <w:color w:val="1F497D" w:themeColor="text2"/>
          <w:sz w:val="28"/>
        </w:rPr>
        <w:t>Guía de Estilo y Normativa de Diseño Centrada en el Usuario</w:t>
      </w:r>
    </w:p>
    <w:p w:rsidR="009869B6" w:rsidRPr="003C155D" w:rsidRDefault="009869B6" w:rsidP="00EA0581">
      <w:pPr>
        <w:jc w:val="both"/>
        <w:rPr>
          <w:rFonts w:asciiTheme="majorHAnsi" w:hAnsiTheme="majorHAnsi" w:cstheme="majorHAnsi"/>
          <w:b/>
          <w:color w:val="1F497D" w:themeColor="text2"/>
          <w:sz w:val="28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color w:val="1F497D" w:themeColor="text2"/>
          <w:sz w:val="24"/>
        </w:rPr>
        <w:t>1. Información general del proyecto</w:t>
      </w:r>
    </w:p>
    <w:p w:rsidR="00D752BD" w:rsidRPr="003E0BC6" w:rsidRDefault="009869B6" w:rsidP="00EA0581">
      <w:pPr>
        <w:jc w:val="both"/>
        <w:rPr>
          <w:rFonts w:cstheme="majorHAnsi"/>
          <w:bCs/>
          <w:sz w:val="28"/>
          <w:szCs w:val="28"/>
        </w:rPr>
      </w:pPr>
      <w:r w:rsidRPr="003E0BC6">
        <w:rPr>
          <w:rFonts w:asciiTheme="majorHAnsi" w:hAnsiTheme="majorHAnsi" w:cstheme="majorHAnsi"/>
          <w:b/>
          <w:bCs/>
          <w:sz w:val="28"/>
          <w:szCs w:val="28"/>
        </w:rPr>
        <w:t>Nombre del proyecto</w:t>
      </w:r>
      <w:r w:rsidRPr="003C155D">
        <w:rPr>
          <w:rFonts w:asciiTheme="majorHAnsi" w:hAnsiTheme="majorHAnsi" w:cstheme="majorHAnsi"/>
          <w:bCs/>
          <w:sz w:val="28"/>
          <w:szCs w:val="28"/>
        </w:rPr>
        <w:t xml:space="preserve">: </w:t>
      </w:r>
      <w:r w:rsidR="00552D2E" w:rsidRPr="003C155D">
        <w:rPr>
          <w:rFonts w:asciiTheme="majorHAnsi" w:hAnsiTheme="majorHAnsi" w:cstheme="majorHAnsi"/>
          <w:bCs/>
          <w:sz w:val="28"/>
          <w:szCs w:val="28"/>
        </w:rPr>
        <w:t>Guardián Wáter</w:t>
      </w:r>
      <w:r w:rsidRPr="003C155D">
        <w:rPr>
          <w:rFonts w:asciiTheme="majorHAnsi" w:hAnsiTheme="majorHAnsi" w:cstheme="majorHAnsi"/>
        </w:rPr>
        <w:br/>
      </w:r>
      <w:r w:rsidRPr="003C155D">
        <w:rPr>
          <w:rFonts w:asciiTheme="majorHAnsi" w:hAnsiTheme="majorHAnsi" w:cstheme="majorHAnsi"/>
          <w:b/>
          <w:sz w:val="28"/>
          <w:szCs w:val="28"/>
        </w:rPr>
        <w:t>E</w:t>
      </w:r>
      <w:r w:rsidR="00552D2E" w:rsidRPr="003C155D">
        <w:rPr>
          <w:rFonts w:asciiTheme="majorHAnsi" w:hAnsiTheme="majorHAnsi" w:cstheme="majorHAnsi"/>
          <w:b/>
          <w:sz w:val="28"/>
          <w:szCs w:val="28"/>
        </w:rPr>
        <w:t>quipo / Integrantes:</w:t>
      </w:r>
      <w:r w:rsidR="00552D2E" w:rsidRPr="003C155D">
        <w:rPr>
          <w:rFonts w:asciiTheme="majorHAnsi" w:hAnsiTheme="majorHAnsi" w:cstheme="majorHAnsi"/>
          <w:sz w:val="28"/>
          <w:szCs w:val="28"/>
        </w:rPr>
        <w:t xml:space="preserve"> </w:t>
      </w:r>
      <w:r w:rsidR="00552D2E" w:rsidRPr="003E0BC6">
        <w:rPr>
          <w:rFonts w:cstheme="majorHAnsi"/>
          <w:bCs/>
          <w:sz w:val="28"/>
          <w:szCs w:val="28"/>
        </w:rPr>
        <w:t xml:space="preserve">José Arturo García González, Diego Miguel Rivera Chávez, </w:t>
      </w:r>
    </w:p>
    <w:p w:rsidR="00272463" w:rsidRPr="003C155D" w:rsidRDefault="00552D2E" w:rsidP="00EA0581">
      <w:pPr>
        <w:jc w:val="both"/>
        <w:rPr>
          <w:rFonts w:asciiTheme="majorHAnsi" w:hAnsiTheme="majorHAnsi" w:cstheme="majorHAnsi"/>
          <w:b/>
          <w:bCs/>
        </w:rPr>
      </w:pPr>
      <w:r w:rsidRPr="003E0BC6">
        <w:rPr>
          <w:rFonts w:cstheme="majorHAnsi"/>
          <w:bCs/>
          <w:sz w:val="28"/>
          <w:szCs w:val="28"/>
        </w:rPr>
        <w:t xml:space="preserve">Erick </w:t>
      </w:r>
      <w:proofErr w:type="spellStart"/>
      <w:r w:rsidRPr="003E0BC6">
        <w:rPr>
          <w:rFonts w:cstheme="majorHAnsi"/>
          <w:bCs/>
          <w:sz w:val="28"/>
          <w:szCs w:val="28"/>
        </w:rPr>
        <w:t>Matias</w:t>
      </w:r>
      <w:proofErr w:type="spellEnd"/>
      <w:r w:rsidRPr="003E0BC6">
        <w:rPr>
          <w:rFonts w:cstheme="majorHAnsi"/>
          <w:bCs/>
          <w:sz w:val="28"/>
          <w:szCs w:val="28"/>
        </w:rPr>
        <w:t xml:space="preserve"> Granillo </w:t>
      </w:r>
      <w:proofErr w:type="spellStart"/>
      <w:r w:rsidRPr="003E0BC6">
        <w:rPr>
          <w:rFonts w:cstheme="majorHAnsi"/>
          <w:bCs/>
          <w:sz w:val="28"/>
          <w:szCs w:val="28"/>
        </w:rPr>
        <w:t>Mejia</w:t>
      </w:r>
      <w:proofErr w:type="spellEnd"/>
      <w:r w:rsidRPr="003E0BC6">
        <w:rPr>
          <w:rFonts w:cstheme="majorHAnsi"/>
          <w:bCs/>
          <w:sz w:val="28"/>
          <w:szCs w:val="28"/>
        </w:rPr>
        <w:t xml:space="preserve"> y Derek </w:t>
      </w:r>
      <w:proofErr w:type="spellStart"/>
      <w:r w:rsidRPr="003E0BC6">
        <w:rPr>
          <w:rFonts w:cstheme="majorHAnsi"/>
          <w:bCs/>
          <w:sz w:val="28"/>
          <w:szCs w:val="28"/>
        </w:rPr>
        <w:t>Sesni</w:t>
      </w:r>
      <w:proofErr w:type="spellEnd"/>
      <w:r w:rsidRPr="003E0BC6">
        <w:rPr>
          <w:rFonts w:cstheme="majorHAnsi"/>
          <w:bCs/>
          <w:sz w:val="28"/>
          <w:szCs w:val="28"/>
        </w:rPr>
        <w:t xml:space="preserve"> Carreño</w:t>
      </w:r>
      <w:r w:rsidR="009869B6" w:rsidRPr="003C155D">
        <w:rPr>
          <w:rFonts w:asciiTheme="majorHAnsi" w:hAnsiTheme="majorHAnsi" w:cstheme="majorHAnsi"/>
          <w:sz w:val="28"/>
          <w:szCs w:val="28"/>
        </w:rPr>
        <w:br/>
      </w:r>
      <w:r w:rsidR="009869B6" w:rsidRPr="003C155D">
        <w:rPr>
          <w:rFonts w:asciiTheme="majorHAnsi" w:hAnsiTheme="majorHAnsi" w:cstheme="majorHAnsi"/>
          <w:b/>
          <w:sz w:val="28"/>
          <w:szCs w:val="28"/>
        </w:rPr>
        <w:t>Público objetivo (usuario final):</w:t>
      </w:r>
      <w:r w:rsidR="009869B6" w:rsidRPr="003C155D">
        <w:rPr>
          <w:rFonts w:asciiTheme="majorHAnsi" w:hAnsiTheme="majorHAnsi" w:cstheme="majorHAnsi"/>
          <w:sz w:val="28"/>
          <w:szCs w:val="28"/>
        </w:rPr>
        <w:t xml:space="preserve"> </w:t>
      </w:r>
      <w:r w:rsidR="00D752BD" w:rsidRPr="003E0BC6">
        <w:rPr>
          <w:rFonts w:cstheme="majorHAnsi"/>
          <w:sz w:val="28"/>
          <w:szCs w:val="28"/>
        </w:rPr>
        <w:t xml:space="preserve">La aplicación está dirigida tanto a </w:t>
      </w:r>
      <w:r w:rsidR="00D752BD" w:rsidRPr="003E0BC6">
        <w:rPr>
          <w:rFonts w:cstheme="majorHAnsi"/>
          <w:bCs/>
          <w:sz w:val="28"/>
          <w:szCs w:val="28"/>
        </w:rPr>
        <w:t>ciudadanos comunes</w:t>
      </w:r>
      <w:r w:rsidR="00D752BD" w:rsidRPr="003E0BC6">
        <w:rPr>
          <w:rFonts w:cstheme="majorHAnsi"/>
          <w:sz w:val="28"/>
          <w:szCs w:val="28"/>
        </w:rPr>
        <w:t xml:space="preserve"> (usuarios domésticos del servicio de agua) como al </w:t>
      </w:r>
      <w:r w:rsidR="00D752BD" w:rsidRPr="003E0BC6">
        <w:rPr>
          <w:rFonts w:cstheme="majorHAnsi"/>
          <w:bCs/>
          <w:sz w:val="28"/>
          <w:szCs w:val="28"/>
        </w:rPr>
        <w:t>personal técnico y administrativo de SOSAPAX</w:t>
      </w:r>
      <w:r w:rsidR="00D752BD" w:rsidRPr="003E0BC6">
        <w:rPr>
          <w:rFonts w:cstheme="majorHAnsi"/>
          <w:sz w:val="28"/>
          <w:szCs w:val="28"/>
        </w:rPr>
        <w:t>, que gestionará los reportes y monitoreará el consumo hídrico.</w:t>
      </w:r>
      <w:r w:rsidR="009869B6" w:rsidRPr="003C155D">
        <w:rPr>
          <w:rFonts w:asciiTheme="majorHAnsi" w:hAnsiTheme="majorHAnsi" w:cstheme="majorHAnsi"/>
          <w:sz w:val="28"/>
          <w:szCs w:val="28"/>
        </w:rPr>
        <w:br/>
      </w:r>
      <w:r w:rsidR="009869B6" w:rsidRPr="003C155D">
        <w:rPr>
          <w:rFonts w:asciiTheme="majorHAnsi" w:hAnsiTheme="majorHAnsi" w:cstheme="majorHAnsi"/>
          <w:b/>
          <w:sz w:val="28"/>
          <w:szCs w:val="28"/>
        </w:rPr>
        <w:t>Objetivo principal de la interfaz:</w:t>
      </w:r>
      <w:r w:rsidR="00D752BD" w:rsidRPr="003C155D">
        <w:rPr>
          <w:rFonts w:asciiTheme="majorHAnsi" w:hAnsiTheme="majorHAnsi" w:cstheme="majorHAnsi"/>
          <w:sz w:val="28"/>
          <w:szCs w:val="28"/>
        </w:rPr>
        <w:t xml:space="preserve"> </w:t>
      </w:r>
      <w:r w:rsidR="00D752BD" w:rsidRPr="003E0BC6">
        <w:rPr>
          <w:rFonts w:cstheme="majorHAnsi"/>
          <w:sz w:val="28"/>
          <w:szCs w:val="28"/>
        </w:rPr>
        <w:t xml:space="preserve">Facilitar a los usuarios el acceso rápido y sencillo a las funciones de </w:t>
      </w:r>
      <w:r w:rsidR="00D752BD" w:rsidRPr="003E0BC6">
        <w:rPr>
          <w:rFonts w:cstheme="majorHAnsi"/>
          <w:bCs/>
          <w:sz w:val="28"/>
          <w:szCs w:val="28"/>
        </w:rPr>
        <w:t>reporte de fugas</w:t>
      </w:r>
      <w:r w:rsidR="00D752BD" w:rsidRPr="003E0BC6">
        <w:rPr>
          <w:rFonts w:cstheme="majorHAnsi"/>
          <w:sz w:val="28"/>
          <w:szCs w:val="28"/>
        </w:rPr>
        <w:t xml:space="preserve"> y </w:t>
      </w:r>
      <w:r w:rsidR="00D752BD" w:rsidRPr="003E0BC6">
        <w:rPr>
          <w:rFonts w:cstheme="majorHAnsi"/>
          <w:bCs/>
          <w:sz w:val="28"/>
          <w:szCs w:val="28"/>
        </w:rPr>
        <w:t>monitoreo del consumo de agua en tiempo real</w:t>
      </w:r>
      <w:r w:rsidR="00D752BD" w:rsidRPr="003E0BC6">
        <w:rPr>
          <w:rFonts w:cstheme="majorHAnsi"/>
          <w:sz w:val="28"/>
          <w:szCs w:val="28"/>
        </w:rPr>
        <w:t xml:space="preserve">, mediante una </w:t>
      </w:r>
      <w:r w:rsidR="00D752BD" w:rsidRPr="003E0BC6">
        <w:rPr>
          <w:rFonts w:cstheme="majorHAnsi"/>
          <w:bCs/>
          <w:sz w:val="28"/>
          <w:szCs w:val="28"/>
        </w:rPr>
        <w:t>plataforma web intuitiva, visual y accesible</w:t>
      </w:r>
      <w:r w:rsidR="00D752BD" w:rsidRPr="003E0BC6">
        <w:rPr>
          <w:rFonts w:cstheme="majorHAnsi"/>
          <w:sz w:val="28"/>
          <w:szCs w:val="28"/>
        </w:rPr>
        <w:t xml:space="preserve">, que promueva la </w:t>
      </w:r>
      <w:r w:rsidR="00D752BD" w:rsidRPr="003E0BC6">
        <w:rPr>
          <w:rFonts w:cstheme="majorHAnsi"/>
          <w:bCs/>
          <w:sz w:val="28"/>
          <w:szCs w:val="28"/>
        </w:rPr>
        <w:t>participación ciudadana</w:t>
      </w:r>
      <w:r w:rsidR="00D752BD" w:rsidRPr="003E0BC6">
        <w:rPr>
          <w:rFonts w:cstheme="majorHAnsi"/>
          <w:sz w:val="28"/>
          <w:szCs w:val="28"/>
        </w:rPr>
        <w:t xml:space="preserve"> y el </w:t>
      </w:r>
      <w:r w:rsidR="00D752BD" w:rsidRPr="003E0BC6">
        <w:rPr>
          <w:rFonts w:cstheme="majorHAnsi"/>
          <w:bCs/>
          <w:sz w:val="28"/>
          <w:szCs w:val="28"/>
        </w:rPr>
        <w:t>uso responsable del recurso hídrico</w:t>
      </w:r>
      <w:r w:rsidR="009869B6" w:rsidRPr="003C155D">
        <w:rPr>
          <w:rFonts w:asciiTheme="majorHAnsi" w:hAnsiTheme="majorHAnsi" w:cstheme="majorHAnsi"/>
        </w:rPr>
        <w:br/>
      </w: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5BA9C57" wp14:editId="630C58E5">
                <wp:simplePos x="0" y="0"/>
                <wp:positionH relativeFrom="column">
                  <wp:posOffset>-3810</wp:posOffset>
                </wp:positionH>
                <wp:positionV relativeFrom="paragraph">
                  <wp:posOffset>49448</wp:posOffset>
                </wp:positionV>
                <wp:extent cx="5469147" cy="0"/>
                <wp:effectExtent l="38100" t="38100" r="7493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3D1FD7" id="Straight Connector 1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3.9pt" to="430.3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7Z6uQEAAMMDAAAOAAAAZHJzL2Uyb0RvYy54bWysU8GO0zAQvSPxD5bvNE21LBA13UNXcEFQ&#10;scsHeJ1xY8n2WGPTpn/P2G2zCJBWQlwcjz3vzbznyfpu8k4cgJLF0Mt2sZQCgsbBhn0vvz9+fPNe&#10;ipRVGJTDAL08QZJ3m9ev1sfYwQpHdAOQYJKQumPs5Zhz7Jom6RG8SguMEPjSIHmVOaR9M5A6Mrt3&#10;zWq5vG2OSEMk1JASn96fL+Wm8hsDOn81JkEWrpfcW64r1fWprM1mrbo9qThafWlD/UMXXtnARWeq&#10;e5WV+EH2DypvNWFCkxcafYPGWA1VA6tpl7+peRhVhKqFzUlxtin9P1r95bAjYQd+OymC8vxED5mU&#10;3Y9ZbDEENhBJtMWnY0wdp2/Dji5RijsqoidDvnxZjpiqt6fZW5iy0Hz49ub2Q3vzTgp9vWuegZFS&#10;/gToRdn00tlQZKtOHT6nzMU49ZrCQWnkXLru8slBSXbhGxiWwsVWFV2HCLaOxEHx8yutIeQqhflq&#10;doEZ69wMXL4MvOQXKNQBm8Hty+AZUStjyDPY24D0N4I8XVs25/yrA2fdxYInHE71Uao1PCnVsctU&#10;l1H8Na7w539v8xMAAP//AwBQSwMEFAAGAAgAAAAhADL8anHXAAAABQEAAA8AAABkcnMvZG93bnJl&#10;di54bWxMjk1PwzAQRO9I/Adrkbi1DjmkJcSpEBISRxo4cHTiJR/Ea8t2m/Tfs3CB42hGb151WO0s&#10;zhji6EjB3TYDgdQ5M1Kv4P3tebMHEZMmo2dHqOCCEQ719VWlS+MWOuK5Sb1gCMVSKxhS8qWUsRvQ&#10;6rh1Hom7TxesThxDL03QC8PtLPMsK6TVI/HDoD0+Ddh9NSer4CO0U/5yWXzupqK5nzzmr0dU6vZm&#10;fXwAkXBNf2P40Wd1qNmpdScyUcwKNgUPFezYn9t9ke1AtL9Z1pX8b19/AwAA//8DAFBLAQItABQA&#10;BgAIAAAAIQC2gziS/gAAAOEBAAATAAAAAAAAAAAAAAAAAAAAAABbQ29udGVudF9UeXBlc10ueG1s&#10;UEsBAi0AFAAGAAgAAAAhADj9If/WAAAAlAEAAAsAAAAAAAAAAAAAAAAALwEAAF9yZWxzLy5yZWxz&#10;UEsBAi0AFAAGAAgAAAAhAOLztnq5AQAAwwMAAA4AAAAAAAAAAAAAAAAALgIAAGRycy9lMm9Eb2Mu&#10;eG1sUEsBAi0AFAAGAAgAAAAhADL8anHXAAAABQEAAA8AAAAAAAAAAAAAAAAAEwQAAGRycy9kb3du&#10;cmV2LnhtbFBLBQYAAAAABAAEAPMAAAAXBQAAAAA=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3E0BC6" w:rsidRPr="003C155D" w:rsidRDefault="003E0BC6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272463" w:rsidRPr="003E0BC6" w:rsidRDefault="009869B6" w:rsidP="00EA0581">
      <w:pPr>
        <w:jc w:val="both"/>
        <w:rPr>
          <w:rFonts w:asciiTheme="majorHAnsi" w:hAnsiTheme="majorHAnsi" w:cstheme="majorHAnsi"/>
          <w:color w:val="1F497D" w:themeColor="text2"/>
          <w:sz w:val="24"/>
          <w:szCs w:val="24"/>
        </w:rPr>
      </w:pPr>
      <w:r w:rsidRPr="003E0BC6">
        <w:rPr>
          <w:rFonts w:asciiTheme="majorHAnsi" w:hAnsiTheme="majorHAnsi" w:cstheme="majorHAnsi"/>
          <w:color w:val="1F497D" w:themeColor="text2"/>
          <w:sz w:val="24"/>
          <w:szCs w:val="24"/>
        </w:rPr>
        <w:lastRenderedPageBreak/>
        <w:t>2. Guía de estilo</w:t>
      </w:r>
    </w:p>
    <w:p w:rsidR="00272463" w:rsidRPr="003E0BC6" w:rsidRDefault="009869B6" w:rsidP="00EA0581">
      <w:pPr>
        <w:jc w:val="both"/>
        <w:rPr>
          <w:rFonts w:asciiTheme="majorHAnsi" w:hAnsiTheme="majorHAnsi" w:cstheme="majorHAnsi"/>
          <w:color w:val="1F497D" w:themeColor="text2"/>
          <w:sz w:val="24"/>
          <w:szCs w:val="24"/>
        </w:rPr>
      </w:pPr>
      <w:r w:rsidRPr="003E0BC6">
        <w:rPr>
          <w:rFonts w:asciiTheme="majorHAnsi" w:hAnsiTheme="majorHAnsi" w:cstheme="majorHAnsi"/>
          <w:color w:val="1F497D" w:themeColor="text2"/>
          <w:sz w:val="24"/>
          <w:szCs w:val="24"/>
        </w:rPr>
        <w:t>A. Paleta de colores</w:t>
      </w:r>
    </w:p>
    <w:tbl>
      <w:tblPr>
        <w:tblStyle w:val="Tabladecuadrcula5oscura-nfasis1"/>
        <w:tblW w:w="8647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559"/>
        <w:gridCol w:w="4394"/>
      </w:tblGrid>
      <w:tr w:rsidR="000970F9" w:rsidRPr="003C155D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Color</w:t>
            </w:r>
          </w:p>
        </w:tc>
        <w:tc>
          <w:tcPr>
            <w:tcW w:w="1276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Código HEX</w:t>
            </w:r>
          </w:p>
        </w:tc>
        <w:tc>
          <w:tcPr>
            <w:tcW w:w="1559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Uso principal</w:t>
            </w:r>
          </w:p>
        </w:tc>
        <w:tc>
          <w:tcPr>
            <w:tcW w:w="4394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Justificación (DCU)</w:t>
            </w:r>
          </w:p>
        </w:tc>
      </w:tr>
      <w:tr w:rsidR="000970F9" w:rsidRPr="003E0BC6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NEGRO</w:t>
            </w:r>
          </w:p>
        </w:tc>
        <w:tc>
          <w:tcPr>
            <w:tcW w:w="1276" w:type="dxa"/>
          </w:tcPr>
          <w:p w:rsidR="00272463" w:rsidRPr="003E0BC6" w:rsidRDefault="0082250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000000</w:t>
            </w:r>
          </w:p>
        </w:tc>
        <w:tc>
          <w:tcPr>
            <w:tcW w:w="1559" w:type="dxa"/>
          </w:tcPr>
          <w:p w:rsidR="00272463" w:rsidRPr="003E0BC6" w:rsidRDefault="00E73D1F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Texto principal y contraste</w:t>
            </w:r>
          </w:p>
        </w:tc>
        <w:tc>
          <w:tcPr>
            <w:tcW w:w="4394" w:type="dxa"/>
          </w:tcPr>
          <w:p w:rsidR="00272463" w:rsidRPr="003E0BC6" w:rsidRDefault="00E73D1F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 xml:space="preserve">Aporta </w:t>
            </w:r>
            <w:r w:rsidRPr="003E0BC6">
              <w:rPr>
                <w:rFonts w:cstheme="majorHAnsi"/>
                <w:b/>
                <w:bCs/>
              </w:rPr>
              <w:t>máximo contraste</w:t>
            </w:r>
            <w:r w:rsidRPr="003E0BC6">
              <w:rPr>
                <w:rFonts w:cstheme="majorHAnsi"/>
              </w:rPr>
              <w:t xml:space="preserve"> y legibilidad. Cumple </w:t>
            </w:r>
            <w:r w:rsidRPr="003E0BC6">
              <w:rPr>
                <w:rFonts w:cstheme="majorHAnsi"/>
                <w:b/>
                <w:bCs/>
              </w:rPr>
              <w:t>WCAG 1.4.3</w:t>
            </w:r>
            <w:r w:rsidRPr="003E0BC6">
              <w:rPr>
                <w:rFonts w:cstheme="majorHAnsi"/>
              </w:rPr>
              <w:t xml:space="preserve"> y </w:t>
            </w:r>
            <w:r w:rsidRPr="003E0BC6">
              <w:rPr>
                <w:rFonts w:cstheme="majorHAnsi"/>
                <w:b/>
                <w:bCs/>
              </w:rPr>
              <w:t>heurística 8 (diseño minimalista)</w:t>
            </w:r>
            <w:r w:rsidRPr="003E0BC6">
              <w:rPr>
                <w:rFonts w:cstheme="majorHAnsi"/>
              </w:rPr>
              <w:t>.</w:t>
            </w:r>
          </w:p>
        </w:tc>
      </w:tr>
      <w:tr w:rsidR="000970F9" w:rsidRPr="003E0BC6" w:rsidTr="00991615">
        <w:trPr>
          <w:trHeight w:val="10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BLANCO</w:t>
            </w:r>
          </w:p>
        </w:tc>
        <w:tc>
          <w:tcPr>
            <w:tcW w:w="1276" w:type="dxa"/>
          </w:tcPr>
          <w:p w:rsidR="00272463" w:rsidRPr="003E0BC6" w:rsidRDefault="0082250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FFFFFF</w:t>
            </w:r>
          </w:p>
        </w:tc>
        <w:tc>
          <w:tcPr>
            <w:tcW w:w="1559" w:type="dxa"/>
          </w:tcPr>
          <w:p w:rsidR="00857A49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9"/>
            </w:tblGrid>
            <w:tr w:rsidR="00857A49" w:rsidRPr="003E0BC6" w:rsidTr="000970F9">
              <w:trPr>
                <w:trHeight w:val="309"/>
                <w:tblCellSpacing w:w="15" w:type="dxa"/>
              </w:trPr>
              <w:tc>
                <w:tcPr>
                  <w:tcW w:w="1339" w:type="dxa"/>
                  <w:vAlign w:val="center"/>
                  <w:hideMark/>
                </w:tcPr>
                <w:p w:rsidR="00857A49" w:rsidRPr="003E0BC6" w:rsidRDefault="00857A49" w:rsidP="00EA0581">
                  <w:pPr>
                    <w:jc w:val="both"/>
                    <w:rPr>
                      <w:rFonts w:cstheme="majorHAnsi"/>
                    </w:rPr>
                  </w:pPr>
                  <w:r w:rsidRPr="003E0BC6">
                    <w:rPr>
                      <w:rFonts w:cstheme="majorHAnsi"/>
                    </w:rPr>
                    <w:t>Fondo general</w:t>
                  </w:r>
                </w:p>
              </w:tc>
            </w:tr>
          </w:tbl>
          <w:p w:rsidR="00272463" w:rsidRPr="003E0BC6" w:rsidRDefault="00272463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</w:tc>
        <w:tc>
          <w:tcPr>
            <w:tcW w:w="4394" w:type="dxa"/>
          </w:tcPr>
          <w:p w:rsidR="00857A49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91"/>
            </w:tblGrid>
            <w:tr w:rsidR="00857A49" w:rsidRPr="003E0BC6" w:rsidTr="000970F9">
              <w:trPr>
                <w:trHeight w:val="816"/>
                <w:tblCellSpacing w:w="15" w:type="dxa"/>
              </w:trPr>
              <w:tc>
                <w:tcPr>
                  <w:tcW w:w="4131" w:type="dxa"/>
                  <w:vAlign w:val="center"/>
                  <w:hideMark/>
                </w:tcPr>
                <w:p w:rsidR="00857A49" w:rsidRPr="003E0BC6" w:rsidRDefault="00857A49" w:rsidP="00EA0581">
                  <w:pPr>
                    <w:jc w:val="both"/>
                    <w:rPr>
                      <w:rFonts w:cstheme="majorHAnsi"/>
                    </w:rPr>
                  </w:pPr>
                  <w:r w:rsidRPr="003E0BC6">
                    <w:rPr>
                      <w:rFonts w:cstheme="majorHAnsi"/>
                    </w:rPr>
                    <w:t xml:space="preserve">Favorece la </w:t>
                  </w:r>
                  <w:r w:rsidRPr="003E0BC6">
                    <w:rPr>
                      <w:rFonts w:cstheme="majorHAnsi"/>
                      <w:b/>
                      <w:bCs/>
                    </w:rPr>
                    <w:t>claridad visual</w:t>
                  </w:r>
                  <w:r w:rsidRPr="003E0BC6">
                    <w:rPr>
                      <w:rFonts w:cstheme="majorHAnsi"/>
                    </w:rPr>
                    <w:t xml:space="preserve"> y espacio limpio. Cumple </w:t>
                  </w:r>
                  <w:r w:rsidRPr="003E0BC6">
                    <w:rPr>
                      <w:rFonts w:cstheme="majorHAnsi"/>
                      <w:b/>
                      <w:bCs/>
                    </w:rPr>
                    <w:t>ISO 9241-210</w:t>
                  </w:r>
                  <w:r w:rsidRPr="003E0BC6">
                    <w:rPr>
                      <w:rFonts w:cstheme="majorHAnsi"/>
                    </w:rPr>
                    <w:t>.</w:t>
                  </w:r>
                </w:p>
              </w:tc>
            </w:tr>
          </w:tbl>
          <w:p w:rsidR="00272463" w:rsidRPr="003E0BC6" w:rsidRDefault="00272463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</w:tc>
      </w:tr>
      <w:tr w:rsidR="000970F9" w:rsidRPr="003E0BC6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C19B8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PACIFIC BLUE</w:t>
            </w:r>
          </w:p>
        </w:tc>
        <w:tc>
          <w:tcPr>
            <w:tcW w:w="1276" w:type="dxa"/>
          </w:tcPr>
          <w:p w:rsidR="002C19B8" w:rsidRPr="003E0BC6" w:rsidRDefault="002C19B8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0084D1</w:t>
            </w:r>
          </w:p>
        </w:tc>
        <w:tc>
          <w:tcPr>
            <w:tcW w:w="1559" w:type="dxa"/>
          </w:tcPr>
          <w:p w:rsidR="002C19B8" w:rsidRPr="003E0BC6" w:rsidRDefault="00857A49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Botones y enlaces</w:t>
            </w:r>
          </w:p>
        </w:tc>
        <w:tc>
          <w:tcPr>
            <w:tcW w:w="4394" w:type="dxa"/>
          </w:tcPr>
          <w:p w:rsidR="002C19B8" w:rsidRPr="003E0BC6" w:rsidRDefault="00857A49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 xml:space="preserve">Representa </w:t>
            </w:r>
            <w:r w:rsidRPr="003E0BC6">
              <w:rPr>
                <w:rFonts w:cstheme="majorHAnsi"/>
                <w:b/>
                <w:bCs/>
              </w:rPr>
              <w:t>agua y confianza</w:t>
            </w:r>
            <w:r w:rsidRPr="003E0BC6">
              <w:rPr>
                <w:rFonts w:cstheme="majorHAnsi"/>
              </w:rPr>
              <w:t xml:space="preserve">. Cumple </w:t>
            </w:r>
            <w:r w:rsidRPr="003E0BC6">
              <w:rPr>
                <w:rFonts w:cstheme="majorHAnsi"/>
                <w:b/>
                <w:bCs/>
              </w:rPr>
              <w:t>WCAG 1.4.1</w:t>
            </w:r>
            <w:r w:rsidRPr="003E0BC6">
              <w:rPr>
                <w:rFonts w:cstheme="majorHAnsi"/>
              </w:rPr>
              <w:t xml:space="preserve"> y </w:t>
            </w:r>
            <w:r w:rsidRPr="003E0BC6">
              <w:rPr>
                <w:rFonts w:cstheme="majorHAnsi"/>
                <w:b/>
                <w:bCs/>
              </w:rPr>
              <w:t>heurística 4 (consistencia)</w:t>
            </w:r>
            <w:r w:rsidRPr="003E0BC6">
              <w:rPr>
                <w:rFonts w:cstheme="majorHAnsi"/>
              </w:rPr>
              <w:t>.</w:t>
            </w:r>
          </w:p>
        </w:tc>
      </w:tr>
      <w:tr w:rsidR="000970F9" w:rsidRPr="003E0BC6" w:rsidTr="00991615">
        <w:trPr>
          <w:trHeight w:val="10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822502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DARK BLUE</w:t>
            </w:r>
          </w:p>
        </w:tc>
        <w:tc>
          <w:tcPr>
            <w:tcW w:w="1276" w:type="dxa"/>
          </w:tcPr>
          <w:p w:rsidR="00822502" w:rsidRPr="003E0BC6" w:rsidRDefault="0082250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00598A</w:t>
            </w:r>
          </w:p>
        </w:tc>
        <w:tc>
          <w:tcPr>
            <w:tcW w:w="1559" w:type="dxa"/>
          </w:tcPr>
          <w:p w:rsidR="00822502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Encabezados y menús</w:t>
            </w:r>
          </w:p>
        </w:tc>
        <w:tc>
          <w:tcPr>
            <w:tcW w:w="4394" w:type="dxa"/>
          </w:tcPr>
          <w:p w:rsidR="00857A49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54"/>
            </w:tblGrid>
            <w:tr w:rsidR="00857A49" w:rsidRPr="003E0BC6" w:rsidTr="000970F9">
              <w:trPr>
                <w:trHeight w:val="869"/>
                <w:tblCellSpacing w:w="15" w:type="dxa"/>
              </w:trPr>
              <w:tc>
                <w:tcPr>
                  <w:tcW w:w="4094" w:type="dxa"/>
                  <w:vAlign w:val="center"/>
                  <w:hideMark/>
                </w:tcPr>
                <w:p w:rsidR="00857A49" w:rsidRPr="003E0BC6" w:rsidRDefault="00857A49" w:rsidP="00EA0581">
                  <w:pPr>
                    <w:jc w:val="both"/>
                    <w:rPr>
                      <w:rFonts w:cstheme="majorHAnsi"/>
                    </w:rPr>
                  </w:pPr>
                  <w:r w:rsidRPr="003E0BC6">
                    <w:rPr>
                      <w:rFonts w:cstheme="majorHAnsi"/>
                    </w:rPr>
                    <w:t xml:space="preserve">Mejora </w:t>
                  </w:r>
                  <w:r w:rsidRPr="003E0BC6">
                    <w:rPr>
                      <w:rFonts w:cstheme="majorHAnsi"/>
                      <w:b/>
                      <w:bCs/>
                    </w:rPr>
                    <w:t>jerarquía visual</w:t>
                  </w:r>
                  <w:r w:rsidRPr="003E0BC6">
                    <w:rPr>
                      <w:rFonts w:cstheme="majorHAnsi"/>
                    </w:rPr>
                    <w:t xml:space="preserve"> y contraste. Cumple </w:t>
                  </w:r>
                  <w:r w:rsidRPr="003E0BC6">
                    <w:rPr>
                      <w:rFonts w:cstheme="majorHAnsi"/>
                      <w:b/>
                      <w:bCs/>
                    </w:rPr>
                    <w:t>WCAG 1.4.6</w:t>
                  </w:r>
                  <w:r w:rsidRPr="003E0BC6">
                    <w:rPr>
                      <w:rFonts w:cstheme="majorHAnsi"/>
                    </w:rPr>
                    <w:t>.</w:t>
                  </w:r>
                </w:p>
              </w:tc>
            </w:tr>
          </w:tbl>
          <w:p w:rsidR="00822502" w:rsidRPr="003E0BC6" w:rsidRDefault="0082250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</w:tc>
      </w:tr>
      <w:tr w:rsidR="000970F9" w:rsidRPr="003E0BC6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822502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CIAN-AZUL</w:t>
            </w:r>
          </w:p>
        </w:tc>
        <w:tc>
          <w:tcPr>
            <w:tcW w:w="1276" w:type="dxa"/>
          </w:tcPr>
          <w:p w:rsidR="00822502" w:rsidRPr="003E0BC6" w:rsidRDefault="0082250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176895</w:t>
            </w:r>
          </w:p>
        </w:tc>
        <w:tc>
          <w:tcPr>
            <w:tcW w:w="1559" w:type="dxa"/>
          </w:tcPr>
          <w:p w:rsidR="00822502" w:rsidRPr="003E0BC6" w:rsidRDefault="00A404C1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Iconos y detalles</w:t>
            </w:r>
          </w:p>
        </w:tc>
        <w:tc>
          <w:tcPr>
            <w:tcW w:w="4394" w:type="dxa"/>
          </w:tcPr>
          <w:p w:rsidR="00822502" w:rsidRPr="003E0BC6" w:rsidRDefault="00857A49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 xml:space="preserve">Mantiene </w:t>
            </w:r>
            <w:r w:rsidRPr="003E0BC6">
              <w:rPr>
                <w:rFonts w:cstheme="majorHAnsi"/>
                <w:b/>
                <w:bCs/>
              </w:rPr>
              <w:t>coherencia visual</w:t>
            </w:r>
            <w:r w:rsidRPr="003E0BC6">
              <w:rPr>
                <w:rFonts w:cstheme="majorHAnsi"/>
              </w:rPr>
              <w:t xml:space="preserve"> y visibilidad. Cumple </w:t>
            </w:r>
            <w:r w:rsidRPr="003E0BC6">
              <w:rPr>
                <w:rFonts w:cstheme="majorHAnsi"/>
                <w:b/>
                <w:bCs/>
              </w:rPr>
              <w:t>WCAG 1.4.11</w:t>
            </w:r>
            <w:r w:rsidRPr="003E0BC6">
              <w:rPr>
                <w:rFonts w:cstheme="majorHAnsi"/>
              </w:rPr>
              <w:t>.</w:t>
            </w:r>
          </w:p>
        </w:tc>
      </w:tr>
    </w:tbl>
    <w:p w:rsidR="00A255CC" w:rsidRPr="003C155D" w:rsidRDefault="00A255CC" w:rsidP="00EA0581">
      <w:pPr>
        <w:jc w:val="both"/>
        <w:rPr>
          <w:rFonts w:asciiTheme="majorHAnsi" w:hAnsiTheme="majorHAnsi" w:cstheme="majorHAnsi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A255CC" w:rsidP="00EA0581">
      <w:pPr>
        <w:jc w:val="both"/>
        <w:rPr>
          <w:rFonts w:asciiTheme="majorHAnsi" w:hAnsiTheme="majorHAnsi" w:cstheme="majorHAnsi"/>
          <w:sz w:val="24"/>
        </w:rPr>
      </w:pPr>
      <w:r w:rsidRPr="003E0BC6">
        <w:rPr>
          <w:rFonts w:asciiTheme="majorHAnsi" w:hAnsiTheme="majorHAnsi" w:cstheme="majorHAnsi"/>
          <w:sz w:val="24"/>
        </w:rPr>
        <w:lastRenderedPageBreak/>
        <w:t>Justifica:</w:t>
      </w:r>
    </w:p>
    <w:p w:rsidR="005808F9" w:rsidRPr="00565AEC" w:rsidRDefault="00A255CC" w:rsidP="00565AEC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¿Por qué se eligieron esos colores?</w:t>
      </w:r>
    </w:p>
    <w:p w:rsidR="005808F9" w:rsidRPr="005808F9" w:rsidRDefault="005808F9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>Los tonos azules (</w:t>
      </w:r>
      <w:proofErr w:type="spellStart"/>
      <w:r w:rsidRPr="005808F9">
        <w:rPr>
          <w:rFonts w:asciiTheme="minorHAnsi" w:hAnsiTheme="minorHAnsi"/>
          <w:sz w:val="22"/>
          <w:szCs w:val="22"/>
        </w:rPr>
        <w:t>Pacific</w:t>
      </w:r>
      <w:proofErr w:type="spellEnd"/>
      <w:r w:rsidRPr="005808F9">
        <w:rPr>
          <w:rFonts w:asciiTheme="minorHAnsi" w:hAnsiTheme="minorHAnsi"/>
          <w:sz w:val="22"/>
          <w:szCs w:val="22"/>
        </w:rPr>
        <w:t xml:space="preserve"> Blue, </w:t>
      </w:r>
      <w:proofErr w:type="spellStart"/>
      <w:r w:rsidRPr="005808F9">
        <w:rPr>
          <w:rFonts w:asciiTheme="minorHAnsi" w:hAnsiTheme="minorHAnsi"/>
          <w:sz w:val="22"/>
          <w:szCs w:val="22"/>
        </w:rPr>
        <w:t>Dark</w:t>
      </w:r>
      <w:proofErr w:type="spellEnd"/>
      <w:r w:rsidRPr="005808F9">
        <w:rPr>
          <w:rFonts w:asciiTheme="minorHAnsi" w:hAnsiTheme="minorHAnsi"/>
          <w:sz w:val="22"/>
          <w:szCs w:val="22"/>
        </w:rPr>
        <w:t xml:space="preserve"> Blue y Cian Azul) fueron seleccionados porque representan de manera directa el </w:t>
      </w:r>
      <w:r w:rsidRPr="005808F9">
        <w:rPr>
          <w:rStyle w:val="Textoennegrita"/>
          <w:rFonts w:asciiTheme="minorHAnsi" w:hAnsiTheme="minorHAnsi"/>
          <w:sz w:val="22"/>
          <w:szCs w:val="22"/>
        </w:rPr>
        <w:t>agua</w:t>
      </w:r>
      <w:r w:rsidRPr="005808F9">
        <w:rPr>
          <w:rFonts w:asciiTheme="minorHAnsi" w:hAnsiTheme="minorHAnsi"/>
          <w:sz w:val="22"/>
          <w:szCs w:val="22"/>
        </w:rPr>
        <w:t xml:space="preserve">, la </w:t>
      </w:r>
      <w:r w:rsidRPr="005808F9">
        <w:rPr>
          <w:rStyle w:val="Textoennegrita"/>
          <w:rFonts w:asciiTheme="minorHAnsi" w:hAnsiTheme="minorHAnsi"/>
          <w:sz w:val="22"/>
          <w:szCs w:val="22"/>
        </w:rPr>
        <w:t>confianza</w:t>
      </w:r>
      <w:r w:rsidRPr="005808F9">
        <w:rPr>
          <w:rFonts w:asciiTheme="minorHAnsi" w:hAnsiTheme="minorHAnsi"/>
          <w:sz w:val="22"/>
          <w:szCs w:val="22"/>
        </w:rPr>
        <w:t xml:space="preserve">, la </w:t>
      </w:r>
      <w:r w:rsidRPr="005808F9">
        <w:rPr>
          <w:rStyle w:val="Textoennegrita"/>
          <w:rFonts w:asciiTheme="minorHAnsi" w:hAnsiTheme="minorHAnsi"/>
          <w:sz w:val="22"/>
          <w:szCs w:val="22"/>
        </w:rPr>
        <w:t>tecnología</w:t>
      </w:r>
      <w:r w:rsidRPr="005808F9">
        <w:rPr>
          <w:rFonts w:asciiTheme="minorHAnsi" w:hAnsiTheme="minorHAnsi"/>
          <w:sz w:val="22"/>
          <w:szCs w:val="22"/>
        </w:rPr>
        <w:t xml:space="preserve"> y el </w:t>
      </w:r>
      <w:r w:rsidRPr="005808F9">
        <w:rPr>
          <w:rStyle w:val="Textoennegrita"/>
          <w:rFonts w:asciiTheme="minorHAnsi" w:hAnsiTheme="minorHAnsi"/>
          <w:sz w:val="22"/>
          <w:szCs w:val="22"/>
        </w:rPr>
        <w:t>servicio público</w:t>
      </w:r>
      <w:r w:rsidRPr="005808F9">
        <w:rPr>
          <w:rFonts w:asciiTheme="minorHAnsi" w:hAnsiTheme="minorHAnsi"/>
          <w:sz w:val="22"/>
          <w:szCs w:val="22"/>
        </w:rPr>
        <w:t xml:space="preserve">, elementos centrales del proyecto Guardián </w:t>
      </w:r>
      <w:proofErr w:type="spellStart"/>
      <w:r w:rsidRPr="005808F9">
        <w:rPr>
          <w:rFonts w:asciiTheme="minorHAnsi" w:hAnsiTheme="minorHAnsi"/>
          <w:sz w:val="22"/>
          <w:szCs w:val="22"/>
        </w:rPr>
        <w:t>Water</w:t>
      </w:r>
      <w:proofErr w:type="spellEnd"/>
      <w:r w:rsidRPr="005808F9">
        <w:rPr>
          <w:rFonts w:asciiTheme="minorHAnsi" w:hAnsiTheme="minorHAnsi"/>
          <w:sz w:val="22"/>
          <w:szCs w:val="22"/>
        </w:rPr>
        <w:t>. El blanco apoya la claridad visual y el negro proporciona contraste máximo para la lectura.</w:t>
      </w:r>
    </w:p>
    <w:p w:rsidR="005808F9" w:rsidRPr="00565AEC" w:rsidRDefault="005808F9" w:rsidP="00565AEC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</w:t>
      </w:r>
      <w:r w:rsidR="00A255CC" w:rsidRPr="00565AEC">
        <w:rPr>
          <w:rFonts w:asciiTheme="majorHAnsi" w:hAnsiTheme="majorHAnsi" w:cstheme="majorHAnsi"/>
          <w:b/>
          <w:sz w:val="24"/>
        </w:rPr>
        <w:t>Cumplen normas de accesibilidad (contraste, legibilidad)?</w:t>
      </w:r>
    </w:p>
    <w:p w:rsidR="005808F9" w:rsidRPr="005808F9" w:rsidRDefault="005808F9" w:rsidP="00EA0581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 xml:space="preserve">El </w:t>
      </w:r>
      <w:r w:rsidRPr="005808F9">
        <w:rPr>
          <w:rStyle w:val="Textoennegrita"/>
          <w:rFonts w:asciiTheme="minorHAnsi" w:hAnsiTheme="minorHAnsi"/>
          <w:sz w:val="22"/>
          <w:szCs w:val="22"/>
        </w:rPr>
        <w:t>negro (#000000)</w:t>
      </w:r>
      <w:r w:rsidRPr="005808F9">
        <w:rPr>
          <w:rFonts w:asciiTheme="minorHAnsi" w:hAnsiTheme="minorHAnsi"/>
          <w:sz w:val="22"/>
          <w:szCs w:val="22"/>
        </w:rPr>
        <w:t xml:space="preserve"> sobre blanco cumple con WCAG 1.4.3 (contraste mínimo 4.5:1).</w:t>
      </w:r>
    </w:p>
    <w:p w:rsidR="005808F9" w:rsidRPr="005808F9" w:rsidRDefault="005808F9" w:rsidP="00EA0581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>Los azules seleccionados (#0084D1, #00598A, #176895) tienen suficiente contraste entre sí y contra blanco, cumpliendo WCAG 1.4.1 y 1.4.6.</w:t>
      </w:r>
    </w:p>
    <w:p w:rsidR="005808F9" w:rsidRPr="005808F9" w:rsidRDefault="005808F9" w:rsidP="00EA0581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>El uso del azul para elementos interactivos facilita su percepción para usuarios con baja visión.</w:t>
      </w:r>
    </w:p>
    <w:p w:rsidR="005D29A2" w:rsidRPr="00565AEC" w:rsidRDefault="00A255CC" w:rsidP="00565AEC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¿Refuerzan la identidad del proyecto o perfil del usuario?</w:t>
      </w:r>
    </w:p>
    <w:p w:rsidR="00A255CC" w:rsidRDefault="005808F9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  <w:r w:rsidRPr="007D119D">
        <w:rPr>
          <w:rFonts w:asciiTheme="minorHAnsi" w:hAnsiTheme="minorHAnsi"/>
          <w:sz w:val="22"/>
          <w:szCs w:val="22"/>
        </w:rPr>
        <w:t xml:space="preserve">Sí. La paleta refuerza la identidad de Guardián </w:t>
      </w:r>
      <w:proofErr w:type="spellStart"/>
      <w:r w:rsidRPr="007D119D">
        <w:rPr>
          <w:rFonts w:asciiTheme="minorHAnsi" w:hAnsiTheme="minorHAnsi"/>
          <w:sz w:val="22"/>
          <w:szCs w:val="22"/>
        </w:rPr>
        <w:t>Water</w:t>
      </w:r>
      <w:proofErr w:type="spellEnd"/>
      <w:r w:rsidRPr="007D119D">
        <w:rPr>
          <w:rFonts w:asciiTheme="minorHAnsi" w:hAnsiTheme="minorHAnsi"/>
          <w:sz w:val="22"/>
          <w:szCs w:val="22"/>
        </w:rPr>
        <w:t xml:space="preserve"> como un sistema relacionado con </w:t>
      </w:r>
      <w:r w:rsidRPr="007D119D">
        <w:rPr>
          <w:rFonts w:asciiTheme="minorHAnsi" w:hAnsiTheme="minorHAnsi"/>
          <w:b/>
          <w:bCs/>
          <w:sz w:val="22"/>
          <w:szCs w:val="22"/>
        </w:rPr>
        <w:t>el agua, la seguridad hídrica y la tecnología pública</w:t>
      </w:r>
      <w:r w:rsidRPr="007D119D">
        <w:rPr>
          <w:rFonts w:asciiTheme="minorHAnsi" w:hAnsiTheme="minorHAnsi"/>
          <w:sz w:val="22"/>
          <w:szCs w:val="22"/>
        </w:rPr>
        <w:t>, generando confianza tanto para ciudadanos como para personal técnico. La coherencia visual ayuda a que los usuarios identifiquen rápidamente las funciones principales.</w:t>
      </w: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Pr="007D119D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B. Tipografía</w:t>
      </w:r>
    </w:p>
    <w:tbl>
      <w:tblPr>
        <w:tblStyle w:val="Tabladecuadrcula5oscura-nfasis1"/>
        <w:tblW w:w="8647" w:type="dxa"/>
        <w:tblLook w:val="04A0" w:firstRow="1" w:lastRow="0" w:firstColumn="1" w:lastColumn="0" w:noHBand="0" w:noVBand="1"/>
      </w:tblPr>
      <w:tblGrid>
        <w:gridCol w:w="1560"/>
        <w:gridCol w:w="1134"/>
        <w:gridCol w:w="2126"/>
        <w:gridCol w:w="3827"/>
      </w:tblGrid>
      <w:tr w:rsidR="00272463" w:rsidRPr="003C155D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Fuente</w:t>
            </w:r>
          </w:p>
        </w:tc>
        <w:tc>
          <w:tcPr>
            <w:tcW w:w="1134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Tamaño</w:t>
            </w:r>
          </w:p>
        </w:tc>
        <w:tc>
          <w:tcPr>
            <w:tcW w:w="2126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Uso</w:t>
            </w:r>
          </w:p>
        </w:tc>
        <w:tc>
          <w:tcPr>
            <w:tcW w:w="3827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Justificación</w:t>
            </w:r>
          </w:p>
        </w:tc>
      </w:tr>
      <w:tr w:rsidR="00272463" w:rsidRPr="003C155D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272463" w:rsidRPr="00EA0581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CLASH REGULAR</w:t>
            </w:r>
          </w:p>
        </w:tc>
        <w:tc>
          <w:tcPr>
            <w:tcW w:w="1134" w:type="dxa"/>
          </w:tcPr>
          <w:p w:rsidR="00272463" w:rsidRPr="00EA0581" w:rsidRDefault="003C155D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16</w:t>
            </w:r>
            <w:r w:rsidR="00E42466" w:rsidRPr="00EA0581">
              <w:rPr>
                <w:rFonts w:cstheme="majorHAnsi"/>
              </w:rPr>
              <w:t xml:space="preserve"> px</w:t>
            </w:r>
          </w:p>
        </w:tc>
        <w:tc>
          <w:tcPr>
            <w:tcW w:w="2126" w:type="dxa"/>
          </w:tcPr>
          <w:p w:rsidR="00272463" w:rsidRPr="00EA0581" w:rsidRDefault="00E42466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texto general</w:t>
            </w:r>
          </w:p>
        </w:tc>
        <w:tc>
          <w:tcPr>
            <w:tcW w:w="3827" w:type="dxa"/>
          </w:tcPr>
          <w:p w:rsidR="00272463" w:rsidRPr="00EA0581" w:rsidRDefault="00E42466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Favorece la legibilidad en pantallas (WCAG 1.4.8), mantiene un estilo moderno y confiable acorde con el público ciudadano, y se usa de forma consistente (heurística 4: consistencia y estándares).</w:t>
            </w:r>
          </w:p>
        </w:tc>
      </w:tr>
      <w:tr w:rsidR="003C155D" w:rsidRPr="003C155D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3C155D" w:rsidRPr="00EA0581" w:rsidRDefault="003C155D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CLASH REGULAR</w:t>
            </w:r>
          </w:p>
        </w:tc>
        <w:tc>
          <w:tcPr>
            <w:tcW w:w="1134" w:type="dxa"/>
          </w:tcPr>
          <w:p w:rsidR="003C155D" w:rsidRPr="00EA0581" w:rsidRDefault="003C155D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24 px</w:t>
            </w:r>
          </w:p>
        </w:tc>
        <w:tc>
          <w:tcPr>
            <w:tcW w:w="2126" w:type="dxa"/>
          </w:tcPr>
          <w:p w:rsidR="003C155D" w:rsidRPr="00EA0581" w:rsidRDefault="003C155D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títulos</w:t>
            </w:r>
          </w:p>
        </w:tc>
        <w:tc>
          <w:tcPr>
            <w:tcW w:w="3827" w:type="dxa"/>
          </w:tcPr>
          <w:p w:rsidR="003C155D" w:rsidRPr="00EA0581" w:rsidRDefault="003C155D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Favorece la legibilidad en pantallas (WCAG 1.4.8), mantiene un estilo moderno y confiable acorde con el público ciudadano, y se usa de forma consistente (heurística 4: consistencia y estándares).</w:t>
            </w:r>
          </w:p>
        </w:tc>
      </w:tr>
    </w:tbl>
    <w:p w:rsidR="00A255CC" w:rsidRPr="003C155D" w:rsidRDefault="00A255CC" w:rsidP="00EA0581">
      <w:pPr>
        <w:jc w:val="both"/>
        <w:rPr>
          <w:rFonts w:asciiTheme="majorHAnsi" w:hAnsiTheme="majorHAnsi" w:cstheme="majorHAnsi"/>
        </w:rPr>
      </w:pPr>
    </w:p>
    <w:p w:rsidR="00EA0581" w:rsidRDefault="00A255CC" w:rsidP="00EA0581">
      <w:pPr>
        <w:jc w:val="both"/>
        <w:rPr>
          <w:rFonts w:asciiTheme="majorHAnsi" w:hAnsiTheme="majorHAnsi" w:cstheme="majorHAnsi"/>
          <w:sz w:val="24"/>
          <w:szCs w:val="24"/>
        </w:rPr>
      </w:pPr>
      <w:r w:rsidRPr="00EA0581">
        <w:rPr>
          <w:rFonts w:asciiTheme="majorHAnsi" w:hAnsiTheme="majorHAnsi" w:cstheme="majorHAnsi"/>
          <w:sz w:val="24"/>
          <w:szCs w:val="24"/>
        </w:rPr>
        <w:t>Justifica:</w:t>
      </w:r>
    </w:p>
    <w:p w:rsidR="00347F9C" w:rsidRPr="00565AEC" w:rsidRDefault="00A255CC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 xml:space="preserve"> ¿La tipografía mejora la legibilidad?</w:t>
      </w:r>
    </w:p>
    <w:p w:rsidR="00EA0581" w:rsidRDefault="00347F9C" w:rsidP="00EA0581">
      <w:pPr>
        <w:jc w:val="both"/>
        <w:rPr>
          <w:rFonts w:cstheme="majorHAnsi"/>
        </w:rPr>
      </w:pPr>
      <w:r w:rsidRPr="00EA0581">
        <w:rPr>
          <w:rFonts w:eastAsia="Times New Roman" w:cs="Times New Roman"/>
          <w:lang w:eastAsia="es-MX"/>
        </w:rPr>
        <w:t xml:space="preserve">Sí. </w:t>
      </w:r>
      <w:proofErr w:type="spellStart"/>
      <w:r w:rsidRPr="00EA0581">
        <w:rPr>
          <w:rFonts w:eastAsia="Times New Roman" w:cs="Times New Roman"/>
          <w:lang w:eastAsia="es-MX"/>
        </w:rPr>
        <w:t>Clash</w:t>
      </w:r>
      <w:proofErr w:type="spellEnd"/>
      <w:r w:rsidRPr="00EA0581">
        <w:rPr>
          <w:rFonts w:eastAsia="Times New Roman" w:cs="Times New Roman"/>
          <w:lang w:eastAsia="es-MX"/>
        </w:rPr>
        <w:t xml:space="preserve"> Regular es una tipografía </w:t>
      </w:r>
      <w:proofErr w:type="spellStart"/>
      <w:r w:rsidRPr="00EA0581">
        <w:rPr>
          <w:rFonts w:eastAsia="Times New Roman" w:cs="Times New Roman"/>
          <w:lang w:eastAsia="es-MX"/>
        </w:rPr>
        <w:t>sans-serif</w:t>
      </w:r>
      <w:proofErr w:type="spellEnd"/>
      <w:r w:rsidRPr="00EA0581">
        <w:rPr>
          <w:rFonts w:eastAsia="Times New Roman" w:cs="Times New Roman"/>
          <w:lang w:eastAsia="es-MX"/>
        </w:rPr>
        <w:t xml:space="preserve"> moderna, con buena separación entre caracteres y adecuada para pantallas, cumpliendo WCAG 1.4.8 sobre legibilidad en medios digitales.</w:t>
      </w:r>
    </w:p>
    <w:p w:rsidR="00EA0581" w:rsidRPr="00565AEC" w:rsidRDefault="00A255CC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¿Es coherente con el tono y público objetivo?</w:t>
      </w:r>
    </w:p>
    <w:p w:rsidR="00EA0581" w:rsidRDefault="00347F9C" w:rsidP="00EA0581">
      <w:pPr>
        <w:jc w:val="both"/>
        <w:rPr>
          <w:rFonts w:asciiTheme="majorHAnsi" w:hAnsiTheme="majorHAnsi" w:cstheme="majorHAnsi"/>
          <w:sz w:val="24"/>
        </w:rPr>
      </w:pPr>
      <w:r w:rsidRPr="00347F9C">
        <w:rPr>
          <w:rFonts w:eastAsia="Times New Roman" w:cs="Times New Roman"/>
          <w:lang w:eastAsia="es-MX"/>
        </w:rPr>
        <w:t xml:space="preserve">Sí. El público combina ciudadanos comunes y personal técnico; por ello se eligió una tipografía moderna, seria y limpia, que transmite </w:t>
      </w:r>
      <w:r w:rsidRPr="00EA0581">
        <w:rPr>
          <w:rFonts w:eastAsia="Times New Roman" w:cs="Times New Roman"/>
          <w:lang w:eastAsia="es-MX"/>
        </w:rPr>
        <w:t>claridad, profesionalismo y accesibilidad</w:t>
      </w:r>
      <w:r w:rsidRPr="00347F9C">
        <w:rPr>
          <w:rFonts w:eastAsia="Times New Roman" w:cs="Times New Roman"/>
          <w:lang w:eastAsia="es-MX"/>
        </w:rPr>
        <w:t>.</w:t>
      </w:r>
    </w:p>
    <w:p w:rsidR="00A404C1" w:rsidRPr="00565AEC" w:rsidRDefault="00A255CC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¿Se aplica de forma consistente?</w:t>
      </w:r>
    </w:p>
    <w:p w:rsidR="0013652C" w:rsidRPr="00EA0581" w:rsidRDefault="00347F9C" w:rsidP="00EA0581">
      <w:pPr>
        <w:jc w:val="both"/>
        <w:rPr>
          <w:rFonts w:eastAsia="Times New Roman" w:cs="Times New Roman"/>
          <w:lang w:eastAsia="es-MX"/>
        </w:rPr>
      </w:pPr>
      <w:r w:rsidRPr="00EA0581">
        <w:rPr>
          <w:rFonts w:eastAsia="Times New Roman" w:cs="Times New Roman"/>
          <w:lang w:eastAsia="es-MX"/>
        </w:rPr>
        <w:t xml:space="preserve">Sí. Se usa la misma familia en </w:t>
      </w:r>
      <w:r w:rsidRPr="00EA0581">
        <w:rPr>
          <w:rFonts w:eastAsia="Times New Roman" w:cs="Times New Roman"/>
          <w:b/>
          <w:bCs/>
          <w:lang w:eastAsia="es-MX"/>
        </w:rPr>
        <w:t>títulos (24 px)</w:t>
      </w:r>
      <w:r w:rsidRPr="00EA0581">
        <w:rPr>
          <w:rFonts w:eastAsia="Times New Roman" w:cs="Times New Roman"/>
          <w:lang w:eastAsia="es-MX"/>
        </w:rPr>
        <w:t xml:space="preserve"> y </w:t>
      </w:r>
      <w:r w:rsidRPr="00EA0581">
        <w:rPr>
          <w:rFonts w:eastAsia="Times New Roman" w:cs="Times New Roman"/>
          <w:b/>
          <w:bCs/>
          <w:lang w:eastAsia="es-MX"/>
        </w:rPr>
        <w:t>texto general (16 px)</w:t>
      </w:r>
      <w:r w:rsidRPr="00EA0581">
        <w:rPr>
          <w:rFonts w:eastAsia="Times New Roman" w:cs="Times New Roman"/>
          <w:lang w:eastAsia="es-MX"/>
        </w:rPr>
        <w:t>, lo cual garantiza coherencia visual, en línea con la heurística 4 (consistencia y estándares).</w:t>
      </w: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0F71CA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C. Iconografía y elementos gráficos</w:t>
      </w:r>
    </w:p>
    <w:tbl>
      <w:tblPr>
        <w:tblStyle w:val="Tabladecuadrcula5oscura-nfasis1"/>
        <w:tblW w:w="8647" w:type="dxa"/>
        <w:tblLayout w:type="fixed"/>
        <w:tblLook w:val="04A0" w:firstRow="1" w:lastRow="0" w:firstColumn="1" w:lastColumn="0" w:noHBand="0" w:noVBand="1"/>
      </w:tblPr>
      <w:tblGrid>
        <w:gridCol w:w="1838"/>
        <w:gridCol w:w="1564"/>
        <w:gridCol w:w="2410"/>
        <w:gridCol w:w="2835"/>
      </w:tblGrid>
      <w:tr w:rsidR="00272463" w:rsidRPr="00EA0581" w:rsidTr="001365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Elemento</w:t>
            </w:r>
          </w:p>
        </w:tc>
        <w:tc>
          <w:tcPr>
            <w:tcW w:w="1564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Descripción</w:t>
            </w:r>
          </w:p>
        </w:tc>
        <w:tc>
          <w:tcPr>
            <w:tcW w:w="2410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Uso</w:t>
            </w:r>
          </w:p>
        </w:tc>
        <w:tc>
          <w:tcPr>
            <w:tcW w:w="2835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Justificación</w:t>
            </w:r>
          </w:p>
        </w:tc>
      </w:tr>
      <w:tr w:rsidR="00272463" w:rsidRPr="003C155D" w:rsidTr="00136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Icon_Perfil</w:t>
            </w:r>
            <w:proofErr w:type="spellEnd"/>
          </w:p>
        </w:tc>
        <w:tc>
          <w:tcPr>
            <w:tcW w:w="1564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Silueta de una persona en color azul.</w:t>
            </w:r>
          </w:p>
        </w:tc>
        <w:tc>
          <w:tcPr>
            <w:tcW w:w="2410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Representa la sección o botón relacionado con el perfil del usuario, como acceder a su información o configuraciones personales.</w:t>
            </w:r>
          </w:p>
        </w:tc>
        <w:tc>
          <w:tcPr>
            <w:tcW w:w="2835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El estilo visual es uniforme con el resto de los íconos y su significado es fácilmente reconocible, lo que facilita la navegación y evita sobrecargar al usuario con elementos complejos</w:t>
            </w:r>
          </w:p>
        </w:tc>
      </w:tr>
      <w:tr w:rsidR="00272463" w:rsidRPr="003C155D" w:rsidTr="00136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Icon_menu</w:t>
            </w:r>
            <w:proofErr w:type="spellEnd"/>
          </w:p>
        </w:tc>
        <w:tc>
          <w:tcPr>
            <w:tcW w:w="1564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Siluetas de tres personas, dos azules en el fondo y una blanca al frente.</w:t>
            </w:r>
          </w:p>
        </w:tc>
        <w:tc>
          <w:tcPr>
            <w:tcW w:w="2410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Indica el acceso al menú principal o a opciones relacionadas con usuarios o grupos.</w:t>
            </w:r>
          </w:p>
        </w:tc>
        <w:tc>
          <w:tcPr>
            <w:tcW w:w="2835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Mantiene coherencia cromática con los demás íconos, facilita la identificación visual de la función y conserva una jerarquía clara sin saturar la interfaz.</w:t>
            </w:r>
          </w:p>
        </w:tc>
      </w:tr>
      <w:tr w:rsidR="00272463" w:rsidRPr="003C155D" w:rsidTr="00136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Icon_Formularios</w:t>
            </w:r>
            <w:proofErr w:type="spellEnd"/>
          </w:p>
        </w:tc>
        <w:tc>
          <w:tcPr>
            <w:tcW w:w="1564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Conjunto de cartas o documentos de colores apilados en forma escalonada, similar a una baraja.</w:t>
            </w:r>
          </w:p>
        </w:tc>
        <w:tc>
          <w:tcPr>
            <w:tcW w:w="2410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Se utiliza para acceder a los formularios o reportes registrados por el usuario.</w:t>
            </w:r>
          </w:p>
        </w:tc>
        <w:tc>
          <w:tcPr>
            <w:tcW w:w="2835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El diseño comunica organización y accesibilidad de información. Su estilo es uniforme y ayuda al reconocimiento rápido de la acción sin generar sobrecarga visual.</w:t>
            </w:r>
          </w:p>
        </w:tc>
      </w:tr>
      <w:tr w:rsidR="005A3039" w:rsidRPr="003C155D" w:rsidTr="00136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5A3039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Icon_admin</w:t>
            </w:r>
            <w:proofErr w:type="spellEnd"/>
          </w:p>
        </w:tc>
        <w:tc>
          <w:tcPr>
            <w:tcW w:w="1564" w:type="dxa"/>
          </w:tcPr>
          <w:p w:rsidR="005A3039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Imagen de un globo terráqueo con una corona al frente.</w:t>
            </w:r>
          </w:p>
        </w:tc>
        <w:tc>
          <w:tcPr>
            <w:tcW w:w="2410" w:type="dxa"/>
          </w:tcPr>
          <w:p w:rsidR="005A3039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Representa la sección de administración o control general del sistema.</w:t>
            </w:r>
          </w:p>
        </w:tc>
        <w:tc>
          <w:tcPr>
            <w:tcW w:w="2835" w:type="dxa"/>
          </w:tcPr>
          <w:p w:rsidR="005A3039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Mantiene la coherencia estética con el resto de íconos y simboliza autoridad y control. Facilita el reconocimiento inmediato de la función administrativa, sin distraer al usuario con detalles innecesarios.</w:t>
            </w:r>
          </w:p>
        </w:tc>
      </w:tr>
    </w:tbl>
    <w:p w:rsidR="00EA0581" w:rsidRDefault="009869B6" w:rsidP="00EA0581">
      <w:pPr>
        <w:jc w:val="both"/>
        <w:rPr>
          <w:rFonts w:asciiTheme="majorHAnsi" w:hAnsiTheme="majorHAnsi" w:cstheme="majorHAnsi"/>
          <w:sz w:val="24"/>
        </w:rPr>
      </w:pPr>
      <w:r w:rsidRPr="00EA0581">
        <w:rPr>
          <w:rFonts w:asciiTheme="majorHAnsi" w:hAnsiTheme="majorHAnsi" w:cstheme="majorHAnsi"/>
          <w:sz w:val="24"/>
        </w:rPr>
        <w:lastRenderedPageBreak/>
        <w:t>Justifica:</w:t>
      </w:r>
    </w:p>
    <w:p w:rsidR="00347F9C" w:rsidRPr="00565AEC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¿El estilo visual es uniforme?</w:t>
      </w:r>
    </w:p>
    <w:p w:rsidR="00EA0581" w:rsidRDefault="00347F9C" w:rsidP="00EA0581">
      <w:pPr>
        <w:jc w:val="both"/>
        <w:rPr>
          <w:rFonts w:cstheme="majorHAnsi"/>
        </w:rPr>
      </w:pPr>
      <w:r w:rsidRPr="00EA0581">
        <w:t>Sí. Todos los iconos usan la misma paleta (azules y blanco), el mismo grosor de línea y estilo minimalista. Esto crea coherencia en toda la interfaz.</w:t>
      </w:r>
    </w:p>
    <w:p w:rsidR="00347F9C" w:rsidRPr="00565AEC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¿Facilita el reconocimiento de acciones?</w:t>
      </w:r>
    </w:p>
    <w:p w:rsidR="00EA0581" w:rsidRDefault="00347F9C" w:rsidP="00EA0581">
      <w:pPr>
        <w:jc w:val="both"/>
        <w:rPr>
          <w:rFonts w:asciiTheme="majorHAnsi" w:hAnsiTheme="majorHAnsi" w:cstheme="majorHAnsi"/>
        </w:rPr>
      </w:pPr>
      <w:r>
        <w:t>Sí. Cada icono representa su función de manera clara y universal: persona → perfil, documentos → formularios, globo → administración, etc. Esto reduce la necesidad de lectura y favorece el reconocimiento visual inmediato.</w:t>
      </w:r>
    </w:p>
    <w:p w:rsidR="00347F9C" w:rsidRPr="00565AEC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¿Evita la sobrecarga visual?</w:t>
      </w:r>
    </w:p>
    <w:p w:rsidR="00272463" w:rsidRPr="00347F9C" w:rsidRDefault="00347F9C" w:rsidP="00EA0581">
      <w:pPr>
        <w:jc w:val="both"/>
      </w:pPr>
      <w:r w:rsidRPr="00EA0581">
        <w:t>Sí. Los iconos son simples, no contienen detalles excesivos y siguen patrones visuales uniformes. Esto minimiza la carga cognitiva y evita saturación en pantallas pequeñas.</w:t>
      </w:r>
      <w:r w:rsidR="009869B6" w:rsidRPr="003C155D">
        <w:rPr>
          <w:rFonts w:asciiTheme="majorHAnsi" w:hAnsiTheme="majorHAnsi" w:cstheme="majorHAnsi"/>
        </w:rPr>
        <w:br/>
      </w: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D. Componentes de interfaz</w:t>
      </w:r>
    </w:p>
    <w:tbl>
      <w:tblPr>
        <w:tblStyle w:val="Tabladecuadrcula5oscura-nfasis1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7"/>
        <w:gridCol w:w="2159"/>
      </w:tblGrid>
      <w:tr w:rsidR="00272463" w:rsidRPr="003C155D" w:rsidTr="00AB19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Componente</w:t>
            </w:r>
          </w:p>
        </w:tc>
        <w:tc>
          <w:tcPr>
            <w:tcW w:w="2157" w:type="dxa"/>
          </w:tcPr>
          <w:p w:rsidR="00272463" w:rsidRPr="00EA0581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Estado</w:t>
            </w:r>
          </w:p>
        </w:tc>
        <w:tc>
          <w:tcPr>
            <w:tcW w:w="2157" w:type="dxa"/>
          </w:tcPr>
          <w:p w:rsidR="00272463" w:rsidRPr="00EA0581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Descripción</w:t>
            </w:r>
          </w:p>
        </w:tc>
        <w:tc>
          <w:tcPr>
            <w:tcW w:w="2159" w:type="dxa"/>
          </w:tcPr>
          <w:p w:rsidR="00272463" w:rsidRPr="00EA0581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Justificación</w:t>
            </w:r>
          </w:p>
        </w:tc>
      </w:tr>
      <w:tr w:rsidR="00272463" w:rsidRPr="003C155D" w:rsidTr="00AB19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117CA0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Botón principal (CTA)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Normal / </w:t>
            </w:r>
            <w:proofErr w:type="spellStart"/>
            <w:r w:rsidRPr="00EA0581">
              <w:rPr>
                <w:rFonts w:cstheme="majorHAnsi"/>
              </w:rPr>
              <w:t>Hover</w:t>
            </w:r>
            <w:proofErr w:type="spellEnd"/>
            <w:r w:rsidRPr="00EA0581">
              <w:rPr>
                <w:rFonts w:cstheme="majorHAnsi"/>
              </w:rPr>
              <w:t xml:space="preserve"> / Desactivado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Botón rectangular de esquinas redondeadas en </w:t>
            </w:r>
            <w:proofErr w:type="spellStart"/>
            <w:r w:rsidRPr="00EA0581">
              <w:rPr>
                <w:rFonts w:cstheme="majorHAnsi"/>
              </w:rPr>
              <w:t>Pacific</w:t>
            </w:r>
            <w:proofErr w:type="spellEnd"/>
            <w:r w:rsidRPr="00EA0581">
              <w:rPr>
                <w:rFonts w:cstheme="majorHAnsi"/>
              </w:rPr>
              <w:t xml:space="preserve"> Blue, con texto en blanco.</w:t>
            </w:r>
          </w:p>
        </w:tc>
        <w:tc>
          <w:tcPr>
            <w:tcW w:w="2159" w:type="dxa"/>
          </w:tcPr>
          <w:p w:rsidR="00272463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Contribuye a la usabilidad al destacar las acciones principales. El estado </w:t>
            </w:r>
            <w:proofErr w:type="spellStart"/>
            <w:r w:rsidRPr="00EA0581">
              <w:rPr>
                <w:rFonts w:cstheme="majorHAnsi"/>
              </w:rPr>
              <w:t>hover</w:t>
            </w:r>
            <w:proofErr w:type="spellEnd"/>
            <w:r w:rsidRPr="00EA0581">
              <w:rPr>
                <w:rFonts w:cstheme="majorHAnsi"/>
              </w:rPr>
              <w:t xml:space="preserve"> ofrece retroalimentación inmediata (heurística 1: visibilidad del estado del sistema). La versión desactivada previene errores.</w:t>
            </w:r>
          </w:p>
        </w:tc>
      </w:tr>
      <w:tr w:rsidR="00272463" w:rsidRPr="003C155D" w:rsidTr="00AB19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117CA0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Barra de navegación superior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Fija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Contiene logo, menú principal e icono de perfil.</w:t>
            </w:r>
          </w:p>
        </w:tc>
        <w:tc>
          <w:tcPr>
            <w:tcW w:w="2159" w:type="dxa"/>
          </w:tcPr>
          <w:p w:rsidR="00272463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Mantiene acciones frecuentes visibles en todo momento, reduce pasos y favorece el control del usuario (heurística 3).</w:t>
            </w:r>
          </w:p>
        </w:tc>
      </w:tr>
      <w:tr w:rsidR="00272463" w:rsidRPr="003C155D" w:rsidTr="00AB19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117CA0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Tarjetas informativas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Normal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Bloques con borde tenue que muestran consumo, estado de reportes y estadísticas.</w:t>
            </w:r>
          </w:p>
        </w:tc>
        <w:tc>
          <w:tcPr>
            <w:tcW w:w="2159" w:type="dxa"/>
          </w:tcPr>
          <w:p w:rsidR="00272463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Agrupan información clara y jerárquica, evitando sobrecarga visual. Ayudan al reconocimiento (heurística 6: reconocimiento antes que recuerdo).</w:t>
            </w:r>
          </w:p>
        </w:tc>
      </w:tr>
      <w:tr w:rsidR="00B37A4B" w:rsidRPr="003C155D" w:rsidTr="00AB19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B37A4B" w:rsidRPr="00EA0581" w:rsidRDefault="00B37A4B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Campos de formulario</w:t>
            </w:r>
          </w:p>
        </w:tc>
        <w:tc>
          <w:tcPr>
            <w:tcW w:w="2157" w:type="dxa"/>
          </w:tcPr>
          <w:p w:rsidR="00B37A4B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Activo / Inactivo / Error</w:t>
            </w:r>
          </w:p>
        </w:tc>
        <w:tc>
          <w:tcPr>
            <w:tcW w:w="2157" w:type="dxa"/>
          </w:tcPr>
          <w:p w:rsidR="00B37A4B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Inputs con borde azul al estar activos y mensaje en rojo en caso de error.</w:t>
            </w:r>
          </w:p>
        </w:tc>
        <w:tc>
          <w:tcPr>
            <w:tcW w:w="2159" w:type="dxa"/>
          </w:tcPr>
          <w:p w:rsidR="00B37A4B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Favorecen la precisión y detección temprana de errores. La retroalimentación visual inmediata cumple con WCAG y </w:t>
            </w:r>
            <w:proofErr w:type="spellStart"/>
            <w:r w:rsidRPr="00EA0581">
              <w:rPr>
                <w:rFonts w:cstheme="majorHAnsi"/>
              </w:rPr>
              <w:t>Nielsen</w:t>
            </w:r>
            <w:proofErr w:type="spellEnd"/>
            <w:r w:rsidRPr="00EA0581">
              <w:rPr>
                <w:rFonts w:cstheme="majorHAnsi"/>
              </w:rPr>
              <w:t>.</w:t>
            </w:r>
          </w:p>
        </w:tc>
      </w:tr>
      <w:tr w:rsidR="00B37A4B" w:rsidRPr="003C155D" w:rsidTr="00EA0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B37A4B" w:rsidRPr="00EA0581" w:rsidRDefault="00B37A4B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Iconos interactivos</w:t>
            </w:r>
          </w:p>
        </w:tc>
        <w:tc>
          <w:tcPr>
            <w:tcW w:w="2157" w:type="dxa"/>
          </w:tcPr>
          <w:p w:rsidR="00B37A4B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Activo / Inactivo</w:t>
            </w:r>
          </w:p>
        </w:tc>
        <w:tc>
          <w:tcPr>
            <w:tcW w:w="2157" w:type="dxa"/>
          </w:tcPr>
          <w:p w:rsidR="00B37A4B" w:rsidRPr="00EA0581" w:rsidRDefault="00AB1922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Íconos que funcionan para permitir entrar a al perfil u otros apartados</w:t>
            </w:r>
          </w:p>
        </w:tc>
        <w:tc>
          <w:tcPr>
            <w:tcW w:w="2159" w:type="dxa"/>
          </w:tcPr>
          <w:p w:rsidR="00B37A4B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Permiten interacción rápida sin saturación visual. Refuerzan la consistencia (heurística 4).</w:t>
            </w:r>
          </w:p>
        </w:tc>
      </w:tr>
    </w:tbl>
    <w:p w:rsidR="00EA0581" w:rsidRDefault="00EA0581" w:rsidP="00EA0581">
      <w:pPr>
        <w:jc w:val="both"/>
        <w:rPr>
          <w:rFonts w:asciiTheme="majorHAnsi" w:hAnsiTheme="majorHAnsi" w:cstheme="majorHAnsi"/>
          <w:sz w:val="24"/>
        </w:rPr>
      </w:pPr>
      <w:r>
        <w:rPr>
          <w:rFonts w:asciiTheme="majorHAnsi" w:hAnsiTheme="majorHAnsi" w:cstheme="majorHAnsi"/>
          <w:sz w:val="24"/>
        </w:rPr>
        <w:lastRenderedPageBreak/>
        <w:t>Justifica:</w:t>
      </w:r>
    </w:p>
    <w:p w:rsidR="00B37A4B" w:rsidRPr="00EA0581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EA0581">
        <w:rPr>
          <w:rFonts w:asciiTheme="majorHAnsi" w:hAnsiTheme="majorHAnsi" w:cstheme="majorHAnsi"/>
          <w:b/>
          <w:sz w:val="24"/>
        </w:rPr>
        <w:t>¿Cómo contribuye cada componente a la usabilidad?</w:t>
      </w:r>
    </w:p>
    <w:p w:rsidR="00EA0581" w:rsidRDefault="00347F9C" w:rsidP="00EA0581">
      <w:pPr>
        <w:jc w:val="both"/>
        <w:rPr>
          <w:rFonts w:asciiTheme="majorHAnsi" w:hAnsiTheme="majorHAnsi" w:cstheme="majorHAnsi"/>
        </w:rPr>
      </w:pPr>
      <w:r w:rsidRPr="00EA0581">
        <w:t xml:space="preserve">Todos los componentes fueron diseñados para que el usuario pueda </w:t>
      </w:r>
      <w:r w:rsidRPr="00EA0581">
        <w:rPr>
          <w:rStyle w:val="Textoennegrita"/>
        </w:rPr>
        <w:t>comprender rápidamente qué puede hacer</w:t>
      </w:r>
      <w:r w:rsidRPr="00EA0581">
        <w:t>, dónde está y qué acción es segura realizar. Los botones y tarjetas destacan acciones importantes; los formularios ofrecen retroalimentación; los iconos hacen más fácil entender funciones sin leer textos largos.</w:t>
      </w:r>
    </w:p>
    <w:p w:rsidR="00B37A4B" w:rsidRPr="00EA0581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EA0581">
        <w:rPr>
          <w:rFonts w:asciiTheme="majorHAnsi" w:hAnsiTheme="majorHAnsi" w:cstheme="majorHAnsi"/>
          <w:b/>
          <w:sz w:val="24"/>
        </w:rPr>
        <w:t>¿Cómo apoya la retroalimentación y control del usuario?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>Los botones muestran estados (</w:t>
      </w:r>
      <w:proofErr w:type="spellStart"/>
      <w:r w:rsidRPr="00347F9C">
        <w:rPr>
          <w:rFonts w:asciiTheme="minorHAnsi" w:hAnsiTheme="minorHAnsi"/>
          <w:sz w:val="22"/>
          <w:szCs w:val="22"/>
        </w:rPr>
        <w:t>hover</w:t>
      </w:r>
      <w:proofErr w:type="spellEnd"/>
      <w:r w:rsidRPr="00347F9C">
        <w:rPr>
          <w:rFonts w:asciiTheme="minorHAnsi" w:hAnsiTheme="minorHAnsi"/>
          <w:sz w:val="22"/>
          <w:szCs w:val="22"/>
        </w:rPr>
        <w:t>, activo, desactivado).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 xml:space="preserve">Los campos de formulario indican </w:t>
      </w:r>
      <w:r w:rsidRPr="00347F9C">
        <w:rPr>
          <w:rStyle w:val="Textoennegrita"/>
          <w:rFonts w:asciiTheme="minorHAnsi" w:hAnsiTheme="minorHAnsi"/>
          <w:sz w:val="22"/>
          <w:szCs w:val="22"/>
        </w:rPr>
        <w:t>errores en tiempo real</w:t>
      </w:r>
      <w:r w:rsidRPr="00347F9C">
        <w:rPr>
          <w:rFonts w:asciiTheme="minorHAnsi" w:hAnsiTheme="minorHAnsi"/>
          <w:sz w:val="22"/>
          <w:szCs w:val="22"/>
        </w:rPr>
        <w:t>.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>Las tarjetas presentan información resumida sin saturar.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>Los iconos refuerzan el sentido de control y orientación.</w:t>
      </w:r>
    </w:p>
    <w:p w:rsidR="00272463" w:rsidRDefault="009869B6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</w:rPr>
        <w:br/>
      </w: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Pr="003C155D" w:rsidRDefault="00565AEC" w:rsidP="00EA0581">
      <w:pPr>
        <w:jc w:val="both"/>
        <w:rPr>
          <w:rFonts w:asciiTheme="majorHAnsi" w:hAnsiTheme="majorHAnsi" w:cstheme="majorHAnsi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E. Navegación</w:t>
      </w:r>
    </w:p>
    <w:tbl>
      <w:tblPr>
        <w:tblStyle w:val="Tabladecuadrcula5oscura-nfasis1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272463" w:rsidRPr="003C155D" w:rsidTr="005808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7" w:type="dxa"/>
          </w:tcPr>
          <w:p w:rsidR="00272463" w:rsidRPr="003C155D" w:rsidRDefault="009869B6" w:rsidP="00EA0581">
            <w:pPr>
              <w:jc w:val="both"/>
              <w:rPr>
                <w:rFonts w:asciiTheme="majorHAnsi" w:hAnsiTheme="majorHAnsi" w:cstheme="majorHAnsi"/>
              </w:rPr>
            </w:pPr>
            <w:r w:rsidRPr="003C155D">
              <w:rPr>
                <w:rFonts w:asciiTheme="majorHAnsi" w:hAnsiTheme="majorHAnsi" w:cstheme="majorHAnsi"/>
              </w:rPr>
              <w:t>Tipo de navegación</w:t>
            </w:r>
          </w:p>
        </w:tc>
        <w:tc>
          <w:tcPr>
            <w:tcW w:w="2876" w:type="dxa"/>
          </w:tcPr>
          <w:p w:rsidR="00272463" w:rsidRPr="003C155D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3C155D">
              <w:rPr>
                <w:rFonts w:asciiTheme="majorHAnsi" w:hAnsiTheme="majorHAnsi" w:cstheme="majorHAnsi"/>
              </w:rPr>
              <w:t>Descripción</w:t>
            </w:r>
          </w:p>
        </w:tc>
        <w:tc>
          <w:tcPr>
            <w:tcW w:w="2877" w:type="dxa"/>
          </w:tcPr>
          <w:p w:rsidR="00272463" w:rsidRPr="003C155D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3C155D">
              <w:rPr>
                <w:rFonts w:asciiTheme="majorHAnsi" w:hAnsiTheme="majorHAnsi" w:cstheme="majorHAnsi"/>
              </w:rPr>
              <w:t>Justificación</w:t>
            </w:r>
          </w:p>
        </w:tc>
      </w:tr>
      <w:tr w:rsidR="00272463" w:rsidRPr="003C155D" w:rsidTr="00580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7" w:type="dxa"/>
          </w:tcPr>
          <w:p w:rsidR="00272463" w:rsidRPr="003C155D" w:rsidRDefault="005808F9" w:rsidP="00EA0581">
            <w:pPr>
              <w:jc w:val="both"/>
              <w:rPr>
                <w:rFonts w:asciiTheme="majorHAnsi" w:hAnsiTheme="majorHAnsi" w:cstheme="majorHAnsi"/>
              </w:rPr>
            </w:pPr>
            <w:r>
              <w:t>Navegación compuesta</w:t>
            </w:r>
          </w:p>
        </w:tc>
        <w:tc>
          <w:tcPr>
            <w:tcW w:w="2876" w:type="dxa"/>
          </w:tcPr>
          <w:p w:rsidR="00272463" w:rsidRPr="003C155D" w:rsidRDefault="005808F9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t>Conformada por varios mecanismos de interacción (barra superior, menú móvil, tarjetas, rutas internas y ventanas emergentes) que funcionan de manera integrada dentro del sistema.</w:t>
            </w:r>
          </w:p>
        </w:tc>
        <w:tc>
          <w:tcPr>
            <w:tcW w:w="2877" w:type="dxa"/>
          </w:tcPr>
          <w:p w:rsidR="005808F9" w:rsidRDefault="005808F9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combinar diferentes formas de desplazamiento, mejora la experiencia del usuario en distintos dispositivos y facilita el acceso rápido a funciones clave sin limitarse a un único método de navegación.</w:t>
            </w:r>
          </w:p>
          <w:p w:rsidR="00272463" w:rsidRPr="003C155D" w:rsidRDefault="00272463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</w:p>
        </w:tc>
      </w:tr>
    </w:tbl>
    <w:p w:rsidR="0013652C" w:rsidRDefault="009869B6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</w:rPr>
        <w:br/>
      </w: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Justifica:</w:t>
      </w:r>
    </w:p>
    <w:p w:rsidR="00347F9C" w:rsidRPr="00565AEC" w:rsidRDefault="009869B6" w:rsidP="00565AEC">
      <w:pPr>
        <w:pStyle w:val="Prrafodelista"/>
        <w:numPr>
          <w:ilvl w:val="0"/>
          <w:numId w:val="26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¿La estructura facilita tareas frecuentes del usuario?</w:t>
      </w:r>
    </w:p>
    <w:p w:rsidR="00565AEC" w:rsidRDefault="00347F9C" w:rsidP="00EA0581">
      <w:pPr>
        <w:jc w:val="both"/>
        <w:rPr>
          <w:rFonts w:asciiTheme="majorHAnsi" w:hAnsiTheme="majorHAnsi" w:cstheme="majorHAnsi"/>
        </w:rPr>
      </w:pPr>
      <w:r>
        <w:t>Sí. La navegación compuesta integra varios métodos (barra superior, tarjetas, menús y modales) que permiten acceder rápidamente a las funciones más usadas del sistema, lo que facilita las tareas frecuentes sin obligar al usuario a realizar búsquedas complejas.</w:t>
      </w:r>
    </w:p>
    <w:p w:rsidR="00347F9C" w:rsidRPr="00565AEC" w:rsidRDefault="009869B6" w:rsidP="00565AEC">
      <w:pPr>
        <w:pStyle w:val="Prrafodelista"/>
        <w:numPr>
          <w:ilvl w:val="0"/>
          <w:numId w:val="26"/>
        </w:numPr>
        <w:jc w:val="both"/>
        <w:rPr>
          <w:rFonts w:asciiTheme="majorHAnsi" w:hAnsiTheme="majorHAnsi" w:cstheme="majorHAnsi"/>
        </w:rPr>
      </w:pPr>
      <w:r w:rsidRPr="00565AEC">
        <w:rPr>
          <w:rFonts w:asciiTheme="majorHAnsi" w:hAnsiTheme="majorHAnsi" w:cstheme="majorHAnsi"/>
          <w:b/>
          <w:sz w:val="24"/>
        </w:rPr>
        <w:t>¿Se reduce la cantidad de clics o pasos?</w:t>
      </w:r>
    </w:p>
    <w:p w:rsidR="00565AEC" w:rsidRDefault="00347F9C" w:rsidP="00EA0581">
      <w:pPr>
        <w:jc w:val="both"/>
        <w:rPr>
          <w:rFonts w:asciiTheme="majorHAnsi" w:hAnsiTheme="majorHAnsi" w:cstheme="majorHAnsi"/>
        </w:rPr>
      </w:pPr>
      <w:r>
        <w:t>Sí. Al combinar múltiples vías de acceso (por ejemplo, tarjetas directas, menú superior y ventanas emergentes), el usuario puede llegar a las funciones principales en menos pasos, reduciendo la necesidad de navegar por menús profundos.</w:t>
      </w:r>
    </w:p>
    <w:p w:rsidR="003E0BC6" w:rsidRPr="00565AEC" w:rsidRDefault="009869B6" w:rsidP="00565AEC">
      <w:pPr>
        <w:pStyle w:val="Prrafodelista"/>
        <w:numPr>
          <w:ilvl w:val="0"/>
          <w:numId w:val="26"/>
        </w:numPr>
        <w:jc w:val="both"/>
        <w:rPr>
          <w:rFonts w:asciiTheme="majorHAnsi" w:hAnsiTheme="majorHAnsi" w:cstheme="majorHAnsi"/>
        </w:rPr>
      </w:pPr>
      <w:r w:rsidRPr="00565AEC">
        <w:rPr>
          <w:rFonts w:asciiTheme="majorHAnsi" w:hAnsiTheme="majorHAnsi" w:cstheme="majorHAnsi"/>
          <w:b/>
          <w:sz w:val="24"/>
        </w:rPr>
        <w:t>¿Es intuitiva la ubicación de los menús?</w:t>
      </w:r>
    </w:p>
    <w:p w:rsidR="003E0BC6" w:rsidRPr="003E0BC6" w:rsidRDefault="003E0BC6" w:rsidP="00EA058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Sí. Los elementos de navegación se colocan siguiendo patrones comunes de diseño:</w:t>
      </w:r>
    </w:p>
    <w:p w:rsidR="003E0BC6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barra superior fija en la parte superior,</w:t>
      </w:r>
    </w:p>
    <w:p w:rsidR="003E0BC6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menú móvil accesible desde el ícono de hamburguesa,</w:t>
      </w:r>
    </w:p>
    <w:p w:rsidR="003E0BC6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tarjetas al centro para accesos rápidos,</w:t>
      </w:r>
    </w:p>
    <w:p w:rsidR="00272463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modales que no sacan al usuario de la pantalla.</w:t>
      </w:r>
      <w:r w:rsidR="009869B6" w:rsidRPr="003E0BC6">
        <w:rPr>
          <w:rFonts w:asciiTheme="majorHAnsi" w:hAnsiTheme="majorHAnsi" w:cstheme="majorHAnsi"/>
        </w:rPr>
        <w:br/>
      </w:r>
    </w:p>
    <w:p w:rsidR="000F71CA" w:rsidRDefault="000F71CA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65AEC" w:rsidRPr="003C155D" w:rsidRDefault="00565AEC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272463" w:rsidRPr="003C155D" w:rsidRDefault="000F71CA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noProof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70BF79" wp14:editId="5C6E428C">
                <wp:simplePos x="0" y="0"/>
                <wp:positionH relativeFrom="margin">
                  <wp:align>right</wp:align>
                </wp:positionH>
                <wp:positionV relativeFrom="paragraph">
                  <wp:posOffset>-250049</wp:posOffset>
                </wp:positionV>
                <wp:extent cx="5468620" cy="0"/>
                <wp:effectExtent l="38100" t="38100" r="74930" b="952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5A9C8D" id="Straight Connector 2" o:spid="_x0000_s1026" style="position:absolute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79.4pt,-19.7pt" to="810pt,-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auGugEAAMMDAAAOAAAAZHJzL2Uyb0RvYy54bWysU8GO0zAQvSPxD5bvNG0E1Spquoeu4IKg&#10;YuEDvM64sWR7rLFp079n7LZZxCKthLg4Hnvem3nPk8395J04AiWLoZerxVIKCBoHGw69/PH947s7&#10;KVJWYVAOA/TyDEneb9++2ZxiBy2O6AYgwSQhdafYyzHn2DVN0iN4lRYYIfClQfIqc0iHZiB1Ynbv&#10;mna5XDcnpCESakiJTx8ul3Jb+Y0Bnb8akyAL10vuLdeV6vpU1ma7Ud2BVBytvrah/qELr2zgojPV&#10;g8pK/CT7gspbTZjQ5IVG36AxVkPVwGpWyz/UPI4qQtXC5qQ425T+H63+ctyTsEMvWymC8vxEj5mU&#10;PYxZ7DAENhBJtMWnU0wdp+/Cnq5RinsqoidDvnxZjpiqt+fZW5iy0Hz44f36bt3yE+jbXfMMjJTy&#10;J0AvyqaXzoYiW3Xq+DllLsaptxQOSiOX0nWXzw5KsgvfwLAULtZWdB0i2DkSR8XPr7SGkFdFCvPV&#10;7AIz1rkZuHwdeM0vUKgDNoNXr4NnRK2MIc9gbwPS3wjydGvZXPJvDlx0FwuecDjXR6nW8KRUhdep&#10;LqP4e1zhz//e9hcAAAD//wMAUEsDBBQABgAIAAAAIQDLJmoh2wAAAAgBAAAPAAAAZHJzL2Rvd25y&#10;ZXYueG1sTI/NTsMwEITvSLyDtUjcWqcGRW0ap0JISBxp4MDRibf5IV5bttukb4+RkOA4O6uZb8rD&#10;YiZ2QR8GSxI26wwYUmv1QJ2Ej/eX1RZYiIq0miyhhCsGOFS3N6UqtJ3piJc6diyFUCiUhD5GV3Ae&#10;2h6NCmvrkJJ3st6omKTvuPZqTuFm4iLLcm7UQKmhVw6fe2y/6rOR8OmbUbxeZyfsmNe70aF4O6KU&#10;93fL0x5YxCX+PcMPfkKHKjE19kw6sElCGhIlrB52j8CSvc03Aljze+FVyf8PqL4BAAD//wMAUEsB&#10;Ai0AFAAGAAgAAAAhALaDOJL+AAAA4QEAABMAAAAAAAAAAAAAAAAAAAAAAFtDb250ZW50X1R5cGVz&#10;XS54bWxQSwECLQAUAAYACAAAACEAOP0h/9YAAACUAQAACwAAAAAAAAAAAAAAAAAvAQAAX3JlbHMv&#10;LnJlbHNQSwECLQAUAAYACAAAACEApWmrhroBAADDAwAADgAAAAAAAAAAAAAAAAAuAgAAZHJzL2Uy&#10;b0RvYy54bWxQSwECLQAUAAYACAAAACEAyyZqIdsAAAAIAQAADwAAAAAAAAAAAAAAAAAUBAAAZHJz&#10;L2Rvd25yZXYueG1sUEsFBgAAAAAEAAQA8wAAABwFAAAAAA=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9869B6" w:rsidRPr="003C155D">
        <w:rPr>
          <w:rFonts w:asciiTheme="majorHAnsi" w:hAnsiTheme="majorHAnsi" w:cstheme="majorHAnsi"/>
          <w:color w:val="1F497D" w:themeColor="text2"/>
          <w:sz w:val="24"/>
        </w:rPr>
        <w:t>3. Normativa de diseño (criterios generales)</w:t>
      </w:r>
    </w:p>
    <w:tbl>
      <w:tblPr>
        <w:tblStyle w:val="Tabladecuadrcula5oscura-nfasis1"/>
        <w:tblW w:w="0" w:type="auto"/>
        <w:tblInd w:w="-147" w:type="dxa"/>
        <w:tblLook w:val="04A0" w:firstRow="1" w:lastRow="0" w:firstColumn="1" w:lastColumn="0" w:noHBand="0" w:noVBand="1"/>
      </w:tblPr>
      <w:tblGrid>
        <w:gridCol w:w="1520"/>
        <w:gridCol w:w="2526"/>
        <w:gridCol w:w="1819"/>
        <w:gridCol w:w="2912"/>
      </w:tblGrid>
      <w:tr w:rsidR="00272463" w:rsidRPr="005370AF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Categoría</w:t>
            </w:r>
          </w:p>
        </w:tc>
        <w:tc>
          <w:tcPr>
            <w:tcW w:w="2552" w:type="dxa"/>
          </w:tcPr>
          <w:p w:rsidR="00272463" w:rsidRPr="005370AF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Norma aplicada</w:t>
            </w:r>
          </w:p>
        </w:tc>
        <w:tc>
          <w:tcPr>
            <w:tcW w:w="1842" w:type="dxa"/>
          </w:tcPr>
          <w:p w:rsidR="00272463" w:rsidRPr="005370AF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Referencia / Estándar</w:t>
            </w:r>
          </w:p>
        </w:tc>
        <w:tc>
          <w:tcPr>
            <w:tcW w:w="2965" w:type="dxa"/>
          </w:tcPr>
          <w:p w:rsidR="00272463" w:rsidRPr="005370AF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Justificación</w:t>
            </w:r>
          </w:p>
        </w:tc>
      </w:tr>
      <w:tr w:rsidR="00272463" w:rsidRPr="003C155D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Usabilidad</w:t>
            </w:r>
          </w:p>
        </w:tc>
        <w:tc>
          <w:tcPr>
            <w:tcW w:w="2552" w:type="dxa"/>
          </w:tcPr>
          <w:p w:rsidR="00272463" w:rsidRPr="005370AF" w:rsidRDefault="005D29A2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La interfaz debe ser intuitiva, permitir una navegación fluida y ofrecer retroalimentación constante al usuario.</w:t>
            </w:r>
          </w:p>
        </w:tc>
        <w:tc>
          <w:tcPr>
            <w:tcW w:w="1842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 xml:space="preserve">Heurísticas de </w:t>
            </w:r>
            <w:proofErr w:type="spellStart"/>
            <w:r w:rsidRPr="005370AF">
              <w:rPr>
                <w:rFonts w:cstheme="majorHAnsi"/>
              </w:rPr>
              <w:t>Nielsen</w:t>
            </w:r>
            <w:proofErr w:type="spellEnd"/>
            <w:r w:rsidRPr="005370AF">
              <w:rPr>
                <w:rFonts w:cstheme="majorHAnsi"/>
              </w:rPr>
              <w:t xml:space="preserve"> (1994)</w:t>
            </w:r>
          </w:p>
        </w:tc>
        <w:tc>
          <w:tcPr>
            <w:tcW w:w="2965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Facilita la interacción clara y eficiente, reduciendo errores y mejorando la experiencia ciudadana al registrar reportes.</w:t>
            </w:r>
          </w:p>
        </w:tc>
      </w:tr>
      <w:tr w:rsidR="00272463" w:rsidRPr="003C155D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Accesibilidad</w:t>
            </w:r>
          </w:p>
        </w:tc>
        <w:tc>
          <w:tcPr>
            <w:tcW w:w="2552" w:type="dxa"/>
          </w:tcPr>
          <w:p w:rsidR="00272463" w:rsidRPr="005370AF" w:rsidRDefault="005D29A2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Garantizar contraste adecuado, tipografía legible y compatibilidad con dispositivos móviles.</w:t>
            </w:r>
          </w:p>
        </w:tc>
        <w:tc>
          <w:tcPr>
            <w:tcW w:w="1842" w:type="dxa"/>
          </w:tcPr>
          <w:p w:rsidR="00272463" w:rsidRPr="005370AF" w:rsidRDefault="000F71CA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WCAG 2.1 (4.5:1 contraste mínimo)</w:t>
            </w:r>
          </w:p>
        </w:tc>
        <w:tc>
          <w:tcPr>
            <w:tcW w:w="2965" w:type="dxa"/>
          </w:tcPr>
          <w:p w:rsidR="00272463" w:rsidRPr="005370AF" w:rsidRDefault="000F71CA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Asegura que la plataforma sea inclusiva para usuarios con distintas capacidades visuales o contextos de uso.</w:t>
            </w:r>
          </w:p>
        </w:tc>
      </w:tr>
      <w:tr w:rsidR="00272463" w:rsidRPr="003C155D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Coherencia visual</w:t>
            </w:r>
          </w:p>
        </w:tc>
        <w:tc>
          <w:tcPr>
            <w:tcW w:w="2552" w:type="dxa"/>
          </w:tcPr>
          <w:p w:rsidR="00272463" w:rsidRPr="005370AF" w:rsidRDefault="005D29A2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Mantener paleta de colores institucional (azules, blanco y negro) y tipografía uniforme.</w:t>
            </w:r>
          </w:p>
        </w:tc>
        <w:tc>
          <w:tcPr>
            <w:tcW w:w="1842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ISO 9241-210 / DCU</w:t>
            </w:r>
          </w:p>
        </w:tc>
        <w:tc>
          <w:tcPr>
            <w:tcW w:w="2965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 xml:space="preserve">Refuerza la identidad visual de </w:t>
            </w:r>
            <w:proofErr w:type="spellStart"/>
            <w:r w:rsidRPr="005370AF">
              <w:rPr>
                <w:rStyle w:val="nfasis"/>
                <w:rFonts w:cstheme="majorHAnsi"/>
              </w:rPr>
              <w:t>Guardian</w:t>
            </w:r>
            <w:proofErr w:type="spellEnd"/>
            <w:r w:rsidRPr="005370AF">
              <w:rPr>
                <w:rStyle w:val="nfasis"/>
                <w:rFonts w:cstheme="majorHAnsi"/>
              </w:rPr>
              <w:t xml:space="preserve"> </w:t>
            </w:r>
            <w:proofErr w:type="spellStart"/>
            <w:r w:rsidRPr="005370AF">
              <w:rPr>
                <w:rStyle w:val="nfasis"/>
                <w:rFonts w:cstheme="majorHAnsi"/>
              </w:rPr>
              <w:t>Water</w:t>
            </w:r>
            <w:proofErr w:type="spellEnd"/>
            <w:r w:rsidRPr="005370AF">
              <w:rPr>
                <w:rFonts w:cstheme="majorHAnsi"/>
              </w:rPr>
              <w:t xml:space="preserve"> y facilita el reconocimiento de elementos en toda la interfaz.</w:t>
            </w:r>
          </w:p>
        </w:tc>
      </w:tr>
    </w:tbl>
    <w:p w:rsidR="009869B6" w:rsidRPr="003C155D" w:rsidRDefault="009869B6" w:rsidP="00EA0581">
      <w:pPr>
        <w:jc w:val="both"/>
        <w:rPr>
          <w:rFonts w:asciiTheme="majorHAnsi" w:hAnsiTheme="majorHAnsi" w:cstheme="majorHAnsi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272463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45A37" wp14:editId="4B45BC08">
                <wp:simplePos x="0" y="0"/>
                <wp:positionH relativeFrom="margin">
                  <wp:align>left</wp:align>
                </wp:positionH>
                <wp:positionV relativeFrom="paragraph">
                  <wp:posOffset>-217170</wp:posOffset>
                </wp:positionV>
                <wp:extent cx="5469147" cy="0"/>
                <wp:effectExtent l="38100" t="38100" r="74930" b="952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25057A" id="Straight Connector 3" o:spid="_x0000_s1026" style="position:absolute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17.1pt" to="430.65pt,-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oEluwEAAMMDAAAOAAAAZHJzL2Uyb0RvYy54bWysU8tu2zAQvBfoPxC8x5KcNE0Fyzk4aC5F&#10;azTJBzDU0iLAF5asJf99l7StFGmBAEUuFJfcmd0Zrla3kzVsDxi1dx1vFjVn4KTvtdt1/Onx68UN&#10;ZzEJ1wvjHXT8AJHfrj9+WI2hhaUfvOkBGZG42I6h40NKoa2qKAewIi58AEeXyqMViULcVT2Kkdit&#10;qZZ1fV2NHvuAXkKMdHp3vOTrwq8UyPRDqQiJmY5Tb6msWNbnvFbrlWh3KMKg5akN8R9dWKEdFZ2p&#10;7kQS7Bfqv6isluijV2khva28UlpC0UBqmvqVmodBBChayJwYZpvi+9HK7/stMt13/JIzJyw90UNC&#10;oXdDYhvvHBnokV1mn8YQW0rfuC2eohi2mEVPCm3+khw2FW8Ps7cwJSbp8NPV9Zfm6jNn8nxXvQAD&#10;xnQP3rK86bjRLssWrdh/i4mKUeo5hYLcyLF02aWDgZxs3E9QJIWKLQu6DBFsDLK9oOcXUoJLTZZC&#10;fCU7w5Q2ZgbWbwNP+RkKZcBmcPM2eEaUyt6lGWy18/gvgjSdW1bH/LMDR93ZgmffH8qjFGtoUorC&#10;01TnUfwzLvCXf2/9GwAA//8DAFBLAwQUAAYACAAAACEAl1LJ3tsAAAAIAQAADwAAAGRycy9kb3du&#10;cmV2LnhtbEyPzU7DMBCE70i8g7VI3FqnLopKGqdCSEgcaeDA0YmX/DReW7bbpG+PkZDgODurmW/K&#10;w2ImdkEfBksSNusMGFJr9UCdhI/3l9UOWIiKtJosoYQrBjhUtzelKrSd6YiXOnYshVAolIQ+Rldw&#10;HtoejQpr65CS92W9UTFJ33Ht1ZzCzcRFluXcqIFSQ68cPvfYnuqzkfDpm1G8Xmcn7JjXj6ND8XZE&#10;Ke/vlqc9sIhL/HuGH/yEDlViauyZdGCThDQkSlhtHwSwZO/yzRZY83vhVcn/D6i+AQAA//8DAFBL&#10;AQItABQABgAIAAAAIQC2gziS/gAAAOEBAAATAAAAAAAAAAAAAAAAAAAAAABbQ29udGVudF9UeXBl&#10;c10ueG1sUEsBAi0AFAAGAAgAAAAhADj9If/WAAAAlAEAAAsAAAAAAAAAAAAAAAAALwEAAF9yZWxz&#10;Ly5yZWxzUEsBAi0AFAAGAAgAAAAhAHsegSW7AQAAwwMAAA4AAAAAAAAAAAAAAAAALgIAAGRycy9l&#10;Mm9Eb2MueG1sUEsBAi0AFAAGAAgAAAAhAJdSyd7bAAAACAEAAA8AAAAAAAAAAAAAAAAAFQQAAGRy&#10;cy9kb3ducmV2LnhtbFBLBQYAAAAABAAEAPMAAAAd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9869B6" w:rsidRPr="003C155D">
        <w:rPr>
          <w:rFonts w:asciiTheme="majorHAnsi" w:hAnsiTheme="majorHAnsi" w:cstheme="majorHAnsi"/>
          <w:color w:val="1F497D" w:themeColor="text2"/>
          <w:sz w:val="24"/>
        </w:rPr>
        <w:t>4. Conclusión y validación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Coherencia general: ¿Se aplican los mismos criterios visuales e interactivos en todas las pantallas?</w:t>
      </w:r>
    </w:p>
    <w:p w:rsidR="005370AF" w:rsidRPr="005370AF" w:rsidRDefault="005370AF" w:rsidP="005370AF">
      <w:pPr>
        <w:pStyle w:val="Prrafodelista"/>
        <w:rPr>
          <w:rFonts w:cstheme="majorHAnsi"/>
          <w:sz w:val="18"/>
        </w:rPr>
      </w:pPr>
      <w:r w:rsidRPr="005370AF">
        <w:rPr>
          <w:rFonts w:cstheme="majorHAnsi"/>
          <w:szCs w:val="28"/>
        </w:rPr>
        <w:t xml:space="preserve">El diseño mantiene uniformidad en todos los componentes de la interfaz. Se utilizan los mismos criterios visuales —paleta de azules, blanco y negro, tipografía </w:t>
      </w:r>
      <w:proofErr w:type="spellStart"/>
      <w:r w:rsidRPr="005370AF">
        <w:rPr>
          <w:rFonts w:cstheme="majorHAnsi"/>
          <w:szCs w:val="28"/>
        </w:rPr>
        <w:t>Clash</w:t>
      </w:r>
      <w:proofErr w:type="spellEnd"/>
      <w:r w:rsidRPr="005370AF">
        <w:rPr>
          <w:rFonts w:cstheme="majorHAnsi"/>
          <w:szCs w:val="28"/>
        </w:rPr>
        <w:t xml:space="preserve"> Regular y botones con bordes redondeados— en cada pantalla. Esto asegura una experiencia consistente y refuerza la identidad visual de </w:t>
      </w:r>
      <w:proofErr w:type="spellStart"/>
      <w:r w:rsidRPr="005370AF">
        <w:rPr>
          <w:rFonts w:cstheme="majorHAnsi"/>
          <w:szCs w:val="28"/>
        </w:rPr>
        <w:t>GuardianWater</w:t>
      </w:r>
      <w:proofErr w:type="spellEnd"/>
      <w:r w:rsidRPr="005370AF">
        <w:rPr>
          <w:rFonts w:cstheme="majorHAnsi"/>
          <w:szCs w:val="28"/>
        </w:rPr>
        <w:t>.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Accesibilidad: ¿Cumple con los requerimientos de inclusión digital?</w:t>
      </w:r>
    </w:p>
    <w:p w:rsidR="005370AF" w:rsidRPr="005370AF" w:rsidRDefault="005370AF" w:rsidP="005370AF">
      <w:pPr>
        <w:pStyle w:val="Prrafodelista"/>
        <w:spacing w:before="240"/>
        <w:rPr>
          <w:rFonts w:cstheme="majorHAnsi"/>
          <w:sz w:val="18"/>
        </w:rPr>
      </w:pPr>
      <w:r w:rsidRPr="005370AF">
        <w:rPr>
          <w:rFonts w:cstheme="majorHAnsi"/>
          <w:szCs w:val="28"/>
        </w:rPr>
        <w:t xml:space="preserve">El diseño mantiene uniformidad en todos los componentes de la interfaz. Se utilizan los mismos criterios visuales —paleta de azules, blanco y negro, tipografía </w:t>
      </w:r>
      <w:proofErr w:type="spellStart"/>
      <w:r w:rsidRPr="005370AF">
        <w:rPr>
          <w:rFonts w:cstheme="majorHAnsi"/>
          <w:szCs w:val="28"/>
        </w:rPr>
        <w:t>Clash</w:t>
      </w:r>
      <w:proofErr w:type="spellEnd"/>
      <w:r w:rsidRPr="005370AF">
        <w:rPr>
          <w:rFonts w:cstheme="majorHAnsi"/>
          <w:szCs w:val="28"/>
        </w:rPr>
        <w:t xml:space="preserve"> Regular y botones con bordes redondeados— en cada pantalla. Esto asegura una experiencia consistente y refuerza la identidad visual de </w:t>
      </w:r>
      <w:proofErr w:type="spellStart"/>
      <w:r w:rsidRPr="005370AF">
        <w:rPr>
          <w:rFonts w:cstheme="majorHAnsi"/>
          <w:szCs w:val="28"/>
        </w:rPr>
        <w:t>GuardianWater</w:t>
      </w:r>
      <w:proofErr w:type="spellEnd"/>
      <w:r w:rsidRPr="005370AF">
        <w:rPr>
          <w:rFonts w:cstheme="majorHAnsi"/>
          <w:szCs w:val="28"/>
        </w:rPr>
        <w:t>.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spacing w:after="0"/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Usabilidad: ¿El diseño favorece eficiencia, satisfacción y aprendizaje?</w:t>
      </w:r>
    </w:p>
    <w:p w:rsidR="005370AF" w:rsidRPr="005370AF" w:rsidRDefault="005370AF" w:rsidP="005370AF">
      <w:pPr>
        <w:pStyle w:val="NormalWeb"/>
        <w:ind w:left="720"/>
        <w:jc w:val="both"/>
        <w:rPr>
          <w:rFonts w:asciiTheme="minorHAnsi" w:hAnsiTheme="minorHAnsi" w:cstheme="majorHAnsi"/>
          <w:sz w:val="20"/>
        </w:rPr>
      </w:pPr>
      <w:r w:rsidRPr="005370AF">
        <w:rPr>
          <w:rFonts w:asciiTheme="minorHAnsi" w:eastAsiaTheme="minorEastAsia" w:hAnsiTheme="minorHAnsi" w:cstheme="majorHAnsi"/>
          <w:sz w:val="22"/>
          <w:szCs w:val="28"/>
          <w:lang w:eastAsia="en-US"/>
        </w:rPr>
        <w:t xml:space="preserve">El diseño se centra en la eficiencia y facilidad de uso, siguiendo los principios del </w:t>
      </w:r>
      <w:r w:rsidRPr="005370AF">
        <w:rPr>
          <w:rFonts w:asciiTheme="minorHAnsi" w:eastAsiaTheme="minorEastAsia" w:hAnsiTheme="minorHAnsi" w:cstheme="majorHAnsi"/>
          <w:b/>
          <w:bCs/>
          <w:sz w:val="22"/>
          <w:szCs w:val="28"/>
          <w:lang w:eastAsia="en-US"/>
        </w:rPr>
        <w:t>Diseño Centrado en el Usuario (DCU)</w:t>
      </w:r>
      <w:r w:rsidRPr="005370AF">
        <w:rPr>
          <w:rFonts w:asciiTheme="minorHAnsi" w:eastAsiaTheme="minorEastAsia" w:hAnsiTheme="minorHAnsi" w:cstheme="majorHAnsi"/>
          <w:sz w:val="22"/>
          <w:szCs w:val="28"/>
          <w:lang w:eastAsia="en-US"/>
        </w:rPr>
        <w:t>. Las acciones principales —reportar fugas, revisar estado y consultar consumo— se encuentran visibles y accesibles, favoreciendo el aprendizaje rápido y la satisfacción del usuario.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Retroalimentación: ¿Se proporciona respuesta clara ante las acciones del usuario?</w:t>
      </w:r>
    </w:p>
    <w:p w:rsidR="005370AF" w:rsidRPr="005370AF" w:rsidRDefault="005370AF" w:rsidP="005370AF">
      <w:pPr>
        <w:pStyle w:val="Prrafodelista"/>
        <w:rPr>
          <w:rFonts w:cstheme="majorHAnsi"/>
          <w:sz w:val="18"/>
        </w:rPr>
      </w:pPr>
      <w:r w:rsidRPr="005370AF">
        <w:rPr>
          <w:rFonts w:cstheme="majorHAnsi"/>
          <w:szCs w:val="28"/>
        </w:rPr>
        <w:t xml:space="preserve">Cada interacción del usuario genera una respuesta clara mediante mensajes visuales, cambios de color o notificaciones de estado (“reporte enviado”, “en proceso”, “resuelto”), aplicando las heurísticas de </w:t>
      </w:r>
      <w:proofErr w:type="spellStart"/>
      <w:r w:rsidRPr="005370AF">
        <w:rPr>
          <w:rFonts w:cstheme="majorHAnsi"/>
          <w:b/>
          <w:bCs/>
          <w:szCs w:val="28"/>
        </w:rPr>
        <w:t>Nielsen</w:t>
      </w:r>
      <w:proofErr w:type="spellEnd"/>
      <w:r w:rsidRPr="005370AF">
        <w:rPr>
          <w:rFonts w:cstheme="majorHAnsi"/>
          <w:szCs w:val="28"/>
        </w:rPr>
        <w:t xml:space="preserve"> sobre visibilidad del estado del sistema.</w:t>
      </w: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P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991615" w:rsidRPr="003C155D" w:rsidRDefault="00991615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  <w:noProof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3B28D1" wp14:editId="7B99BDCD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469147" cy="0"/>
                <wp:effectExtent l="38100" t="38100" r="74930" b="95250"/>
                <wp:wrapNone/>
                <wp:docPr id="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94436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30.6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CMNuwEAAMMDAAAOAAAAZHJzL2Uyb0RvYy54bWysU8tu2zAQvBfoPxC815KcR1vBcg4O2kvR&#10;GEn6AQy1tAjwhSVjyX/fJW0rRVogQJELxSV3ZneGq9XNZA3bA0btXcebRc0ZOOl77XYd//X47dMX&#10;zmISrhfGO+j4ASK/WX/8sBpDC0s/eNMDMiJxsR1Dx4eUQltVUQ5gRVz4AI4ulUcrEoW4q3oUI7Fb&#10;Uy3r+roaPfYBvYQY6fT2eMnXhV8pkOlOqQiJmY5Tb6msWNanvFbrlWh3KMKg5akN8R9dWKEdFZ2p&#10;bkUS7Bn1X1RWS/TRq7SQ3lZeKS2haCA1Tf1KzcMgAhQtZE4Ms03x/Wjlz/0Wme47fsWZE5ae6CGh&#10;0LshsY13jgz0yC6yT2OILaVv3BZPUQxbzKInhTZ/SQ6bireH2VuYEpN0eHV5/bW5/MyZPN9VL8CA&#10;MX0Hb1nedNxol2WLVux/xETFKPWcQkFu5Fi67NLBQE427h4USaFiy4IuQwQbg2wv6PmFlOBSk6UQ&#10;X8nOMKWNmYH128BTfoZCGbAZ3LwNnhGlsndpBlvtPP6LIE3nltUx/+zAUXe24Mn3h/IoxRqalKLw&#10;NNV5FP+MC/zl31v/BgAA//8DAFBLAwQUAAYACAAAACEAbZSOzNkAAAAEAQAADwAAAGRycy9kb3du&#10;cmV2LnhtbEyPzU7DMBCE70i8g7VI3KjTIKI2xKmqSkgc29BDj068zQ/x2rLdJn37Gi5wHM1o5pti&#10;M+uRXdH53pCA5SIBhtQY1VMr4Pj18bIC5oMkJUdDKOCGHjbl40Mhc2UmOuC1Ci2LJeRzKaALweac&#10;+6ZDLf3CWKTonY3TMkTpWq6cnGK5HnmaJBnXsqe40EmLuw6b7+qiBZxcPaSft8mmZsiq9WAx3R9Q&#10;iOenefsOLOAc/sLwgx/RoYxMtbmQ8mwUEI8EAW9rYNFcZctXYPWv5mXB/8OXdwAAAP//AwBQSwEC&#10;LQAUAAYACAAAACEAtoM4kv4AAADhAQAAEwAAAAAAAAAAAAAAAAAAAAAAW0NvbnRlbnRfVHlwZXNd&#10;LnhtbFBLAQItABQABgAIAAAAIQA4/SH/1gAAAJQBAAALAAAAAAAAAAAAAAAAAC8BAABfcmVscy8u&#10;cmVsc1BLAQItABQABgAIAAAAIQA1ICMNuwEAAMMDAAAOAAAAAAAAAAAAAAAAAC4CAABkcnMvZTJv&#10;RG9jLnhtbFBLAQItABQABgAIAAAAIQBtlI7M2QAAAAQBAAAPAAAAAAAAAAAAAAAAABUEAABkcnMv&#10;ZG93bnJldi54bWxQSwUGAAAAAAQABADzAAAAGw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991615" w:rsidRPr="005370AF" w:rsidRDefault="00991615" w:rsidP="00EA0581">
      <w:pPr>
        <w:pStyle w:val="Ttulo3"/>
        <w:jc w:val="both"/>
        <w:rPr>
          <w:rFonts w:cstheme="majorHAnsi"/>
          <w:sz w:val="24"/>
        </w:rPr>
      </w:pPr>
      <w:r w:rsidRPr="005370AF">
        <w:rPr>
          <w:rStyle w:val="Textoennegrita"/>
          <w:rFonts w:cstheme="majorHAnsi"/>
          <w:b/>
          <w:bCs/>
          <w:sz w:val="24"/>
        </w:rPr>
        <w:t>Evidencia visual de la guía de estilo</w:t>
      </w:r>
    </w:p>
    <w:p w:rsidR="00991615" w:rsidRPr="005370AF" w:rsidRDefault="00991615" w:rsidP="00EA0581">
      <w:pPr>
        <w:pStyle w:val="NormalWeb"/>
        <w:jc w:val="both"/>
        <w:rPr>
          <w:rFonts w:asciiTheme="majorHAnsi" w:eastAsiaTheme="minorEastAsia" w:hAnsiTheme="majorHAnsi" w:cstheme="majorHAnsi"/>
          <w:szCs w:val="28"/>
          <w:lang w:eastAsia="en-US"/>
        </w:rPr>
      </w:pPr>
      <w:r w:rsidRPr="005370AF">
        <w:rPr>
          <w:rFonts w:asciiTheme="majorHAnsi" w:eastAsiaTheme="minorEastAsia" w:hAnsiTheme="majorHAnsi" w:cstheme="majorHAnsi"/>
          <w:szCs w:val="28"/>
          <w:lang w:eastAsia="en-US"/>
        </w:rPr>
        <w:t xml:space="preserve">La </w:t>
      </w:r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 xml:space="preserve">guía de estilo de </w:t>
      </w:r>
      <w:proofErr w:type="spellStart"/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>Guardian</w:t>
      </w:r>
      <w:proofErr w:type="spellEnd"/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 xml:space="preserve"> </w:t>
      </w:r>
      <w:proofErr w:type="spellStart"/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>Water</w:t>
      </w:r>
      <w:proofErr w:type="spellEnd"/>
      <w:r w:rsidRPr="005370AF">
        <w:rPr>
          <w:rFonts w:asciiTheme="majorHAnsi" w:eastAsiaTheme="minorEastAsia" w:hAnsiTheme="majorHAnsi" w:cstheme="majorHAnsi"/>
          <w:szCs w:val="28"/>
          <w:lang w:eastAsia="en-US"/>
        </w:rPr>
        <w:t xml:space="preserve"> se refleja en los prototipos mediante:</w:t>
      </w:r>
    </w:p>
    <w:p w:rsidR="00D97F89" w:rsidRDefault="00991615" w:rsidP="00D97F89">
      <w:pPr>
        <w:pStyle w:val="NormalWeb"/>
        <w:numPr>
          <w:ilvl w:val="0"/>
          <w:numId w:val="11"/>
        </w:numPr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  <w:r w:rsidRPr="003C155D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t>Paleta cromática</w:t>
      </w:r>
      <w:r w:rsidRPr="003C155D">
        <w:rPr>
          <w:rFonts w:asciiTheme="majorHAnsi" w:hAnsiTheme="majorHAnsi" w:cstheme="majorHAnsi"/>
          <w:b/>
        </w:rPr>
        <w:t>: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combinación de </w:t>
      </w:r>
      <w:proofErr w:type="spellStart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Pacific</w:t>
      </w:r>
      <w:proofErr w:type="spellEnd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Blue (#0084D1)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, </w:t>
      </w:r>
      <w:proofErr w:type="spellStart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Dark</w:t>
      </w:r>
      <w:proofErr w:type="spellEnd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Blue (#00598A)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,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Cian Azul (#176895)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>, blanco y negro.</w:t>
      </w:r>
    </w:p>
    <w:p w:rsid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  <w:r>
        <w:rPr>
          <w:rFonts w:asciiTheme="majorHAnsi" w:eastAsiaTheme="minorEastAsia" w:hAnsiTheme="majorHAnsi" w:cstheme="majorHAnsi"/>
          <w:noProof/>
          <w:sz w:val="28"/>
          <w:szCs w:val="28"/>
        </w:rPr>
        <w:drawing>
          <wp:inline distT="0" distB="0" distL="0" distR="0">
            <wp:extent cx="5048250" cy="4492192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aletaOficia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140" cy="450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D97F89" w:rsidRP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D97F89" w:rsidRPr="00D97F89" w:rsidRDefault="00D97F89" w:rsidP="00D97F89">
      <w:pPr>
        <w:pStyle w:val="NormalWeb"/>
        <w:numPr>
          <w:ilvl w:val="0"/>
          <w:numId w:val="11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A30603B" wp14:editId="2CE8AB46">
            <wp:simplePos x="0" y="0"/>
            <wp:positionH relativeFrom="margin">
              <wp:align>center</wp:align>
            </wp:positionH>
            <wp:positionV relativeFrom="paragraph">
              <wp:posOffset>382905</wp:posOffset>
            </wp:positionV>
            <wp:extent cx="3135081" cy="5575935"/>
            <wp:effectExtent l="0" t="0" r="8255" b="5715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pografia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081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1615" w:rsidRPr="003C155D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Tipografía:</w:t>
      </w:r>
      <w:r w:rsidR="00991615" w:rsidRPr="003C155D">
        <w:rPr>
          <w:rFonts w:asciiTheme="majorHAnsi" w:hAnsiTheme="majorHAnsi" w:cstheme="majorHAnsi"/>
        </w:rPr>
        <w:t xml:space="preserve"> </w:t>
      </w:r>
      <w:proofErr w:type="spellStart"/>
      <w:r w:rsidR="00991615"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Clash</w:t>
      </w:r>
      <w:proofErr w:type="spellEnd"/>
      <w:r w:rsidR="00991615"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Regular</w:t>
      </w:r>
      <w:r w:rsidR="00991615"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>, que aporta legibilidad y modernidad</w:t>
      </w:r>
      <w:r>
        <w:rPr>
          <w:rFonts w:asciiTheme="majorHAnsi" w:eastAsiaTheme="minorEastAsia" w:hAnsiTheme="majorHAnsi" w:cstheme="majorHAnsi"/>
          <w:sz w:val="28"/>
          <w:szCs w:val="28"/>
          <w:lang w:eastAsia="en-US"/>
        </w:rPr>
        <w:t>.</w:t>
      </w: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P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991615" w:rsidRPr="00D97F89" w:rsidRDefault="00991615" w:rsidP="00EA0581">
      <w:pPr>
        <w:pStyle w:val="NormalWeb"/>
        <w:numPr>
          <w:ilvl w:val="0"/>
          <w:numId w:val="11"/>
        </w:numPr>
        <w:jc w:val="both"/>
        <w:rPr>
          <w:rFonts w:asciiTheme="majorHAnsi" w:hAnsiTheme="majorHAnsi" w:cstheme="majorHAnsi"/>
        </w:rPr>
      </w:pPr>
      <w:r w:rsidRPr="003C155D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lastRenderedPageBreak/>
        <w:t>Botones y componentes: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estilo minimalista, esquinas redondeadas y </w:t>
      </w:r>
      <w:bookmarkStart w:id="0" w:name="_GoBack"/>
      <w:bookmarkEnd w:id="0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realce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con tonos azules para priorizar acciones clave.</w:t>
      </w:r>
    </w:p>
    <w:p w:rsidR="00D97F89" w:rsidRPr="004155EC" w:rsidRDefault="00EE2DF8" w:rsidP="00D97F89">
      <w:pPr>
        <w:pStyle w:val="NormalWeb"/>
        <w:ind w:left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>
            <wp:extent cx="5486400" cy="2970530"/>
            <wp:effectExtent l="0" t="0" r="0" b="127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ista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noProof/>
        </w:rPr>
        <w:drawing>
          <wp:inline distT="0" distB="0" distL="0" distR="0">
            <wp:extent cx="5486400" cy="2970530"/>
            <wp:effectExtent l="0" t="0" r="0" b="127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vista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>
            <wp:extent cx="5486400" cy="297053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vista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noProof/>
        </w:rPr>
        <w:drawing>
          <wp:inline distT="0" distB="0" distL="0" distR="0">
            <wp:extent cx="5486400" cy="2970530"/>
            <wp:effectExtent l="0" t="0" r="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vista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615" w:rsidRPr="003C155D" w:rsidRDefault="00991615" w:rsidP="00EA0581">
      <w:pPr>
        <w:pStyle w:val="NormalWeb"/>
        <w:numPr>
          <w:ilvl w:val="0"/>
          <w:numId w:val="11"/>
        </w:numPr>
        <w:jc w:val="both"/>
        <w:rPr>
          <w:rFonts w:asciiTheme="majorHAnsi" w:hAnsiTheme="majorHAnsi" w:cstheme="majorHAnsi"/>
        </w:rPr>
      </w:pPr>
      <w:r w:rsidRPr="003C155D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Flujo de navegación: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p</w:t>
      </w:r>
      <w:r w:rsidR="004155EC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antallas ordenadas con compuesta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visual clara, alineadas al principio de “reconocer antes que recordar” (</w:t>
      </w:r>
      <w:proofErr w:type="spellStart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Nielsen</w:t>
      </w:r>
      <w:proofErr w:type="spellEnd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).</w:t>
      </w:r>
    </w:p>
    <w:p w:rsidR="00272463" w:rsidRPr="003C155D" w:rsidRDefault="009869B6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</w:rPr>
        <w:br/>
      </w:r>
    </w:p>
    <w:sectPr w:rsidR="00272463" w:rsidRPr="003C155D" w:rsidSect="009869B6">
      <w:pgSz w:w="12240" w:h="15840"/>
      <w:pgMar w:top="1872" w:right="1800" w:bottom="187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337845"/>
    <w:multiLevelType w:val="hybridMultilevel"/>
    <w:tmpl w:val="DD0EE1C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662087E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3B2669D"/>
    <w:multiLevelType w:val="hybridMultilevel"/>
    <w:tmpl w:val="CFF0A710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554AEB"/>
    <w:multiLevelType w:val="hybridMultilevel"/>
    <w:tmpl w:val="08BC5EA2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021D1F"/>
    <w:multiLevelType w:val="hybridMultilevel"/>
    <w:tmpl w:val="E730B94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8A85298"/>
    <w:multiLevelType w:val="hybridMultilevel"/>
    <w:tmpl w:val="A95821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A643C2"/>
    <w:multiLevelType w:val="multilevel"/>
    <w:tmpl w:val="3C46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C4C28"/>
    <w:multiLevelType w:val="hybridMultilevel"/>
    <w:tmpl w:val="EADA4E5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662087E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B4F3F60"/>
    <w:multiLevelType w:val="hybridMultilevel"/>
    <w:tmpl w:val="065C6E1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8B01F3"/>
    <w:multiLevelType w:val="hybridMultilevel"/>
    <w:tmpl w:val="EC5ABDF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F7228FB"/>
    <w:multiLevelType w:val="hybridMultilevel"/>
    <w:tmpl w:val="C4BAAD0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662087E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B37BA6"/>
    <w:multiLevelType w:val="hybridMultilevel"/>
    <w:tmpl w:val="B8C26C2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4D00A4D"/>
    <w:multiLevelType w:val="hybridMultilevel"/>
    <w:tmpl w:val="AB9028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D95358"/>
    <w:multiLevelType w:val="hybridMultilevel"/>
    <w:tmpl w:val="EBEAEE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73E1C"/>
    <w:multiLevelType w:val="hybridMultilevel"/>
    <w:tmpl w:val="F00CC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EA0510"/>
    <w:multiLevelType w:val="hybridMultilevel"/>
    <w:tmpl w:val="F31E5B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411FA"/>
    <w:multiLevelType w:val="multilevel"/>
    <w:tmpl w:val="AE9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A5ED1"/>
    <w:multiLevelType w:val="hybridMultilevel"/>
    <w:tmpl w:val="93606F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2"/>
  </w:num>
  <w:num w:numId="11">
    <w:abstractNumId w:val="24"/>
  </w:num>
  <w:num w:numId="12">
    <w:abstractNumId w:val="13"/>
  </w:num>
  <w:num w:numId="13">
    <w:abstractNumId w:val="10"/>
  </w:num>
  <w:num w:numId="14">
    <w:abstractNumId w:val="25"/>
  </w:num>
  <w:num w:numId="15">
    <w:abstractNumId w:val="11"/>
  </w:num>
  <w:num w:numId="16">
    <w:abstractNumId w:val="9"/>
  </w:num>
  <w:num w:numId="17">
    <w:abstractNumId w:val="20"/>
  </w:num>
  <w:num w:numId="18">
    <w:abstractNumId w:val="14"/>
  </w:num>
  <w:num w:numId="19">
    <w:abstractNumId w:val="23"/>
  </w:num>
  <w:num w:numId="20">
    <w:abstractNumId w:val="16"/>
  </w:num>
  <w:num w:numId="21">
    <w:abstractNumId w:val="12"/>
  </w:num>
  <w:num w:numId="22">
    <w:abstractNumId w:val="19"/>
  </w:num>
  <w:num w:numId="23">
    <w:abstractNumId w:val="17"/>
  </w:num>
  <w:num w:numId="24">
    <w:abstractNumId w:val="18"/>
  </w:num>
  <w:num w:numId="25">
    <w:abstractNumId w:val="15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317E"/>
    <w:rsid w:val="00034616"/>
    <w:rsid w:val="0006063C"/>
    <w:rsid w:val="000970F9"/>
    <w:rsid w:val="000F393E"/>
    <w:rsid w:val="000F3A99"/>
    <w:rsid w:val="000F71CA"/>
    <w:rsid w:val="00117CA0"/>
    <w:rsid w:val="0013652C"/>
    <w:rsid w:val="0015074B"/>
    <w:rsid w:val="00272463"/>
    <w:rsid w:val="0029639D"/>
    <w:rsid w:val="002C19B8"/>
    <w:rsid w:val="00326F90"/>
    <w:rsid w:val="00347F9C"/>
    <w:rsid w:val="003C155D"/>
    <w:rsid w:val="003E0BC6"/>
    <w:rsid w:val="004155EC"/>
    <w:rsid w:val="00422ADE"/>
    <w:rsid w:val="005370AF"/>
    <w:rsid w:val="00552D2E"/>
    <w:rsid w:val="00565AEC"/>
    <w:rsid w:val="005808F9"/>
    <w:rsid w:val="005A3039"/>
    <w:rsid w:val="005D29A2"/>
    <w:rsid w:val="00724853"/>
    <w:rsid w:val="007D119D"/>
    <w:rsid w:val="00822502"/>
    <w:rsid w:val="00857A49"/>
    <w:rsid w:val="009869B6"/>
    <w:rsid w:val="00991615"/>
    <w:rsid w:val="00A255CC"/>
    <w:rsid w:val="00A404C1"/>
    <w:rsid w:val="00A53620"/>
    <w:rsid w:val="00AA1D8D"/>
    <w:rsid w:val="00AB1922"/>
    <w:rsid w:val="00AF125B"/>
    <w:rsid w:val="00B24B36"/>
    <w:rsid w:val="00B37A4B"/>
    <w:rsid w:val="00B47730"/>
    <w:rsid w:val="00BF1343"/>
    <w:rsid w:val="00CB0664"/>
    <w:rsid w:val="00D752BD"/>
    <w:rsid w:val="00D97F89"/>
    <w:rsid w:val="00DC1DCF"/>
    <w:rsid w:val="00E42466"/>
    <w:rsid w:val="00E53308"/>
    <w:rsid w:val="00E73D1F"/>
    <w:rsid w:val="00EA0581"/>
    <w:rsid w:val="00EE2D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B6F0C4"/>
  <w14:defaultImageDpi w14:val="300"/>
  <w15:docId w15:val="{B7F67F6D-BB8F-49ED-96EE-46F6A2425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decuadrcula5oscura-nfasis1">
    <w:name w:val="Grid Table 5 Dark Accent 1"/>
    <w:basedOn w:val="Tablanormal"/>
    <w:uiPriority w:val="50"/>
    <w:rsid w:val="000970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NormalWeb">
    <w:name w:val="Normal (Web)"/>
    <w:basedOn w:val="Normal"/>
    <w:uiPriority w:val="99"/>
    <w:unhideWhenUsed/>
    <w:rsid w:val="00991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E66219-7517-4C8B-BEC9-D20F1ED32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1889</Words>
  <Characters>10395</Characters>
  <Application>Microsoft Office Word</Application>
  <DocSecurity>0</DocSecurity>
  <Lines>86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</cp:lastModifiedBy>
  <cp:revision>2</cp:revision>
  <dcterms:created xsi:type="dcterms:W3CDTF">2025-11-25T07:36:00Z</dcterms:created>
  <dcterms:modified xsi:type="dcterms:W3CDTF">2025-11-25T07:36:00Z</dcterms:modified>
  <cp:category/>
</cp:coreProperties>
</file>