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63" w:rsidRPr="00552D2E" w:rsidRDefault="009869B6" w:rsidP="009869B6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MX"/>
        </w:rPr>
      </w:pPr>
      <w:r w:rsidRPr="00552D2E">
        <w:rPr>
          <w:rFonts w:asciiTheme="majorHAnsi" w:hAnsiTheme="majorHAnsi" w:cstheme="majorHAnsi"/>
          <w:b/>
          <w:color w:val="1F497D" w:themeColor="text2"/>
          <w:sz w:val="28"/>
          <w:lang w:val="es-MX"/>
        </w:rPr>
        <w:t>Guía de Estilo y Normativa de Diseño Centrada en el Usuario</w:t>
      </w:r>
    </w:p>
    <w:p w:rsidR="009869B6" w:rsidRPr="00552D2E" w:rsidRDefault="009869B6" w:rsidP="009869B6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MX"/>
        </w:rPr>
      </w:pPr>
    </w:p>
    <w:p w:rsidR="00272463" w:rsidRPr="00552D2E" w:rsidRDefault="009869B6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  <w:r w:rsidRPr="00552D2E">
        <w:rPr>
          <w:rFonts w:asciiTheme="majorHAnsi" w:hAnsiTheme="majorHAnsi" w:cstheme="majorHAnsi"/>
          <w:color w:val="1F497D" w:themeColor="text2"/>
          <w:sz w:val="24"/>
          <w:lang w:val="es-MX"/>
        </w:rPr>
        <w:t>1. Información general del proyecto</w:t>
      </w:r>
    </w:p>
    <w:p w:rsidR="00D752BD" w:rsidRPr="00A404C1" w:rsidRDefault="009869B6" w:rsidP="00552D2E">
      <w:pPr>
        <w:jc w:val="center"/>
        <w:rPr>
          <w:rFonts w:asciiTheme="majorHAnsi" w:hAnsiTheme="majorHAnsi" w:cstheme="majorHAnsi"/>
          <w:bCs/>
          <w:sz w:val="28"/>
          <w:szCs w:val="28"/>
          <w:lang w:val="es-MX"/>
        </w:rPr>
      </w:pPr>
      <w:r w:rsidRPr="00A404C1">
        <w:rPr>
          <w:rFonts w:asciiTheme="majorHAnsi" w:hAnsiTheme="majorHAnsi" w:cstheme="majorHAnsi"/>
          <w:bCs/>
          <w:sz w:val="28"/>
          <w:szCs w:val="28"/>
          <w:lang w:val="es-MX"/>
        </w:rPr>
        <w:t xml:space="preserve">Nombre del proyecto: </w:t>
      </w:r>
      <w:r w:rsidR="00552D2E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Guardián Wáter</w:t>
      </w:r>
      <w:r w:rsidRPr="009869B6">
        <w:rPr>
          <w:rFonts w:asciiTheme="majorHAnsi" w:hAnsiTheme="majorHAnsi" w:cstheme="majorHAnsi"/>
          <w:lang w:val="es-MX"/>
        </w:rPr>
        <w:br/>
      </w:r>
      <w:r w:rsidRPr="00A404C1">
        <w:rPr>
          <w:rFonts w:asciiTheme="majorHAnsi" w:hAnsiTheme="majorHAnsi" w:cstheme="majorHAnsi"/>
          <w:b/>
          <w:sz w:val="28"/>
          <w:szCs w:val="28"/>
          <w:lang w:val="es-MX"/>
        </w:rPr>
        <w:t>E</w:t>
      </w:r>
      <w:r w:rsidR="00552D2E" w:rsidRPr="00A404C1">
        <w:rPr>
          <w:rFonts w:asciiTheme="majorHAnsi" w:hAnsiTheme="majorHAnsi" w:cstheme="majorHAnsi"/>
          <w:b/>
          <w:sz w:val="28"/>
          <w:szCs w:val="28"/>
          <w:lang w:val="es-MX"/>
        </w:rPr>
        <w:t>quipo / Integrantes:</w:t>
      </w:r>
      <w:r w:rsidR="00552D2E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 </w:t>
      </w:r>
      <w:r w:rsidR="00552D2E" w:rsidRPr="00A404C1">
        <w:rPr>
          <w:rFonts w:asciiTheme="majorHAnsi" w:hAnsiTheme="majorHAnsi" w:cstheme="majorHAnsi"/>
          <w:bCs/>
          <w:sz w:val="28"/>
          <w:szCs w:val="28"/>
          <w:lang w:val="es-MX"/>
        </w:rPr>
        <w:t xml:space="preserve">José Arturo García González, Diego Miguel Rivera Chávez, </w:t>
      </w:r>
    </w:p>
    <w:p w:rsidR="00272463" w:rsidRPr="00552D2E" w:rsidRDefault="00552D2E" w:rsidP="00AF125B">
      <w:pPr>
        <w:jc w:val="center"/>
        <w:rPr>
          <w:b/>
          <w:bCs/>
          <w:lang w:val="es-MX"/>
        </w:rPr>
      </w:pPr>
      <w:r w:rsidRPr="00A404C1">
        <w:rPr>
          <w:rFonts w:asciiTheme="majorHAnsi" w:hAnsiTheme="majorHAnsi" w:cstheme="majorHAnsi"/>
          <w:bCs/>
          <w:sz w:val="28"/>
          <w:szCs w:val="28"/>
          <w:lang w:val="es-MX"/>
        </w:rPr>
        <w:t>Erick Matias Granillo Mejia y Derek Sesni Carreño</w:t>
      </w:r>
      <w:r w:rsidR="009869B6" w:rsidRPr="00A404C1">
        <w:rPr>
          <w:rFonts w:asciiTheme="majorHAnsi" w:hAnsiTheme="majorHAnsi" w:cstheme="majorHAnsi"/>
          <w:sz w:val="28"/>
          <w:szCs w:val="28"/>
          <w:lang w:val="es-MX"/>
        </w:rPr>
        <w:br/>
      </w:r>
      <w:r w:rsidR="009869B6" w:rsidRPr="00A404C1">
        <w:rPr>
          <w:rFonts w:asciiTheme="majorHAnsi" w:hAnsiTheme="majorHAnsi" w:cstheme="majorHAnsi"/>
          <w:b/>
          <w:sz w:val="28"/>
          <w:szCs w:val="28"/>
          <w:lang w:val="es-MX"/>
        </w:rPr>
        <w:t>Público objetivo (usuario final):</w:t>
      </w:r>
      <w:r w:rsidR="009869B6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 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La aplicación está dirigida tanto a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ciudadanos comunes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 (usuarios domésticos del servicio de agua) como al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personal técnico y administrativo de SOSAPAX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>, que gestionará los reportes y monitoreará el consumo hídrico.</w:t>
      </w:r>
      <w:r w:rsidR="009869B6" w:rsidRPr="00A404C1">
        <w:rPr>
          <w:rFonts w:asciiTheme="majorHAnsi" w:hAnsiTheme="majorHAnsi" w:cstheme="majorHAnsi"/>
          <w:sz w:val="28"/>
          <w:szCs w:val="28"/>
          <w:lang w:val="es-MX"/>
        </w:rPr>
        <w:br/>
      </w:r>
      <w:r w:rsidR="009869B6" w:rsidRPr="00A404C1">
        <w:rPr>
          <w:rFonts w:asciiTheme="majorHAnsi" w:hAnsiTheme="majorHAnsi" w:cstheme="majorHAnsi"/>
          <w:b/>
          <w:sz w:val="28"/>
          <w:szCs w:val="28"/>
          <w:lang w:val="es-MX"/>
        </w:rPr>
        <w:t>Objetivo principal de la interfaz:</w:t>
      </w:r>
      <w:r w:rsidR="00D752BD" w:rsidRPr="00A404C1">
        <w:rPr>
          <w:sz w:val="28"/>
          <w:szCs w:val="28"/>
          <w:lang w:val="es-MX"/>
        </w:rPr>
        <w:t xml:space="preserve"> 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Facilitar a los usuarios el acceso rápido y sencillo a las funciones de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reporte de fugas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 y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monitoreo del consumo de agua en tiempo real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, mediante una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plataforma web intuitiva, visual y accesible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, que promueva la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participación ciudadana</w:t>
      </w:r>
      <w:r w:rsidR="00D752BD" w:rsidRPr="00A404C1">
        <w:rPr>
          <w:rFonts w:asciiTheme="majorHAnsi" w:hAnsiTheme="majorHAnsi" w:cstheme="majorHAnsi"/>
          <w:sz w:val="28"/>
          <w:szCs w:val="28"/>
          <w:lang w:val="es-MX"/>
        </w:rPr>
        <w:t xml:space="preserve"> y el </w:t>
      </w:r>
      <w:r w:rsidR="00D752BD" w:rsidRPr="00A404C1">
        <w:rPr>
          <w:rFonts w:asciiTheme="majorHAnsi" w:hAnsiTheme="majorHAnsi" w:cstheme="majorHAnsi"/>
          <w:bCs/>
          <w:sz w:val="28"/>
          <w:szCs w:val="28"/>
          <w:lang w:val="es-MX"/>
        </w:rPr>
        <w:t>uso responsable del recurso hídrico</w:t>
      </w:r>
      <w:r w:rsidR="009869B6" w:rsidRPr="009869B6">
        <w:rPr>
          <w:rFonts w:asciiTheme="majorHAnsi" w:hAnsiTheme="majorHAnsi" w:cstheme="majorHAnsi"/>
          <w:lang w:val="es-MX"/>
        </w:rPr>
        <w:br/>
      </w: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  <w:r>
        <w:rPr>
          <w:rFonts w:asciiTheme="majorHAnsi" w:hAnsiTheme="majorHAnsi" w:cstheme="majorHAnsi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BA9C57" wp14:editId="630C58E5">
                <wp:simplePos x="0" y="0"/>
                <wp:positionH relativeFrom="column">
                  <wp:posOffset>-3810</wp:posOffset>
                </wp:positionH>
                <wp:positionV relativeFrom="paragraph">
                  <wp:posOffset>49448</wp:posOffset>
                </wp:positionV>
                <wp:extent cx="5469147" cy="0"/>
                <wp:effectExtent l="38100" t="38100" r="7493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5E450" id="Straight Connector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3.9pt" to="430.3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A404C1" w:rsidRDefault="00A404C1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272463" w:rsidRPr="00552D2E" w:rsidRDefault="009869B6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  <w:r w:rsidRPr="00552D2E">
        <w:rPr>
          <w:rFonts w:asciiTheme="majorHAnsi" w:hAnsiTheme="majorHAnsi" w:cstheme="majorHAnsi"/>
          <w:color w:val="1F497D" w:themeColor="text2"/>
          <w:sz w:val="24"/>
          <w:lang w:val="es-MX"/>
        </w:rPr>
        <w:lastRenderedPageBreak/>
        <w:t>2. Guía de estilo</w:t>
      </w:r>
    </w:p>
    <w:p w:rsidR="00272463" w:rsidRPr="00552D2E" w:rsidRDefault="009869B6" w:rsidP="009869B6">
      <w:pPr>
        <w:rPr>
          <w:rFonts w:asciiTheme="majorHAnsi" w:hAnsiTheme="majorHAnsi" w:cstheme="majorHAnsi"/>
          <w:color w:val="1F497D" w:themeColor="text2"/>
          <w:lang w:val="es-MX"/>
        </w:rPr>
      </w:pPr>
      <w:r w:rsidRPr="00552D2E">
        <w:rPr>
          <w:rFonts w:asciiTheme="majorHAnsi" w:hAnsiTheme="majorHAnsi" w:cstheme="majorHAnsi"/>
          <w:color w:val="1F497D" w:themeColor="text2"/>
          <w:lang w:val="es-MX"/>
        </w:rPr>
        <w:t>A. Paleta de colores</w:t>
      </w:r>
    </w:p>
    <w:tbl>
      <w:tblPr>
        <w:tblStyle w:val="Tabladecuadrcula5oscura-nfasis1"/>
        <w:tblW w:w="8647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559"/>
        <w:gridCol w:w="4394"/>
      </w:tblGrid>
      <w:tr w:rsidR="000970F9" w:rsidRPr="00A404C1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A404C1" w:rsidRDefault="009869B6" w:rsidP="00A404C1">
            <w:pPr>
              <w:spacing w:after="200" w:line="276" w:lineRule="auto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Color</w:t>
            </w:r>
          </w:p>
        </w:tc>
        <w:tc>
          <w:tcPr>
            <w:tcW w:w="1276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Código HEX</w:t>
            </w:r>
          </w:p>
        </w:tc>
        <w:tc>
          <w:tcPr>
            <w:tcW w:w="1559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Uso principal</w:t>
            </w:r>
          </w:p>
        </w:tc>
        <w:tc>
          <w:tcPr>
            <w:tcW w:w="4394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Justificación (DCU)</w:t>
            </w:r>
          </w:p>
        </w:tc>
      </w:tr>
      <w:tr w:rsidR="000970F9" w:rsidRPr="00A404C1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91615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NEGRO</w:t>
            </w:r>
          </w:p>
        </w:tc>
        <w:tc>
          <w:tcPr>
            <w:tcW w:w="1276" w:type="dxa"/>
          </w:tcPr>
          <w:p w:rsidR="00272463" w:rsidRPr="00A404C1" w:rsidRDefault="0082250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000000</w:t>
            </w:r>
          </w:p>
        </w:tc>
        <w:tc>
          <w:tcPr>
            <w:tcW w:w="1559" w:type="dxa"/>
          </w:tcPr>
          <w:p w:rsidR="00272463" w:rsidRPr="00A404C1" w:rsidRDefault="00E73D1F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Texto principal y contraste</w:t>
            </w:r>
          </w:p>
        </w:tc>
        <w:tc>
          <w:tcPr>
            <w:tcW w:w="4394" w:type="dxa"/>
          </w:tcPr>
          <w:p w:rsidR="00272463" w:rsidRPr="00A404C1" w:rsidRDefault="00E73D1F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 xml:space="preserve">Aporta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máximo contraste</w:t>
            </w:r>
            <w:r w:rsidRPr="00A404C1">
              <w:rPr>
                <w:rFonts w:asciiTheme="majorHAnsi" w:hAnsiTheme="majorHAnsi" w:cstheme="majorHAnsi"/>
                <w:lang w:val="es-MX"/>
              </w:rPr>
              <w:t xml:space="preserve"> y legibilidad. Cumple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WCAG 1.4.3</w:t>
            </w:r>
            <w:r w:rsidRPr="00A404C1">
              <w:rPr>
                <w:rFonts w:asciiTheme="majorHAnsi" w:hAnsiTheme="majorHAnsi" w:cstheme="majorHAnsi"/>
                <w:lang w:val="es-MX"/>
              </w:rPr>
              <w:t xml:space="preserve"> y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heurística 8 (diseño minimalista)</w:t>
            </w:r>
            <w:r w:rsidRPr="00A404C1">
              <w:rPr>
                <w:rFonts w:asciiTheme="majorHAnsi" w:hAnsiTheme="majorHAnsi" w:cstheme="majorHAnsi"/>
                <w:lang w:val="es-MX"/>
              </w:rPr>
              <w:t>.</w:t>
            </w:r>
          </w:p>
        </w:tc>
      </w:tr>
      <w:tr w:rsidR="000970F9" w:rsidRPr="00A404C1" w:rsidTr="00991615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91615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BLANCO</w:t>
            </w:r>
          </w:p>
        </w:tc>
        <w:tc>
          <w:tcPr>
            <w:tcW w:w="1276" w:type="dxa"/>
          </w:tcPr>
          <w:p w:rsidR="00272463" w:rsidRPr="00A404C1" w:rsidRDefault="0082250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FFFFFF</w:t>
            </w:r>
          </w:p>
        </w:tc>
        <w:tc>
          <w:tcPr>
            <w:tcW w:w="1559" w:type="dxa"/>
          </w:tcPr>
          <w:p w:rsidR="00857A49" w:rsidRPr="00A404C1" w:rsidRDefault="00857A49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9"/>
            </w:tblGrid>
            <w:tr w:rsidR="00857A49" w:rsidRPr="00A404C1" w:rsidTr="000970F9">
              <w:trPr>
                <w:trHeight w:val="309"/>
                <w:tblCellSpacing w:w="15" w:type="dxa"/>
              </w:trPr>
              <w:tc>
                <w:tcPr>
                  <w:tcW w:w="1339" w:type="dxa"/>
                  <w:vAlign w:val="center"/>
                  <w:hideMark/>
                </w:tcPr>
                <w:p w:rsidR="00857A49" w:rsidRPr="00A404C1" w:rsidRDefault="00857A49" w:rsidP="00A404C1">
                  <w:pPr>
                    <w:rPr>
                      <w:rFonts w:asciiTheme="majorHAnsi" w:hAnsiTheme="majorHAnsi" w:cstheme="majorHAnsi"/>
                      <w:lang w:val="es-MX"/>
                    </w:rPr>
                  </w:pP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>Fondo general</w:t>
                  </w:r>
                </w:p>
              </w:tc>
            </w:tr>
          </w:tbl>
          <w:p w:rsidR="00272463" w:rsidRPr="00A404C1" w:rsidRDefault="00272463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4394" w:type="dxa"/>
          </w:tcPr>
          <w:p w:rsidR="00857A49" w:rsidRPr="00A404C1" w:rsidRDefault="00857A49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1"/>
            </w:tblGrid>
            <w:tr w:rsidR="00857A49" w:rsidRPr="00A404C1" w:rsidTr="000970F9">
              <w:trPr>
                <w:trHeight w:val="816"/>
                <w:tblCellSpacing w:w="15" w:type="dxa"/>
              </w:trPr>
              <w:tc>
                <w:tcPr>
                  <w:tcW w:w="4131" w:type="dxa"/>
                  <w:vAlign w:val="center"/>
                  <w:hideMark/>
                </w:tcPr>
                <w:p w:rsidR="00857A49" w:rsidRPr="00A404C1" w:rsidRDefault="00857A49" w:rsidP="00A404C1">
                  <w:pPr>
                    <w:rPr>
                      <w:rFonts w:asciiTheme="majorHAnsi" w:hAnsiTheme="majorHAnsi" w:cstheme="majorHAnsi"/>
                      <w:lang w:val="es-MX"/>
                    </w:rPr>
                  </w:pP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 xml:space="preserve">Favorece la </w:t>
                  </w:r>
                  <w:r w:rsidRPr="00A404C1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claridad visual</w:t>
                  </w: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 xml:space="preserve"> y espacio limpio. Cumple </w:t>
                  </w:r>
                  <w:r w:rsidRPr="00A404C1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ISO 9241-210</w:t>
                  </w: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>.</w:t>
                  </w:r>
                </w:p>
              </w:tc>
            </w:tr>
          </w:tbl>
          <w:p w:rsidR="00272463" w:rsidRPr="00A404C1" w:rsidRDefault="00272463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</w:tc>
      </w:tr>
      <w:tr w:rsidR="000970F9" w:rsidRPr="00A404C1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C19B8" w:rsidRPr="00991615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PACIFIC BLUE</w:t>
            </w:r>
          </w:p>
        </w:tc>
        <w:tc>
          <w:tcPr>
            <w:tcW w:w="1276" w:type="dxa"/>
          </w:tcPr>
          <w:p w:rsidR="002C19B8" w:rsidRPr="00A404C1" w:rsidRDefault="002C19B8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0084D1</w:t>
            </w:r>
          </w:p>
        </w:tc>
        <w:tc>
          <w:tcPr>
            <w:tcW w:w="1559" w:type="dxa"/>
          </w:tcPr>
          <w:p w:rsidR="002C19B8" w:rsidRPr="00A404C1" w:rsidRDefault="00857A49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Botones y enlaces</w:t>
            </w:r>
          </w:p>
        </w:tc>
        <w:tc>
          <w:tcPr>
            <w:tcW w:w="4394" w:type="dxa"/>
          </w:tcPr>
          <w:p w:rsidR="002C19B8" w:rsidRPr="00A404C1" w:rsidRDefault="00857A49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 xml:space="preserve">Representa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agua y confianza</w:t>
            </w:r>
            <w:r w:rsidRPr="00A404C1">
              <w:rPr>
                <w:rFonts w:asciiTheme="majorHAnsi" w:hAnsiTheme="majorHAnsi" w:cstheme="majorHAnsi"/>
                <w:lang w:val="es-MX"/>
              </w:rPr>
              <w:t xml:space="preserve">. Cumple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WCAG 1.4.1</w:t>
            </w:r>
            <w:r w:rsidRPr="00A404C1">
              <w:rPr>
                <w:rFonts w:asciiTheme="majorHAnsi" w:hAnsiTheme="majorHAnsi" w:cstheme="majorHAnsi"/>
                <w:lang w:val="es-MX"/>
              </w:rPr>
              <w:t xml:space="preserve"> y </w:t>
            </w:r>
            <w:r w:rsidRPr="00A404C1">
              <w:rPr>
                <w:rFonts w:asciiTheme="majorHAnsi" w:hAnsiTheme="majorHAnsi" w:cstheme="majorHAnsi"/>
                <w:b/>
                <w:bCs/>
              </w:rPr>
              <w:t>heurística 4 (consistencia)</w:t>
            </w:r>
            <w:r w:rsidRPr="00A404C1">
              <w:rPr>
                <w:rFonts w:asciiTheme="majorHAnsi" w:hAnsiTheme="majorHAnsi" w:cstheme="majorHAnsi"/>
                <w:lang w:val="es-MX"/>
              </w:rPr>
              <w:t>.</w:t>
            </w:r>
          </w:p>
        </w:tc>
      </w:tr>
      <w:tr w:rsidR="000970F9" w:rsidRPr="00A404C1" w:rsidTr="00991615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822502" w:rsidRPr="00991615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DARK BLUE</w:t>
            </w:r>
          </w:p>
        </w:tc>
        <w:tc>
          <w:tcPr>
            <w:tcW w:w="1276" w:type="dxa"/>
          </w:tcPr>
          <w:p w:rsidR="00822502" w:rsidRPr="00A404C1" w:rsidRDefault="0082250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00598A</w:t>
            </w:r>
          </w:p>
        </w:tc>
        <w:tc>
          <w:tcPr>
            <w:tcW w:w="1559" w:type="dxa"/>
          </w:tcPr>
          <w:p w:rsidR="00822502" w:rsidRPr="00A404C1" w:rsidRDefault="00857A49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Encabezados y menús</w:t>
            </w:r>
          </w:p>
        </w:tc>
        <w:tc>
          <w:tcPr>
            <w:tcW w:w="4394" w:type="dxa"/>
          </w:tcPr>
          <w:p w:rsidR="00857A49" w:rsidRPr="00A404C1" w:rsidRDefault="00857A49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4"/>
            </w:tblGrid>
            <w:tr w:rsidR="00857A49" w:rsidRPr="00A404C1" w:rsidTr="000970F9">
              <w:trPr>
                <w:trHeight w:val="869"/>
                <w:tblCellSpacing w:w="15" w:type="dxa"/>
              </w:trPr>
              <w:tc>
                <w:tcPr>
                  <w:tcW w:w="4094" w:type="dxa"/>
                  <w:vAlign w:val="center"/>
                  <w:hideMark/>
                </w:tcPr>
                <w:p w:rsidR="00857A49" w:rsidRPr="00A404C1" w:rsidRDefault="00857A49" w:rsidP="00A404C1">
                  <w:pPr>
                    <w:rPr>
                      <w:rFonts w:asciiTheme="majorHAnsi" w:hAnsiTheme="majorHAnsi" w:cstheme="majorHAnsi"/>
                      <w:lang w:val="es-MX"/>
                    </w:rPr>
                  </w:pP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 xml:space="preserve">Mejora </w:t>
                  </w:r>
                  <w:r w:rsidRPr="00A404C1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jerarquía visual</w:t>
                  </w: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 xml:space="preserve"> y contraste. Cumple </w:t>
                  </w:r>
                  <w:r w:rsidRPr="00A404C1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WCAG 1.4.6</w:t>
                  </w:r>
                  <w:r w:rsidRPr="00A404C1">
                    <w:rPr>
                      <w:rFonts w:asciiTheme="majorHAnsi" w:hAnsiTheme="majorHAnsi" w:cstheme="majorHAnsi"/>
                      <w:lang w:val="es-MX"/>
                    </w:rPr>
                    <w:t>.</w:t>
                  </w:r>
                </w:p>
              </w:tc>
            </w:tr>
          </w:tbl>
          <w:p w:rsidR="00822502" w:rsidRPr="00A404C1" w:rsidRDefault="0082250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</w:p>
        </w:tc>
      </w:tr>
      <w:tr w:rsidR="000970F9" w:rsidRPr="00A404C1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822502" w:rsidRPr="00991615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CIAN-AZUL</w:t>
            </w:r>
          </w:p>
        </w:tc>
        <w:tc>
          <w:tcPr>
            <w:tcW w:w="1276" w:type="dxa"/>
          </w:tcPr>
          <w:p w:rsidR="00822502" w:rsidRPr="00A404C1" w:rsidRDefault="0082250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176895</w:t>
            </w:r>
          </w:p>
        </w:tc>
        <w:tc>
          <w:tcPr>
            <w:tcW w:w="1559" w:type="dxa"/>
          </w:tcPr>
          <w:p w:rsidR="00822502" w:rsidRPr="00A404C1" w:rsidRDefault="00A404C1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>
              <w:rPr>
                <w:rFonts w:asciiTheme="majorHAnsi" w:hAnsiTheme="majorHAnsi" w:cstheme="majorHAnsi"/>
                <w:lang w:val="es-MX"/>
              </w:rPr>
              <w:t>Iconos y detalles</w:t>
            </w:r>
          </w:p>
        </w:tc>
        <w:tc>
          <w:tcPr>
            <w:tcW w:w="4394" w:type="dxa"/>
          </w:tcPr>
          <w:p w:rsidR="00822502" w:rsidRPr="00A404C1" w:rsidRDefault="00857A49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 xml:space="preserve">Mantiene </w:t>
            </w:r>
            <w:r w:rsidRPr="00A404C1">
              <w:rPr>
                <w:rFonts w:asciiTheme="majorHAnsi" w:hAnsiTheme="majorHAnsi" w:cstheme="majorHAnsi"/>
                <w:b/>
                <w:bCs/>
                <w:lang w:val="es-MX"/>
              </w:rPr>
              <w:t>coherencia visual</w:t>
            </w:r>
            <w:r w:rsidRPr="00A404C1">
              <w:rPr>
                <w:rFonts w:asciiTheme="majorHAnsi" w:hAnsiTheme="majorHAnsi" w:cstheme="majorHAnsi"/>
                <w:lang w:val="es-MX"/>
              </w:rPr>
              <w:t xml:space="preserve"> y visibilidad. Cumple </w:t>
            </w:r>
            <w:r w:rsidRPr="00A404C1">
              <w:rPr>
                <w:rFonts w:asciiTheme="majorHAnsi" w:hAnsiTheme="majorHAnsi" w:cstheme="majorHAnsi"/>
                <w:b/>
                <w:bCs/>
                <w:lang w:val="es-MX"/>
              </w:rPr>
              <w:t>WCAG 1.4.11</w:t>
            </w:r>
            <w:r w:rsidRPr="00A404C1">
              <w:rPr>
                <w:rFonts w:asciiTheme="majorHAnsi" w:hAnsiTheme="majorHAnsi" w:cstheme="majorHAnsi"/>
                <w:lang w:val="es-MX"/>
              </w:rPr>
              <w:t>.</w:t>
            </w:r>
          </w:p>
        </w:tc>
      </w:tr>
    </w:tbl>
    <w:p w:rsidR="005D29A2" w:rsidRPr="00A404C1" w:rsidRDefault="005D29A2" w:rsidP="009869B6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Theme="majorHAnsi" w:hAnsiTheme="majorHAnsi" w:cstheme="majorHAnsi"/>
          <w:b/>
          <w:bCs/>
          <w:lang w:val="es-MX"/>
        </w:rPr>
      </w:pPr>
    </w:p>
    <w:p w:rsidR="00272463" w:rsidRPr="00991615" w:rsidRDefault="009869B6" w:rsidP="009869B6">
      <w:pPr>
        <w:rPr>
          <w:rFonts w:asciiTheme="majorHAnsi" w:hAnsiTheme="majorHAnsi" w:cstheme="majorHAnsi"/>
          <w:color w:val="1F497D" w:themeColor="text2"/>
          <w:lang w:val="es-MX"/>
        </w:rPr>
      </w:pPr>
      <w:r w:rsidRPr="00991615">
        <w:rPr>
          <w:rFonts w:asciiTheme="majorHAnsi" w:hAnsiTheme="majorHAnsi" w:cstheme="majorHAnsi"/>
          <w:color w:val="1F497D" w:themeColor="text2"/>
          <w:lang w:val="es-MX"/>
        </w:rPr>
        <w:t>B. Tipografía</w:t>
      </w:r>
    </w:p>
    <w:tbl>
      <w:tblPr>
        <w:tblStyle w:val="Tabladecuadrcula5oscura-nfasis1"/>
        <w:tblW w:w="8647" w:type="dxa"/>
        <w:tblLook w:val="04A0" w:firstRow="1" w:lastRow="0" w:firstColumn="1" w:lastColumn="0" w:noHBand="0" w:noVBand="1"/>
      </w:tblPr>
      <w:tblGrid>
        <w:gridCol w:w="1560"/>
        <w:gridCol w:w="1134"/>
        <w:gridCol w:w="2126"/>
        <w:gridCol w:w="3827"/>
      </w:tblGrid>
      <w:tr w:rsidR="00272463" w:rsidRPr="00A404C1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272463" w:rsidRPr="00A404C1" w:rsidRDefault="009869B6" w:rsidP="00A404C1">
            <w:pPr>
              <w:spacing w:after="200" w:line="276" w:lineRule="auto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Fuente</w:t>
            </w:r>
          </w:p>
        </w:tc>
        <w:tc>
          <w:tcPr>
            <w:tcW w:w="1134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Tamaño</w:t>
            </w:r>
          </w:p>
        </w:tc>
        <w:tc>
          <w:tcPr>
            <w:tcW w:w="2126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Uso</w:t>
            </w:r>
          </w:p>
        </w:tc>
        <w:tc>
          <w:tcPr>
            <w:tcW w:w="3827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Justificación</w:t>
            </w:r>
          </w:p>
        </w:tc>
      </w:tr>
      <w:tr w:rsidR="00272463" w:rsidRPr="00A404C1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272463" w:rsidRPr="00A404C1" w:rsidRDefault="00E42466" w:rsidP="00A404C1">
            <w:pPr>
              <w:spacing w:after="200" w:line="276" w:lineRule="auto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991615">
              <w:rPr>
                <w:rFonts w:asciiTheme="majorHAnsi" w:hAnsiTheme="majorHAnsi" w:cstheme="majorHAnsi"/>
                <w:lang w:val="es-MX"/>
              </w:rPr>
              <w:t>CLASH REGULAR</w:t>
            </w:r>
          </w:p>
        </w:tc>
        <w:tc>
          <w:tcPr>
            <w:tcW w:w="1134" w:type="dxa"/>
          </w:tcPr>
          <w:p w:rsidR="00272463" w:rsidRPr="00A404C1" w:rsidRDefault="00E42466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16–24 px</w:t>
            </w:r>
          </w:p>
        </w:tc>
        <w:tc>
          <w:tcPr>
            <w:tcW w:w="2126" w:type="dxa"/>
          </w:tcPr>
          <w:p w:rsidR="00272463" w:rsidRPr="00A404C1" w:rsidRDefault="00E42466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Títulos y texto general</w:t>
            </w:r>
          </w:p>
        </w:tc>
        <w:tc>
          <w:tcPr>
            <w:tcW w:w="3827" w:type="dxa"/>
          </w:tcPr>
          <w:p w:rsidR="00272463" w:rsidRPr="00A404C1" w:rsidRDefault="00E42466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Favorece la legibilidad en pantallas (WCAG 1.4.8), mantiene un estilo moderno y confiable acorde con el público ciudadano, y se usa de forma consistente (heurística 4: consistencia y estándares).</w:t>
            </w:r>
          </w:p>
        </w:tc>
      </w:tr>
    </w:tbl>
    <w:p w:rsidR="00A404C1" w:rsidRDefault="00A404C1" w:rsidP="009869B6">
      <w:pPr>
        <w:rPr>
          <w:rFonts w:asciiTheme="majorHAnsi" w:hAnsiTheme="majorHAnsi" w:cstheme="majorHAnsi"/>
          <w:color w:val="1F497D" w:themeColor="text2"/>
          <w:lang w:val="es-MX"/>
        </w:rPr>
      </w:pPr>
    </w:p>
    <w:p w:rsidR="00A404C1" w:rsidRPr="00991615" w:rsidRDefault="00A404C1" w:rsidP="009869B6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Theme="majorHAnsi" w:hAnsiTheme="majorHAnsi" w:cstheme="majorHAnsi"/>
          <w:b/>
          <w:bCs/>
          <w:color w:val="FFFFFF" w:themeColor="background1"/>
          <w:lang w:val="es-MX"/>
        </w:rPr>
      </w:pPr>
    </w:p>
    <w:p w:rsidR="000F71CA" w:rsidRPr="00A404C1" w:rsidRDefault="009869B6" w:rsidP="009869B6">
      <w:pPr>
        <w:rPr>
          <w:rFonts w:asciiTheme="majorHAnsi" w:hAnsiTheme="majorHAnsi" w:cstheme="majorHAnsi"/>
          <w:color w:val="1F497D" w:themeColor="text2"/>
          <w:lang w:val="es-MX"/>
        </w:rPr>
      </w:pPr>
      <w:r w:rsidRPr="005D29A2">
        <w:rPr>
          <w:rFonts w:asciiTheme="majorHAnsi" w:hAnsiTheme="majorHAnsi" w:cstheme="majorHAnsi"/>
          <w:color w:val="1F497D" w:themeColor="text2"/>
          <w:lang w:val="es-MX"/>
        </w:rPr>
        <w:lastRenderedPageBreak/>
        <w:t>C. Iconografía y elementos gráficos</w:t>
      </w:r>
    </w:p>
    <w:tbl>
      <w:tblPr>
        <w:tblStyle w:val="Tabladecuadrcula5oscura-nfasis1"/>
        <w:tblW w:w="8647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410"/>
        <w:gridCol w:w="2835"/>
      </w:tblGrid>
      <w:tr w:rsidR="00272463" w:rsidRPr="009869B6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272463" w:rsidRPr="00A404C1" w:rsidRDefault="009869B6" w:rsidP="00A404C1">
            <w:pPr>
              <w:spacing w:after="200" w:line="276" w:lineRule="auto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Elemento</w:t>
            </w:r>
          </w:p>
        </w:tc>
        <w:tc>
          <w:tcPr>
            <w:tcW w:w="1701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Descripción</w:t>
            </w:r>
          </w:p>
        </w:tc>
        <w:tc>
          <w:tcPr>
            <w:tcW w:w="2410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Uso</w:t>
            </w:r>
          </w:p>
        </w:tc>
        <w:tc>
          <w:tcPr>
            <w:tcW w:w="2835" w:type="dxa"/>
          </w:tcPr>
          <w:p w:rsidR="00272463" w:rsidRPr="00A404C1" w:rsidRDefault="009869B6" w:rsidP="00A404C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s-MX"/>
              </w:rPr>
            </w:pPr>
            <w:r w:rsidRPr="00A404C1">
              <w:rPr>
                <w:rFonts w:asciiTheme="majorHAnsi" w:hAnsiTheme="majorHAnsi" w:cstheme="majorHAnsi"/>
                <w:color w:val="auto"/>
                <w:lang w:val="es-MX"/>
              </w:rPr>
              <w:t>Justificación</w:t>
            </w:r>
          </w:p>
        </w:tc>
      </w:tr>
      <w:tr w:rsidR="00272463" w:rsidRPr="005D29A2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272463" w:rsidRPr="00A404C1" w:rsidRDefault="005A3039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Icon_Perfil</w:t>
            </w:r>
          </w:p>
        </w:tc>
        <w:tc>
          <w:tcPr>
            <w:tcW w:w="1701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Silueta de una persona en color azul.</w:t>
            </w:r>
          </w:p>
        </w:tc>
        <w:tc>
          <w:tcPr>
            <w:tcW w:w="2410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Representa la sección o botón relacionado con el perfil del usuario, como acceder a su información o configuraciones personales.</w:t>
            </w:r>
          </w:p>
        </w:tc>
        <w:tc>
          <w:tcPr>
            <w:tcW w:w="2835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El estilo visual es uniforme con el resto de los íconos y su significado es fácilmente reconocible, lo que facilita la navegación y evita sobrecargar al usuario con elementos complejos</w:t>
            </w:r>
          </w:p>
        </w:tc>
      </w:tr>
      <w:tr w:rsidR="00272463" w:rsidRPr="005D29A2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272463" w:rsidRPr="00A404C1" w:rsidRDefault="005A3039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Icon_menu</w:t>
            </w:r>
          </w:p>
        </w:tc>
        <w:tc>
          <w:tcPr>
            <w:tcW w:w="1701" w:type="dxa"/>
          </w:tcPr>
          <w:p w:rsidR="00272463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Siluetas de tres personas, dos azules en el fondo y una blanca al frente.</w:t>
            </w:r>
          </w:p>
        </w:tc>
        <w:tc>
          <w:tcPr>
            <w:tcW w:w="2410" w:type="dxa"/>
          </w:tcPr>
          <w:p w:rsidR="00272463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Indica el acceso al menú principal o a opciones relacionadas con usuarios o grupos.</w:t>
            </w:r>
          </w:p>
        </w:tc>
        <w:tc>
          <w:tcPr>
            <w:tcW w:w="2835" w:type="dxa"/>
          </w:tcPr>
          <w:p w:rsidR="00272463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Mantiene coherencia cromática con los demás íconos, facilita la identificación visual de la función y conserva una jerarquía clara sin saturar la interfaz.</w:t>
            </w:r>
          </w:p>
        </w:tc>
      </w:tr>
      <w:tr w:rsidR="00272463" w:rsidRPr="005D29A2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272463" w:rsidRPr="00A404C1" w:rsidRDefault="005A3039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Icon_Formularios</w:t>
            </w:r>
          </w:p>
        </w:tc>
        <w:tc>
          <w:tcPr>
            <w:tcW w:w="1701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Conjunto de cartas o documentos de colores apilados en forma escalonada, similar a una baraja.</w:t>
            </w:r>
          </w:p>
        </w:tc>
        <w:tc>
          <w:tcPr>
            <w:tcW w:w="2410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Se utiliza para acceder a los formularios o reportes registrados por el usuario.</w:t>
            </w:r>
          </w:p>
        </w:tc>
        <w:tc>
          <w:tcPr>
            <w:tcW w:w="2835" w:type="dxa"/>
          </w:tcPr>
          <w:p w:rsidR="00272463" w:rsidRPr="00A404C1" w:rsidRDefault="005D29A2" w:rsidP="00A404C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El diseño comunica organización y accesibilidad de información. Su estilo es uniforme y ayuda al reconocimiento rápido de la acción sin generar sobrecarga visual.</w:t>
            </w:r>
          </w:p>
        </w:tc>
      </w:tr>
      <w:tr w:rsidR="005A3039" w:rsidRPr="005D29A2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5A3039" w:rsidRPr="00A404C1" w:rsidRDefault="005A3039" w:rsidP="00A404C1">
            <w:pPr>
              <w:spacing w:after="200" w:line="276" w:lineRule="auto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Icon_admin</w:t>
            </w:r>
          </w:p>
        </w:tc>
        <w:tc>
          <w:tcPr>
            <w:tcW w:w="1701" w:type="dxa"/>
          </w:tcPr>
          <w:p w:rsidR="005A3039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Imagen de un globo terráqueo con una corona al frente.</w:t>
            </w:r>
          </w:p>
        </w:tc>
        <w:tc>
          <w:tcPr>
            <w:tcW w:w="2410" w:type="dxa"/>
          </w:tcPr>
          <w:p w:rsidR="005A3039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Representa la sección de administración o control general del sistema.</w:t>
            </w:r>
          </w:p>
        </w:tc>
        <w:tc>
          <w:tcPr>
            <w:tcW w:w="2835" w:type="dxa"/>
          </w:tcPr>
          <w:p w:rsidR="005A3039" w:rsidRPr="00A404C1" w:rsidRDefault="005D29A2" w:rsidP="00A404C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A404C1">
              <w:rPr>
                <w:rFonts w:asciiTheme="majorHAnsi" w:hAnsiTheme="majorHAnsi" w:cstheme="majorHAnsi"/>
                <w:lang w:val="es-MX"/>
              </w:rPr>
              <w:t>Mantiene la coherencia estética con el resto de íconos y simboliza autoridad y control. Facilita el reconocimiento inmediato de la función administrativa, sin distraer al usuario con detalles innecesarios.</w:t>
            </w:r>
          </w:p>
        </w:tc>
      </w:tr>
    </w:tbl>
    <w:p w:rsidR="00272463" w:rsidRPr="00552D2E" w:rsidRDefault="009869B6" w:rsidP="009869B6">
      <w:pPr>
        <w:rPr>
          <w:rFonts w:asciiTheme="majorHAnsi" w:hAnsiTheme="majorHAnsi" w:cstheme="majorHAnsi"/>
          <w:lang w:val="es-MX"/>
        </w:rPr>
      </w:pPr>
      <w:r w:rsidRPr="00552D2E">
        <w:rPr>
          <w:rFonts w:asciiTheme="majorHAnsi" w:hAnsiTheme="majorHAnsi" w:cstheme="majorHAnsi"/>
          <w:lang w:val="es-MX"/>
        </w:rPr>
        <w:lastRenderedPageBreak/>
        <w:br/>
        <w:t>Justifica:</w:t>
      </w:r>
      <w:r w:rsidRPr="00552D2E">
        <w:rPr>
          <w:rFonts w:asciiTheme="majorHAnsi" w:hAnsiTheme="majorHAnsi" w:cstheme="majorHAnsi"/>
          <w:lang w:val="es-MX"/>
        </w:rPr>
        <w:br/>
        <w:t>- ¿El estilo visual es uniforme?</w:t>
      </w:r>
      <w:r w:rsidRPr="00552D2E">
        <w:rPr>
          <w:rFonts w:asciiTheme="majorHAnsi" w:hAnsiTheme="majorHAnsi" w:cstheme="majorHAnsi"/>
          <w:lang w:val="es-MX"/>
        </w:rPr>
        <w:br/>
        <w:t>- ¿Facilita el reconocimiento de acciones?</w:t>
      </w:r>
      <w:r w:rsidRPr="00552D2E">
        <w:rPr>
          <w:rFonts w:asciiTheme="majorHAnsi" w:hAnsiTheme="majorHAnsi" w:cstheme="majorHAnsi"/>
          <w:lang w:val="es-MX"/>
        </w:rPr>
        <w:br/>
        <w:t>- ¿Evita la sobrecarga visual?</w:t>
      </w:r>
      <w:r w:rsidRPr="00552D2E">
        <w:rPr>
          <w:rFonts w:asciiTheme="majorHAnsi" w:hAnsiTheme="majorHAnsi" w:cstheme="majorHAnsi"/>
          <w:lang w:val="es-MX"/>
        </w:rPr>
        <w:br/>
      </w:r>
    </w:p>
    <w:p w:rsidR="00272463" w:rsidRPr="009869B6" w:rsidRDefault="009869B6" w:rsidP="009869B6">
      <w:pPr>
        <w:rPr>
          <w:rFonts w:asciiTheme="majorHAnsi" w:hAnsiTheme="majorHAnsi" w:cstheme="majorHAnsi"/>
          <w:color w:val="1F497D" w:themeColor="text2"/>
        </w:rPr>
      </w:pPr>
      <w:r w:rsidRPr="009869B6">
        <w:rPr>
          <w:rFonts w:asciiTheme="majorHAnsi" w:hAnsiTheme="majorHAnsi" w:cstheme="majorHAnsi"/>
          <w:color w:val="1F497D" w:themeColor="text2"/>
        </w:rPr>
        <w:t>D. Componentes de interfaz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72463" w:rsidRPr="009869B6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Componente</w:t>
            </w:r>
          </w:p>
        </w:tc>
        <w:tc>
          <w:tcPr>
            <w:tcW w:w="2160" w:type="dxa"/>
          </w:tcPr>
          <w:p w:rsidR="00272463" w:rsidRPr="009869B6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2160" w:type="dxa"/>
          </w:tcPr>
          <w:p w:rsidR="00272463" w:rsidRPr="009869B6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Descripción</w:t>
            </w:r>
          </w:p>
        </w:tc>
        <w:tc>
          <w:tcPr>
            <w:tcW w:w="2160" w:type="dxa"/>
          </w:tcPr>
          <w:p w:rsidR="00272463" w:rsidRPr="009869B6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Justificación</w:t>
            </w:r>
          </w:p>
        </w:tc>
      </w:tr>
      <w:tr w:rsidR="00272463" w:rsidRPr="009869B6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272463" w:rsidRPr="009869B6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272463" w:rsidRPr="009869B6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:rsidR="00272463" w:rsidRPr="009869B6" w:rsidRDefault="00272463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:rsidR="00272463" w:rsidRPr="00552D2E" w:rsidRDefault="009869B6" w:rsidP="009869B6">
      <w:pPr>
        <w:rPr>
          <w:rFonts w:asciiTheme="majorHAnsi" w:hAnsiTheme="majorHAnsi" w:cstheme="majorHAnsi"/>
          <w:lang w:val="es-MX"/>
        </w:rPr>
      </w:pPr>
      <w:r w:rsidRPr="00552D2E">
        <w:rPr>
          <w:rFonts w:asciiTheme="majorHAnsi" w:hAnsiTheme="majorHAnsi" w:cstheme="majorHAnsi"/>
          <w:lang w:val="es-MX"/>
        </w:rPr>
        <w:br/>
        <w:t>Justifica:</w:t>
      </w:r>
      <w:r w:rsidRPr="00552D2E">
        <w:rPr>
          <w:rFonts w:asciiTheme="majorHAnsi" w:hAnsiTheme="majorHAnsi" w:cstheme="majorHAnsi"/>
          <w:lang w:val="es-MX"/>
        </w:rPr>
        <w:br/>
        <w:t>- ¿Cómo contribuye cada componente a la usabilidad?</w:t>
      </w:r>
      <w:r w:rsidRPr="00552D2E">
        <w:rPr>
          <w:rFonts w:asciiTheme="majorHAnsi" w:hAnsiTheme="majorHAnsi" w:cstheme="majorHAnsi"/>
          <w:lang w:val="es-MX"/>
        </w:rPr>
        <w:br/>
        <w:t>- ¿Cómo apoya la retroalimentación y control del usuario?</w:t>
      </w:r>
      <w:r w:rsidRPr="00552D2E">
        <w:rPr>
          <w:rFonts w:asciiTheme="majorHAnsi" w:hAnsiTheme="majorHAnsi" w:cstheme="majorHAnsi"/>
          <w:lang w:val="es-MX"/>
        </w:rPr>
        <w:br/>
      </w:r>
    </w:p>
    <w:p w:rsidR="00272463" w:rsidRPr="00DC1DCF" w:rsidRDefault="009869B6" w:rsidP="009869B6">
      <w:pPr>
        <w:rPr>
          <w:rFonts w:asciiTheme="majorHAnsi" w:hAnsiTheme="majorHAnsi" w:cstheme="majorHAnsi"/>
          <w:color w:val="1F497D" w:themeColor="text2"/>
          <w:lang w:val="es-MX"/>
        </w:rPr>
      </w:pPr>
      <w:r w:rsidRPr="009869B6">
        <w:rPr>
          <w:rFonts w:asciiTheme="majorHAnsi" w:hAnsiTheme="majorHAnsi" w:cstheme="majorHAnsi"/>
          <w:color w:val="1F497D" w:themeColor="text2"/>
        </w:rPr>
        <w:t>E. Navegación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72463" w:rsidRPr="009869B6" w:rsidTr="0000317E">
        <w:tc>
          <w:tcPr>
            <w:tcW w:w="2880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Tipo</w:t>
            </w:r>
            <w:r w:rsidRPr="009869B6">
              <w:rPr>
                <w:rFonts w:asciiTheme="majorHAnsi" w:hAnsiTheme="majorHAnsi" w:cstheme="majorHAnsi"/>
              </w:rPr>
              <w:t xml:space="preserve"> de</w:t>
            </w:r>
            <w:r w:rsidRPr="00DC1DCF">
              <w:rPr>
                <w:rFonts w:asciiTheme="majorHAnsi" w:hAnsiTheme="majorHAnsi" w:cstheme="majorHAnsi"/>
                <w:lang w:val="es-MX"/>
              </w:rPr>
              <w:t xml:space="preserve"> navegación</w:t>
            </w:r>
          </w:p>
        </w:tc>
        <w:tc>
          <w:tcPr>
            <w:tcW w:w="2880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Descripción</w:t>
            </w:r>
          </w:p>
        </w:tc>
        <w:tc>
          <w:tcPr>
            <w:tcW w:w="2880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Justificación</w:t>
            </w:r>
          </w:p>
        </w:tc>
      </w:tr>
      <w:tr w:rsidR="00272463" w:rsidRPr="009869B6" w:rsidTr="0000317E"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</w:tr>
      <w:tr w:rsidR="00272463" w:rsidRPr="009869B6" w:rsidTr="0000317E"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</w:tr>
      <w:tr w:rsidR="00272463" w:rsidRPr="009869B6" w:rsidTr="0000317E"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:rsidR="00272463" w:rsidRPr="009869B6" w:rsidRDefault="00272463" w:rsidP="009869B6">
            <w:pPr>
              <w:rPr>
                <w:rFonts w:asciiTheme="majorHAnsi" w:hAnsiTheme="majorHAnsi" w:cstheme="majorHAnsi"/>
              </w:rPr>
            </w:pPr>
          </w:p>
        </w:tc>
      </w:tr>
    </w:tbl>
    <w:p w:rsidR="00272463" w:rsidRPr="00552D2E" w:rsidRDefault="009869B6" w:rsidP="009869B6">
      <w:pPr>
        <w:rPr>
          <w:rFonts w:asciiTheme="majorHAnsi" w:hAnsiTheme="majorHAnsi" w:cstheme="majorHAnsi"/>
          <w:lang w:val="es-MX"/>
        </w:rPr>
      </w:pPr>
      <w:r w:rsidRPr="00552D2E">
        <w:rPr>
          <w:rFonts w:asciiTheme="majorHAnsi" w:hAnsiTheme="majorHAnsi" w:cstheme="majorHAnsi"/>
          <w:lang w:val="es-MX"/>
        </w:rPr>
        <w:br/>
        <w:t>Justifica:</w:t>
      </w:r>
      <w:r w:rsidRPr="00552D2E">
        <w:rPr>
          <w:rFonts w:asciiTheme="majorHAnsi" w:hAnsiTheme="majorHAnsi" w:cstheme="majorHAnsi"/>
          <w:lang w:val="es-MX"/>
        </w:rPr>
        <w:br/>
        <w:t>- ¿La estructura facilita tareas frecuentes del usuario?</w:t>
      </w:r>
      <w:r w:rsidRPr="00552D2E">
        <w:rPr>
          <w:rFonts w:asciiTheme="majorHAnsi" w:hAnsiTheme="majorHAnsi" w:cstheme="majorHAnsi"/>
          <w:lang w:val="es-MX"/>
        </w:rPr>
        <w:br/>
        <w:t>- ¿Se reduce la cantidad de clics o pasos?</w:t>
      </w:r>
      <w:r w:rsidRPr="00552D2E">
        <w:rPr>
          <w:rFonts w:asciiTheme="majorHAnsi" w:hAnsiTheme="majorHAnsi" w:cstheme="majorHAnsi"/>
          <w:lang w:val="es-MX"/>
        </w:rPr>
        <w:br/>
        <w:t>- ¿Es intuitiva la ubicación de los menús?</w:t>
      </w:r>
      <w:r w:rsidRPr="00552D2E">
        <w:rPr>
          <w:rFonts w:asciiTheme="majorHAnsi" w:hAnsiTheme="majorHAnsi" w:cstheme="majorHAnsi"/>
          <w:lang w:val="es-MX"/>
        </w:rPr>
        <w:br/>
      </w:r>
    </w:p>
    <w:p w:rsidR="000F71CA" w:rsidRDefault="000F71CA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0F71CA" w:rsidRDefault="000F71CA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0F71CA" w:rsidRDefault="000F71CA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0F71CA" w:rsidRDefault="000F71CA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</w:p>
    <w:p w:rsidR="00272463" w:rsidRPr="00DC1DCF" w:rsidRDefault="000F71CA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  <w:r>
        <w:rPr>
          <w:rFonts w:asciiTheme="majorHAnsi" w:hAnsiTheme="majorHAnsi" w:cstheme="majorHAnsi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0BF79" wp14:editId="5C6E428C">
                <wp:simplePos x="0" y="0"/>
                <wp:positionH relativeFrom="margin">
                  <wp:align>right</wp:align>
                </wp:positionH>
                <wp:positionV relativeFrom="paragraph">
                  <wp:posOffset>-250049</wp:posOffset>
                </wp:positionV>
                <wp:extent cx="5468620" cy="0"/>
                <wp:effectExtent l="38100" t="38100" r="7493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57D48" id="Straight Connector 2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79.4pt,-19.7pt" to="810pt,-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869B6" w:rsidRPr="00552D2E">
        <w:rPr>
          <w:rFonts w:asciiTheme="majorHAnsi" w:hAnsiTheme="majorHAnsi" w:cstheme="majorHAnsi"/>
          <w:color w:val="1F497D" w:themeColor="text2"/>
          <w:sz w:val="24"/>
          <w:lang w:val="es-MX"/>
        </w:rPr>
        <w:t>3. Normativa de diseño (criterios generales)</w:t>
      </w:r>
    </w:p>
    <w:tbl>
      <w:tblPr>
        <w:tblStyle w:val="Tabladecuadrcula5oscura-nfasis1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2552"/>
        <w:gridCol w:w="1842"/>
        <w:gridCol w:w="2965"/>
      </w:tblGrid>
      <w:tr w:rsidR="00272463" w:rsidRPr="00DC1DCF" w:rsidTr="00991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Categoría</w:t>
            </w:r>
          </w:p>
        </w:tc>
        <w:tc>
          <w:tcPr>
            <w:tcW w:w="2552" w:type="dxa"/>
          </w:tcPr>
          <w:p w:rsidR="00272463" w:rsidRPr="00DC1DCF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9869B6">
              <w:rPr>
                <w:rFonts w:asciiTheme="majorHAnsi" w:hAnsiTheme="majorHAnsi" w:cstheme="majorHAnsi"/>
              </w:rPr>
              <w:t>Norma</w:t>
            </w:r>
            <w:r w:rsidRPr="00DC1DCF">
              <w:rPr>
                <w:rFonts w:asciiTheme="majorHAnsi" w:hAnsiTheme="majorHAnsi" w:cstheme="majorHAnsi"/>
                <w:lang w:val="es-MX"/>
              </w:rPr>
              <w:t xml:space="preserve"> aplicada</w:t>
            </w:r>
          </w:p>
        </w:tc>
        <w:tc>
          <w:tcPr>
            <w:tcW w:w="1842" w:type="dxa"/>
          </w:tcPr>
          <w:p w:rsidR="00272463" w:rsidRPr="009869B6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Referencia</w:t>
            </w:r>
            <w:r w:rsidRPr="009869B6">
              <w:rPr>
                <w:rFonts w:asciiTheme="majorHAnsi" w:hAnsiTheme="majorHAnsi" w:cstheme="majorHAnsi"/>
              </w:rPr>
              <w:t xml:space="preserve"> / Estándar</w:t>
            </w:r>
          </w:p>
        </w:tc>
        <w:tc>
          <w:tcPr>
            <w:tcW w:w="2965" w:type="dxa"/>
          </w:tcPr>
          <w:p w:rsidR="00272463" w:rsidRPr="009869B6" w:rsidRDefault="009869B6" w:rsidP="00986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9869B6">
              <w:rPr>
                <w:rFonts w:asciiTheme="majorHAnsi" w:hAnsiTheme="majorHAnsi" w:cstheme="majorHAnsi"/>
              </w:rPr>
              <w:t>Justificación</w:t>
            </w:r>
          </w:p>
        </w:tc>
      </w:tr>
      <w:tr w:rsidR="00272463" w:rsidRPr="00DC1DCF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Usabilidad</w:t>
            </w:r>
          </w:p>
        </w:tc>
        <w:tc>
          <w:tcPr>
            <w:tcW w:w="2552" w:type="dxa"/>
          </w:tcPr>
          <w:p w:rsidR="00272463" w:rsidRPr="00DC1DCF" w:rsidRDefault="005D29A2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5D29A2">
              <w:rPr>
                <w:lang w:val="es-MX"/>
              </w:rPr>
              <w:t>La interfaz debe ser intuitiva, permitir una navegación fluida y ofrecer retroalimentación constante al usuario.</w:t>
            </w:r>
          </w:p>
        </w:tc>
        <w:tc>
          <w:tcPr>
            <w:tcW w:w="1842" w:type="dxa"/>
          </w:tcPr>
          <w:p w:rsidR="00272463" w:rsidRPr="005D29A2" w:rsidRDefault="000F71CA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DC1DCF">
              <w:rPr>
                <w:lang w:val="es-MX"/>
              </w:rPr>
              <w:t>Heurísticas</w:t>
            </w:r>
            <w:r>
              <w:t xml:space="preserve"> de Nielsen (1994)</w:t>
            </w:r>
          </w:p>
        </w:tc>
        <w:tc>
          <w:tcPr>
            <w:tcW w:w="2965" w:type="dxa"/>
          </w:tcPr>
          <w:p w:rsidR="00272463" w:rsidRPr="000F71CA" w:rsidRDefault="000F71CA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0F71CA">
              <w:rPr>
                <w:lang w:val="es-MX"/>
              </w:rPr>
              <w:t>Facilita la interacción clara y eficiente, reduciendo errores y mejorando la experiencia ciudadana al registrar reportes.</w:t>
            </w:r>
          </w:p>
        </w:tc>
      </w:tr>
      <w:tr w:rsidR="00272463" w:rsidRPr="00DC1DCF" w:rsidTr="00991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Accesibilidad</w:t>
            </w:r>
          </w:p>
        </w:tc>
        <w:tc>
          <w:tcPr>
            <w:tcW w:w="2552" w:type="dxa"/>
          </w:tcPr>
          <w:p w:rsidR="00272463" w:rsidRPr="005D29A2" w:rsidRDefault="005D29A2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5D29A2">
              <w:rPr>
                <w:lang w:val="es-MX"/>
              </w:rPr>
              <w:t>Garantizar contraste adecuado, tipografía legible y compatibilidad con dispositivos móviles.</w:t>
            </w:r>
          </w:p>
        </w:tc>
        <w:tc>
          <w:tcPr>
            <w:tcW w:w="1842" w:type="dxa"/>
          </w:tcPr>
          <w:p w:rsidR="00272463" w:rsidRPr="005D29A2" w:rsidRDefault="000F71CA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>
              <w:t>WCAG 2.1 (4.5:1 contraste mínimo)</w:t>
            </w:r>
          </w:p>
        </w:tc>
        <w:tc>
          <w:tcPr>
            <w:tcW w:w="2965" w:type="dxa"/>
          </w:tcPr>
          <w:p w:rsidR="00272463" w:rsidRPr="000F71CA" w:rsidRDefault="000F71CA" w:rsidP="00986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0F71CA">
              <w:rPr>
                <w:lang w:val="es-MX"/>
              </w:rPr>
              <w:t>Asegura que la plataforma sea inclusiva para usuarios con distintas capacidades visuales o contextos de uso.</w:t>
            </w:r>
          </w:p>
        </w:tc>
      </w:tr>
      <w:tr w:rsidR="00272463" w:rsidRPr="005D29A2" w:rsidTr="00991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:rsidR="00272463" w:rsidRPr="009869B6" w:rsidRDefault="009869B6" w:rsidP="009869B6">
            <w:pPr>
              <w:rPr>
                <w:rFonts w:asciiTheme="majorHAnsi" w:hAnsiTheme="majorHAnsi" w:cstheme="majorHAnsi"/>
              </w:rPr>
            </w:pPr>
            <w:r w:rsidRPr="00DC1DCF">
              <w:rPr>
                <w:rFonts w:asciiTheme="majorHAnsi" w:hAnsiTheme="majorHAnsi" w:cstheme="majorHAnsi"/>
                <w:lang w:val="es-MX"/>
              </w:rPr>
              <w:t>Coherencia</w:t>
            </w:r>
            <w:r w:rsidRPr="009869B6">
              <w:rPr>
                <w:rFonts w:asciiTheme="majorHAnsi" w:hAnsiTheme="majorHAnsi" w:cstheme="majorHAnsi"/>
              </w:rPr>
              <w:t xml:space="preserve"> visual</w:t>
            </w:r>
          </w:p>
        </w:tc>
        <w:tc>
          <w:tcPr>
            <w:tcW w:w="2552" w:type="dxa"/>
          </w:tcPr>
          <w:p w:rsidR="00272463" w:rsidRPr="005D29A2" w:rsidRDefault="005D29A2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5D29A2">
              <w:rPr>
                <w:lang w:val="es-MX"/>
              </w:rPr>
              <w:t>Mantener paleta de colores institucional (azules, blanco y negro) y tipografía uniforme.</w:t>
            </w:r>
          </w:p>
        </w:tc>
        <w:tc>
          <w:tcPr>
            <w:tcW w:w="1842" w:type="dxa"/>
          </w:tcPr>
          <w:p w:rsidR="00272463" w:rsidRPr="005D29A2" w:rsidRDefault="000F71CA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>
              <w:t>ISO 9241-210 / DCU</w:t>
            </w:r>
          </w:p>
        </w:tc>
        <w:tc>
          <w:tcPr>
            <w:tcW w:w="2965" w:type="dxa"/>
          </w:tcPr>
          <w:p w:rsidR="00272463" w:rsidRPr="000F71CA" w:rsidRDefault="000F71CA" w:rsidP="00986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s-MX"/>
              </w:rPr>
            </w:pPr>
            <w:r w:rsidRPr="000F71CA">
              <w:rPr>
                <w:lang w:val="es-MX"/>
              </w:rPr>
              <w:t xml:space="preserve">Refuerza la identidad visual de </w:t>
            </w:r>
            <w:r w:rsidRPr="000F71CA">
              <w:rPr>
                <w:rStyle w:val="nfasis"/>
                <w:lang w:val="es-MX"/>
              </w:rPr>
              <w:t>Guardian Water</w:t>
            </w:r>
            <w:r w:rsidRPr="000F71CA">
              <w:rPr>
                <w:lang w:val="es-MX"/>
              </w:rPr>
              <w:t xml:space="preserve"> y facilita el reconocimiento de elementos en toda la interfaz.</w:t>
            </w:r>
          </w:p>
        </w:tc>
      </w:tr>
    </w:tbl>
    <w:p w:rsidR="009869B6" w:rsidRPr="005D29A2" w:rsidRDefault="009869B6" w:rsidP="009869B6">
      <w:p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4FC0D1" wp14:editId="10A4F330">
                <wp:simplePos x="0" y="0"/>
                <wp:positionH relativeFrom="column">
                  <wp:posOffset>-16881</wp:posOffset>
                </wp:positionH>
                <wp:positionV relativeFrom="paragraph">
                  <wp:posOffset>186055</wp:posOffset>
                </wp:positionV>
                <wp:extent cx="5469147" cy="0"/>
                <wp:effectExtent l="38100" t="38100" r="7493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7B925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4.65pt" to="429.3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272463" w:rsidRPr="009869B6" w:rsidRDefault="009869B6" w:rsidP="009869B6">
      <w:pPr>
        <w:rPr>
          <w:rFonts w:asciiTheme="majorHAnsi" w:hAnsiTheme="majorHAnsi" w:cstheme="majorHAnsi"/>
          <w:color w:val="1F497D" w:themeColor="text2"/>
          <w:sz w:val="24"/>
          <w:lang w:val="es-MX"/>
        </w:rPr>
      </w:pPr>
      <w:r w:rsidRPr="009869B6">
        <w:rPr>
          <w:rFonts w:asciiTheme="majorHAnsi" w:hAnsiTheme="majorHAnsi" w:cstheme="majorHAnsi"/>
          <w:color w:val="1F497D" w:themeColor="text2"/>
          <w:sz w:val="24"/>
          <w:lang w:val="es-MX"/>
        </w:rPr>
        <w:t>4. Conclusión y validación</w:t>
      </w:r>
    </w:p>
    <w:p w:rsidR="00991615" w:rsidRPr="00991615" w:rsidRDefault="00991615" w:rsidP="00991615">
      <w:pPr>
        <w:spacing w:after="0" w:line="240" w:lineRule="auto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lang w:val="es-MX"/>
        </w:rPr>
      </w:pPr>
      <w:r w:rsidRPr="00991615">
        <w:rPr>
          <w:rFonts w:asciiTheme="majorHAnsi" w:hAnsiTheme="majorHAnsi" w:cstheme="majorHAnsi"/>
          <w:b/>
          <w:sz w:val="28"/>
          <w:szCs w:val="28"/>
          <w:lang w:val="es-MX"/>
        </w:rPr>
        <w:t>• Coherencia general:</w:t>
      </w:r>
      <w:r w:rsidRPr="00991615">
        <w:rPr>
          <w:lang w:val="es-MX"/>
        </w:rPr>
        <w:br/>
      </w:r>
      <w:r w:rsidRPr="00991615">
        <w:rPr>
          <w:rFonts w:asciiTheme="majorHAnsi" w:hAnsiTheme="majorHAnsi" w:cstheme="majorHAnsi"/>
          <w:sz w:val="28"/>
          <w:szCs w:val="28"/>
          <w:lang w:val="es-MX"/>
        </w:rPr>
        <w:t xml:space="preserve">El diseño mantiene uniformidad en todos los componentes de la interfaz. Se utilizan los mismos criterios visuales —paleta de azules, blanco y negro, tipografía </w:t>
      </w:r>
      <w:r w:rsidRPr="00991615">
        <w:rPr>
          <w:rFonts w:asciiTheme="majorHAnsi" w:hAnsiTheme="majorHAnsi" w:cstheme="majorHAnsi"/>
          <w:sz w:val="28"/>
          <w:szCs w:val="28"/>
          <w:lang w:val="es-MX"/>
        </w:rPr>
        <w:t>Clash Regular</w:t>
      </w:r>
      <w:r w:rsidRPr="00991615">
        <w:rPr>
          <w:rFonts w:asciiTheme="majorHAnsi" w:hAnsiTheme="majorHAnsi" w:cstheme="majorHAnsi"/>
          <w:sz w:val="28"/>
          <w:szCs w:val="28"/>
          <w:lang w:val="es-MX"/>
        </w:rPr>
        <w:t xml:space="preserve"> y botones con bordes redondeados— en cada pantalla. Esto asegura una experiencia consistente y refuerza la identidad visual de </w:t>
      </w:r>
      <w:r w:rsidRPr="00991615">
        <w:rPr>
          <w:rFonts w:asciiTheme="majorHAnsi" w:hAnsiTheme="majorHAnsi" w:cstheme="majorHAnsi"/>
          <w:sz w:val="28"/>
          <w:szCs w:val="28"/>
          <w:lang w:val="es-MX"/>
        </w:rPr>
        <w:t>GuardianWater</w:t>
      </w:r>
      <w:r w:rsidRPr="00991615">
        <w:rPr>
          <w:rFonts w:asciiTheme="majorHAnsi" w:hAnsiTheme="majorHAnsi" w:cstheme="majorHAnsi"/>
          <w:sz w:val="28"/>
          <w:szCs w:val="28"/>
          <w:lang w:val="es-MX"/>
        </w:rPr>
        <w:t>.</w:t>
      </w:r>
    </w:p>
    <w:p w:rsidR="00991615" w:rsidRDefault="00991615" w:rsidP="00991615">
      <w:pPr>
        <w:pStyle w:val="NormalWeb"/>
      </w:pP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• Accesibilidad</w:t>
      </w:r>
      <w:r w:rsidRPr="00991615">
        <w:rPr>
          <w:rFonts w:asciiTheme="majorHAnsi" w:eastAsiaTheme="minorEastAsia" w:hAnsiTheme="majorHAnsi" w:cstheme="majorHAnsi"/>
          <w:bCs/>
          <w:sz w:val="28"/>
          <w:szCs w:val="28"/>
          <w:lang w:eastAsia="en-US"/>
        </w:rPr>
        <w:t>:</w:t>
      </w:r>
      <w:r>
        <w:br/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La interfaz cumple con los principios de inclusión digital establecidos por las </w:t>
      </w: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WCAG 2.1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>, garantizando contraste adecuado (4.5:1), textos legibles y navegación accesible tanto en dispositivos móviles como de escritorio. Los elementos interactivos poseen etiquetas y colores perceptibles para usuarios con baja visión.</w:t>
      </w:r>
    </w:p>
    <w:p w:rsidR="00991615" w:rsidRDefault="00991615" w:rsidP="00991615">
      <w:pPr>
        <w:pStyle w:val="NormalWeb"/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</w:pPr>
    </w:p>
    <w:p w:rsidR="00991615" w:rsidRDefault="00991615" w:rsidP="00991615">
      <w:pPr>
        <w:pStyle w:val="NormalWeb"/>
      </w:pPr>
      <w:r w:rsidRPr="00991615"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  <w:lastRenderedPageBreak/>
        <w:t>• Usabilidad:</w:t>
      </w:r>
      <w:r>
        <w:br/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El diseño se centra en la eficiencia y facilidad de uso, siguiendo los principios del </w:t>
      </w: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Diseño Centrado en el Usuario (DCU)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. Las acciones principales —reportar fugas, revisar estado y consultar consumo— se encuentran visibles y accesibles, favoreciendo el aprendizaje rápido y la </w:t>
      </w:r>
      <w:bookmarkStart w:id="0" w:name="_GoBack"/>
      <w:bookmarkEnd w:id="0"/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>satisfacción del usuario.</w:t>
      </w:r>
    </w:p>
    <w:p w:rsidR="00991615" w:rsidRDefault="00991615" w:rsidP="00991615">
      <w:pPr>
        <w:pStyle w:val="NormalWeb"/>
      </w:pP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• Retroalimentación:</w:t>
      </w:r>
      <w:r>
        <w:br/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Cada interacción del usuario genera una respuesta clara mediante mensajes visuales, cambios de color o notificaciones de estado (“reporte enviado”, “en proceso”, “resuelto”), aplicando las heurísticas de </w:t>
      </w: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Nielsen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 sobre visibilidad del estado del sistema.</w:t>
      </w:r>
    </w:p>
    <w:p w:rsidR="00991615" w:rsidRDefault="00991615" w:rsidP="00991615">
      <w:r>
        <w:rPr>
          <w:rFonts w:asciiTheme="majorHAnsi" w:hAnsiTheme="majorHAnsi" w:cstheme="majorHAnsi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B28D1" wp14:editId="7B99BDC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469147" cy="0"/>
                <wp:effectExtent l="38100" t="38100" r="74930" b="95250"/>
                <wp:wrapNone/>
                <wp:docPr id="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6B21F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30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991615" w:rsidRPr="00991615" w:rsidRDefault="00991615" w:rsidP="00991615">
      <w:pPr>
        <w:pStyle w:val="Ttulo3"/>
        <w:rPr>
          <w:lang w:val="es-MX"/>
        </w:rPr>
      </w:pPr>
      <w:r w:rsidRPr="00991615">
        <w:rPr>
          <w:rStyle w:val="Textoennegrita"/>
          <w:b/>
          <w:bCs/>
          <w:lang w:val="es-MX"/>
        </w:rPr>
        <w:t>Evidencia visual de la guía de estilo</w:t>
      </w:r>
    </w:p>
    <w:p w:rsidR="00991615" w:rsidRPr="00991615" w:rsidRDefault="00991615" w:rsidP="00991615">
      <w:pPr>
        <w:pStyle w:val="NormalWeb"/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La </w:t>
      </w: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guía de estilo de Guardian Water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 se refleja en los prototipos mediante:</w:t>
      </w:r>
    </w:p>
    <w:p w:rsidR="00991615" w:rsidRPr="00991615" w:rsidRDefault="00991615" w:rsidP="00991615">
      <w:pPr>
        <w:pStyle w:val="NormalWeb"/>
        <w:numPr>
          <w:ilvl w:val="0"/>
          <w:numId w:val="11"/>
        </w:numPr>
        <w:rPr>
          <w:rFonts w:asciiTheme="majorHAnsi" w:eastAsiaTheme="minorEastAsia" w:hAnsiTheme="majorHAnsi" w:cstheme="majorHAnsi"/>
          <w:sz w:val="28"/>
          <w:szCs w:val="28"/>
          <w:lang w:eastAsia="en-US"/>
        </w:rPr>
      </w:pPr>
      <w:r w:rsidRPr="00991615"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  <w:t>Paleta cromática</w:t>
      </w:r>
      <w:r w:rsidRPr="00991615">
        <w:rPr>
          <w:rFonts w:asciiTheme="majorHAnsi" w:hAnsiTheme="majorHAnsi" w:cstheme="majorHAnsi"/>
          <w:b/>
        </w:rPr>
        <w:t>:</w:t>
      </w:r>
      <w:r w:rsidRPr="00991615">
        <w:rPr>
          <w:rFonts w:asciiTheme="majorHAnsi" w:hAnsiTheme="majorHAnsi" w:cstheme="majorHAnsi"/>
        </w:rPr>
        <w:t xml:space="preserve"> 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combinación de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Pacific Blue (#0084D1)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,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Dark Blue (#00598A)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 xml:space="preserve">,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Cian Azul (#176895)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>, blanco y negro.</w:t>
      </w:r>
    </w:p>
    <w:p w:rsidR="00991615" w:rsidRPr="00991615" w:rsidRDefault="00991615" w:rsidP="00991615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Tipografía:</w:t>
      </w:r>
      <w:r w:rsidRPr="00991615">
        <w:rPr>
          <w:rFonts w:asciiTheme="majorHAnsi" w:hAnsiTheme="majorHAnsi" w:cstheme="majorHAnsi"/>
        </w:rPr>
        <w:t xml:space="preserve">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Clash Regular</w:t>
      </w:r>
      <w:r w:rsidRPr="00991615">
        <w:rPr>
          <w:rFonts w:asciiTheme="majorHAnsi" w:eastAsiaTheme="minorEastAsia" w:hAnsiTheme="majorHAnsi" w:cstheme="majorHAnsi"/>
          <w:sz w:val="28"/>
          <w:szCs w:val="28"/>
          <w:lang w:eastAsia="en-US"/>
        </w:rPr>
        <w:t>, que aporta legibilidad y modernidad.</w:t>
      </w:r>
    </w:p>
    <w:p w:rsidR="00991615" w:rsidRPr="00991615" w:rsidRDefault="00991615" w:rsidP="00991615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91615">
        <w:rPr>
          <w:rFonts w:asciiTheme="majorHAnsi" w:eastAsiaTheme="minorEastAsia" w:hAnsiTheme="majorHAnsi" w:cstheme="majorHAnsi"/>
          <w:b/>
          <w:sz w:val="28"/>
          <w:szCs w:val="28"/>
          <w:lang w:eastAsia="en-US"/>
        </w:rPr>
        <w:t>Botones y componentes:</w:t>
      </w:r>
      <w:r w:rsidRPr="00991615">
        <w:rPr>
          <w:rFonts w:asciiTheme="majorHAnsi" w:hAnsiTheme="majorHAnsi" w:cstheme="majorHAnsi"/>
        </w:rPr>
        <w:t xml:space="preserve">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estilo minimalista, esquinas redondeadas y realce</w:t>
      </w:r>
      <w:r w:rsidRPr="00991615">
        <w:rPr>
          <w:rFonts w:asciiTheme="majorHAnsi" w:hAnsiTheme="majorHAnsi" w:cstheme="majorHAnsi"/>
        </w:rPr>
        <w:t xml:space="preserve">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con tonos azules para priorizar acciones clave.</w:t>
      </w:r>
    </w:p>
    <w:p w:rsidR="00991615" w:rsidRPr="00991615" w:rsidRDefault="00991615" w:rsidP="00991615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91615">
        <w:rPr>
          <w:rFonts w:asciiTheme="majorHAnsi" w:eastAsiaTheme="minorEastAsia" w:hAnsiTheme="majorHAnsi" w:cstheme="majorHAnsi"/>
          <w:b/>
          <w:bCs/>
          <w:sz w:val="28"/>
          <w:szCs w:val="28"/>
          <w:lang w:eastAsia="en-US"/>
        </w:rPr>
        <w:t>Flujo de navegación:</w:t>
      </w:r>
      <w:r w:rsidRPr="00991615">
        <w:rPr>
          <w:rFonts w:asciiTheme="majorHAnsi" w:hAnsiTheme="majorHAnsi" w:cstheme="majorHAnsi"/>
        </w:rPr>
        <w:t xml:space="preserve"> </w:t>
      </w:r>
      <w:r w:rsidRPr="00991615">
        <w:rPr>
          <w:rFonts w:asciiTheme="majorHAnsi" w:eastAsiaTheme="minorEastAsia" w:hAnsiTheme="majorHAnsi" w:cstheme="majorHAnsi"/>
          <w:i/>
          <w:iCs/>
          <w:sz w:val="28"/>
          <w:szCs w:val="28"/>
          <w:lang w:eastAsia="en-US"/>
        </w:rPr>
        <w:t>pantallas ordenadas con jerarquía visual clara, alineadas al principio de “reconocer antes que recordar” (Nielsen).</w:t>
      </w:r>
    </w:p>
    <w:p w:rsidR="00272463" w:rsidRPr="009869B6" w:rsidRDefault="009869B6" w:rsidP="009869B6">
      <w:pPr>
        <w:rPr>
          <w:rFonts w:asciiTheme="majorHAnsi" w:hAnsiTheme="majorHAnsi" w:cstheme="majorHAnsi"/>
          <w:lang w:val="es-MX"/>
        </w:rPr>
      </w:pPr>
      <w:r w:rsidRPr="009869B6">
        <w:rPr>
          <w:rFonts w:asciiTheme="majorHAnsi" w:hAnsiTheme="majorHAnsi" w:cstheme="majorHAnsi"/>
          <w:lang w:val="es-MX"/>
        </w:rPr>
        <w:br/>
      </w:r>
    </w:p>
    <w:sectPr w:rsidR="00272463" w:rsidRPr="009869B6" w:rsidSect="009869B6">
      <w:pgSz w:w="12240" w:h="15840"/>
      <w:pgMar w:top="1872" w:right="1800" w:bottom="187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373E1C"/>
    <w:multiLevelType w:val="hybridMultilevel"/>
    <w:tmpl w:val="F00C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411FA"/>
    <w:multiLevelType w:val="multilevel"/>
    <w:tmpl w:val="AE9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17E"/>
    <w:rsid w:val="00034616"/>
    <w:rsid w:val="0006063C"/>
    <w:rsid w:val="000970F9"/>
    <w:rsid w:val="000F71CA"/>
    <w:rsid w:val="0015074B"/>
    <w:rsid w:val="00272463"/>
    <w:rsid w:val="0029639D"/>
    <w:rsid w:val="002C19B8"/>
    <w:rsid w:val="00326F90"/>
    <w:rsid w:val="00422ADE"/>
    <w:rsid w:val="00552D2E"/>
    <w:rsid w:val="005A3039"/>
    <w:rsid w:val="005D29A2"/>
    <w:rsid w:val="00724853"/>
    <w:rsid w:val="00822502"/>
    <w:rsid w:val="00857A49"/>
    <w:rsid w:val="009869B6"/>
    <w:rsid w:val="00991615"/>
    <w:rsid w:val="00A404C1"/>
    <w:rsid w:val="00A53620"/>
    <w:rsid w:val="00AA1D8D"/>
    <w:rsid w:val="00AF125B"/>
    <w:rsid w:val="00B24B36"/>
    <w:rsid w:val="00B47730"/>
    <w:rsid w:val="00BF1343"/>
    <w:rsid w:val="00CB0664"/>
    <w:rsid w:val="00D752BD"/>
    <w:rsid w:val="00DC1DCF"/>
    <w:rsid w:val="00E42466"/>
    <w:rsid w:val="00E73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2CB2C"/>
  <w14:defaultImageDpi w14:val="300"/>
  <w15:docId w15:val="{B7F67F6D-BB8F-49ED-96EE-46F6A242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5oscura-nfasis1">
    <w:name w:val="Grid Table 5 Dark Accent 1"/>
    <w:basedOn w:val="Tablanormal"/>
    <w:uiPriority w:val="50"/>
    <w:rsid w:val="000970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9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E172A-9054-48EB-B3D6-C578A0EDD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1003</Words>
  <Characters>5517</Characters>
  <Application>Microsoft Office Word</Application>
  <DocSecurity>0</DocSecurity>
  <Lines>45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</cp:lastModifiedBy>
  <cp:revision>2</cp:revision>
  <dcterms:created xsi:type="dcterms:W3CDTF">2025-11-12T22:34:00Z</dcterms:created>
  <dcterms:modified xsi:type="dcterms:W3CDTF">2025-11-12T22:34:00Z</dcterms:modified>
  <cp:category/>
</cp:coreProperties>
</file>